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>
        <w:trPr>
          <w:cantSplit/>
          <w:trHeight w:val="20"/>
        </w:trPr>
        <w:tc>
          <w:tcPr>
            <w:tcW w:w="861" w:type="dxa"/>
            <w:vMerge w:val="restart"/>
          </w:tcPr>
          <w:p w:rsidR="00AF3004" w:rsidRDefault="00F07375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4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AF3004" w:rsidRDefault="00F07375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>
        <w:trPr>
          <w:cantSplit/>
          <w:trHeight w:val="299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AF3004" w:rsidRDefault="00F07375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0F449F">
              <w:t>4</w:t>
            </w:r>
            <w:r w:rsidR="00AF3004">
              <w:t>/20</w:t>
            </w:r>
            <w:r w:rsidR="001771C8">
              <w:t>18–</w:t>
            </w:r>
            <w:r w:rsidR="00AF3004">
              <w:t>20</w:t>
            </w:r>
            <w:r w:rsidR="001771C8">
              <w:t>19</w:t>
            </w: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:rsidR="00AF3004" w:rsidRDefault="00AF3004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BF7E1C">
              <w:rPr>
                <w:lang w:val="de-DE"/>
              </w:rPr>
              <w:t>18</w:t>
            </w:r>
            <w:r>
              <w:rPr>
                <w:lang w:val="de-DE"/>
              </w:rPr>
              <w:t>-</w:t>
            </w:r>
            <w:r w:rsidR="00BF7E1C">
              <w:rPr>
                <w:lang w:val="de-DE"/>
              </w:rPr>
              <w:t>11</w:t>
            </w:r>
            <w:r>
              <w:rPr>
                <w:lang w:val="de-DE"/>
              </w:rPr>
              <w:t>-</w:t>
            </w:r>
            <w:r w:rsidR="00BF7E1C">
              <w:rPr>
                <w:lang w:val="de-DE"/>
              </w:rPr>
              <w:t>15</w:t>
            </w:r>
          </w:p>
        </w:tc>
        <w:tc>
          <w:tcPr>
            <w:tcW w:w="2563" w:type="dxa"/>
            <w:vAlign w:val="center"/>
          </w:tcPr>
          <w:p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:rsidR="00AF3004" w:rsidRPr="004A0E65" w:rsidRDefault="00AF3004">
            <w:pPr>
              <w:pStyle w:val="xLedtext"/>
              <w:rPr>
                <w:b/>
                <w:sz w:val="18"/>
                <w:szCs w:val="18"/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</w:tbl>
    <w:p w:rsidR="00AF3004" w:rsidRDefault="00AF3004">
      <w:pPr>
        <w:rPr>
          <w:b/>
          <w:bCs/>
        </w:rPr>
        <w:sectPr w:rsidR="00AF3004">
          <w:footerReference w:type="even" r:id="rId12"/>
          <w:footerReference w:type="default" r:id="rId13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AF3004" w:rsidRDefault="000C44D0">
      <w:pPr>
        <w:pStyle w:val="ArendeRubrik"/>
      </w:pPr>
      <w:r>
        <w:lastRenderedPageBreak/>
        <w:t xml:space="preserve">Förtydligande av </w:t>
      </w:r>
      <w:r w:rsidR="00AE6B29">
        <w:t>bestämmelserna om basbeloppen för grundskolan</w:t>
      </w:r>
    </w:p>
    <w:p w:rsidR="00AF3004" w:rsidRDefault="00AF3004">
      <w:pPr>
        <w:pStyle w:val="ANormal"/>
      </w:pPr>
    </w:p>
    <w:p w:rsidR="00AF3004" w:rsidRDefault="00AF3004">
      <w:pPr>
        <w:pStyle w:val="ANormal"/>
      </w:pPr>
    </w:p>
    <w:p w:rsidR="00AF3004" w:rsidRDefault="00AF3004">
      <w:pPr>
        <w:pStyle w:val="RubrikA"/>
      </w:pPr>
      <w:bookmarkStart w:id="1" w:name="_Toc529954426"/>
      <w:r>
        <w:t>Huvudsakligt innehåll</w:t>
      </w:r>
      <w:bookmarkEnd w:id="1"/>
    </w:p>
    <w:p w:rsidR="00AF3004" w:rsidRDefault="00AF3004">
      <w:pPr>
        <w:pStyle w:val="Rubrikmellanrum"/>
      </w:pPr>
    </w:p>
    <w:p w:rsidR="00CD24E8" w:rsidRDefault="009C789E" w:rsidP="00CD24E8">
      <w:pPr>
        <w:pStyle w:val="ANormal"/>
      </w:pPr>
      <w:r>
        <w:t>Landskapsregeringen föreslår att bestämmelserna om beräkning av ba</w:t>
      </w:r>
      <w:r>
        <w:t>s</w:t>
      </w:r>
      <w:r>
        <w:t>beloppen för grundskolan i landskapslagen om landskapsandelar till ko</w:t>
      </w:r>
      <w:r>
        <w:t>m</w:t>
      </w:r>
      <w:r>
        <w:t xml:space="preserve">munerna förtydligas. Genom förslaget </w:t>
      </w:r>
      <w:r w:rsidR="009B76DD">
        <w:t xml:space="preserve">korrigeras en otydlig formulering som innebär att tolkningen av lagen inte är entydig. Samtidigt </w:t>
      </w:r>
      <w:r w:rsidR="009262BD">
        <w:t xml:space="preserve">klargörs att </w:t>
      </w:r>
      <w:r w:rsidR="009B76DD">
        <w:t xml:space="preserve">basbeloppen för grundskolan ska beräknas enligt </w:t>
      </w:r>
      <w:r w:rsidR="00A3443D">
        <w:t>den</w:t>
      </w:r>
      <w:r w:rsidR="009B76DD">
        <w:t xml:space="preserve"> ursprungliga </w:t>
      </w:r>
      <w:r w:rsidR="00A3443D">
        <w:t>avsikten med lagen</w:t>
      </w:r>
      <w:r w:rsidR="009B76DD">
        <w:t>.</w:t>
      </w:r>
    </w:p>
    <w:p w:rsidR="00CD24E8" w:rsidRDefault="00CD24E8" w:rsidP="00CD24E8">
      <w:pPr>
        <w:pStyle w:val="ANormal"/>
      </w:pPr>
      <w:r>
        <w:tab/>
      </w:r>
      <w:r w:rsidR="00A3443D">
        <w:t>Den föreslagna lagändringen avses att bli tillämpa</w:t>
      </w:r>
      <w:r w:rsidR="00D40F98">
        <w:t>d</w:t>
      </w:r>
      <w:r w:rsidR="00A3443D">
        <w:t xml:space="preserve"> från och med fina</w:t>
      </w:r>
      <w:r w:rsidR="00A3443D">
        <w:t>n</w:t>
      </w:r>
      <w:r w:rsidR="00A3443D">
        <w:t xml:space="preserve">såret 2019. </w:t>
      </w:r>
      <w:r w:rsidR="00DD38F1">
        <w:t>Lagförslaget</w:t>
      </w:r>
      <w:r>
        <w:t xml:space="preserve"> sammanhänger med landskapsregeringens förslag till </w:t>
      </w:r>
      <w:r w:rsidR="00DD38F1">
        <w:t>budget för landskapet Åland 2019</w:t>
      </w:r>
      <w:r>
        <w:t xml:space="preserve"> på ett sådant sätt att den bör sättas i kraft på de grunder som anges i 20</w:t>
      </w:r>
      <w:r w:rsidR="00614310">
        <w:t> §</w:t>
      </w:r>
      <w:r>
        <w:t xml:space="preserve"> 3</w:t>
      </w:r>
      <w:r w:rsidR="00614310">
        <w:t> mom.</w:t>
      </w:r>
      <w:r>
        <w:t xml:space="preserve"> självstyrelselagen.</w:t>
      </w:r>
    </w:p>
    <w:p w:rsidR="00DD38F1" w:rsidRDefault="00DD38F1" w:rsidP="00CD24E8">
      <w:pPr>
        <w:pStyle w:val="ANormal"/>
      </w:pPr>
    </w:p>
    <w:p w:rsidR="00AF3004" w:rsidRDefault="003E0B6A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Innehll1"/>
      </w:pPr>
      <w:r>
        <w:lastRenderedPageBreak/>
        <w:t>INNEHÅLL</w:t>
      </w:r>
    </w:p>
    <w:p w:rsidR="00DF6FA2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529954426" w:history="1">
        <w:r w:rsidR="00DF6FA2" w:rsidRPr="001225DA">
          <w:rPr>
            <w:rStyle w:val="Hyperlnk"/>
          </w:rPr>
          <w:t>Huvudsakligt innehåll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_Toc529954426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1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27" w:history="1">
        <w:r w:rsidR="00DF6FA2" w:rsidRPr="001225DA">
          <w:rPr>
            <w:rStyle w:val="Hyperlnk"/>
          </w:rPr>
          <w:t>Allmän motivering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_Toc529954427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3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28" w:history="1">
        <w:r w:rsidR="00DF6FA2" w:rsidRPr="001225DA">
          <w:rPr>
            <w:rStyle w:val="Hyperlnk"/>
          </w:rPr>
          <w:t>1. Bakgrund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_Toc529954428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3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29" w:history="1">
        <w:r w:rsidR="00DF6FA2" w:rsidRPr="001225DA">
          <w:rPr>
            <w:rStyle w:val="Hyperlnk"/>
          </w:rPr>
          <w:t>1.1 Det nya landskapsandelssystemet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_Toc529954429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3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30" w:history="1">
        <w:r w:rsidR="00DF6FA2" w:rsidRPr="001225DA">
          <w:rPr>
            <w:rStyle w:val="Hyperlnk"/>
          </w:rPr>
          <w:t>1.2. Begreppet normkostnad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_Toc529954430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3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31" w:history="1">
        <w:r w:rsidR="00DF6FA2" w:rsidRPr="001225DA">
          <w:rPr>
            <w:rStyle w:val="Hyperlnk"/>
          </w:rPr>
          <w:t>1.3. Övergången till det nya systemet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_Toc529954431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3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32" w:history="1">
        <w:r w:rsidR="00DF6FA2" w:rsidRPr="001225DA">
          <w:rPr>
            <w:rStyle w:val="Hyperlnk"/>
          </w:rPr>
          <w:t>1.4. Oklarhet kring landskapsandelen för grundskolan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_Toc529954432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4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33" w:history="1">
        <w:r w:rsidR="00DF6FA2" w:rsidRPr="001225DA">
          <w:rPr>
            <w:rStyle w:val="Hyperlnk"/>
          </w:rPr>
          <w:t>2. Behov av ändring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_Toc529954433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5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34" w:history="1">
        <w:r w:rsidR="00DF6FA2" w:rsidRPr="001225DA">
          <w:rPr>
            <w:rStyle w:val="Hyperlnk"/>
          </w:rPr>
          <w:t>2.1. Basbeloppen för grundskolan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_Toc529954434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5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35" w:history="1">
        <w:r w:rsidR="00DF6FA2" w:rsidRPr="001225DA">
          <w:rPr>
            <w:rStyle w:val="Hyperlnk"/>
          </w:rPr>
          <w:t>2.2. Utjämningen under övergångsperioden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_Toc529954435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5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36" w:history="1">
        <w:r w:rsidR="00DF6FA2" w:rsidRPr="001225DA">
          <w:rPr>
            <w:rStyle w:val="Hyperlnk"/>
          </w:rPr>
          <w:t>3. Förslag till ändring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_Toc529954436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6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37" w:history="1">
        <w:r w:rsidR="00DF6FA2" w:rsidRPr="001225DA">
          <w:rPr>
            <w:rStyle w:val="Hyperlnk"/>
          </w:rPr>
          <w:t>4. Förslagets konsekvenser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_Toc529954437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6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38" w:history="1">
        <w:r w:rsidR="00DF6FA2" w:rsidRPr="001225DA">
          <w:rPr>
            <w:rStyle w:val="Hyperlnk"/>
          </w:rPr>
          <w:t>5. Förslagets beredning och ikraftträdande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_Toc529954438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7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39" w:history="1">
        <w:r w:rsidR="00DF6FA2" w:rsidRPr="001225DA">
          <w:rPr>
            <w:rStyle w:val="Hyperlnk"/>
          </w:rPr>
          <w:t>Detaljmotivering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_Toc529954439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8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40" w:history="1">
        <w:r w:rsidR="00DF6FA2" w:rsidRPr="001225DA">
          <w:rPr>
            <w:rStyle w:val="Hyperlnk"/>
          </w:rPr>
          <w:t>Lagtext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_Toc529954440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9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41" w:history="1">
        <w:r w:rsidR="00DF6FA2" w:rsidRPr="001225DA">
          <w:rPr>
            <w:rStyle w:val="Hyperlnk"/>
          </w:rPr>
          <w:t>L A N D S K A P S L A G om ändring av 17 § landskapslagen om landskapsandelar till kommunerna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_Toc529954441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9</w:t>
        </w:r>
        <w:r w:rsidR="00DF6FA2">
          <w:rPr>
            <w:webHidden/>
          </w:rPr>
          <w:fldChar w:fldCharType="end"/>
        </w:r>
      </w:hyperlink>
    </w:p>
    <w:p w:rsidR="00DF6FA2" w:rsidRDefault="003E0B6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954442" w:history="1">
        <w:r w:rsidR="00DF6FA2" w:rsidRPr="001225DA">
          <w:rPr>
            <w:rStyle w:val="Hyperlnk"/>
          </w:rPr>
          <w:t>Parallelltexter</w:t>
        </w:r>
        <w:r w:rsidR="00DF6FA2">
          <w:rPr>
            <w:webHidden/>
          </w:rPr>
          <w:tab/>
        </w:r>
        <w:r w:rsidR="00DF6FA2">
          <w:rPr>
            <w:webHidden/>
          </w:rPr>
          <w:fldChar w:fldCharType="begin"/>
        </w:r>
        <w:r w:rsidR="00DF6FA2">
          <w:rPr>
            <w:webHidden/>
          </w:rPr>
          <w:instrText xml:space="preserve"> PAGEREF _Toc529954442 \h </w:instrText>
        </w:r>
        <w:r w:rsidR="00DF6FA2">
          <w:rPr>
            <w:webHidden/>
          </w:rPr>
        </w:r>
        <w:r w:rsidR="00DF6FA2">
          <w:rPr>
            <w:webHidden/>
          </w:rPr>
          <w:fldChar w:fldCharType="separate"/>
        </w:r>
        <w:r w:rsidR="00DF6FA2">
          <w:rPr>
            <w:webHidden/>
          </w:rPr>
          <w:t>11</w:t>
        </w:r>
        <w:r w:rsidR="00DF6FA2">
          <w:rPr>
            <w:webHidden/>
          </w:rPr>
          <w:fldChar w:fldCharType="end"/>
        </w:r>
      </w:hyperlink>
    </w:p>
    <w:p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RubrikA"/>
      </w:pPr>
      <w:bookmarkStart w:id="2" w:name="_Toc529954427"/>
      <w:r>
        <w:lastRenderedPageBreak/>
        <w:t>Allmän motivering</w:t>
      </w:r>
      <w:bookmarkEnd w:id="2"/>
    </w:p>
    <w:p w:rsidR="00AF3004" w:rsidRDefault="00AF3004">
      <w:pPr>
        <w:pStyle w:val="Rubrikmellanrum"/>
      </w:pPr>
    </w:p>
    <w:p w:rsidR="00AF3004" w:rsidRDefault="00AF3004">
      <w:pPr>
        <w:pStyle w:val="RubrikB"/>
      </w:pPr>
      <w:bookmarkStart w:id="3" w:name="_Toc529954428"/>
      <w:r>
        <w:t>1. Bakgrund</w:t>
      </w:r>
      <w:bookmarkEnd w:id="3"/>
    </w:p>
    <w:p w:rsidR="00AF3004" w:rsidRDefault="00AF3004">
      <w:pPr>
        <w:pStyle w:val="Rubrikmellanrum"/>
      </w:pPr>
    </w:p>
    <w:p w:rsidR="00AF3004" w:rsidRDefault="00AF3004">
      <w:pPr>
        <w:pStyle w:val="RubrikC"/>
      </w:pPr>
      <w:bookmarkStart w:id="4" w:name="_Toc529954429"/>
      <w:r>
        <w:t xml:space="preserve">1.1 </w:t>
      </w:r>
      <w:r w:rsidR="00135ED2">
        <w:t>D</w:t>
      </w:r>
      <w:r w:rsidR="00BD3099">
        <w:t>et nya landskapsandelssystemet</w:t>
      </w:r>
      <w:bookmarkEnd w:id="4"/>
    </w:p>
    <w:p w:rsidR="00AF3004" w:rsidRDefault="00AF3004">
      <w:pPr>
        <w:pStyle w:val="Rubrikmellanrum"/>
      </w:pPr>
    </w:p>
    <w:p w:rsidR="00BB3C89" w:rsidRDefault="00F07375" w:rsidP="00F07375">
      <w:pPr>
        <w:pStyle w:val="ANormal"/>
      </w:pPr>
      <w:r>
        <w:t>Landskapslagen (2017:120) om landskapsandelar till kommunerna</w:t>
      </w:r>
      <w:r w:rsidR="00881E95">
        <w:t xml:space="preserve"> (</w:t>
      </w:r>
      <w:r w:rsidR="00881E95" w:rsidRPr="00881E95">
        <w:rPr>
          <w:i/>
        </w:rPr>
        <w:t>lan</w:t>
      </w:r>
      <w:r w:rsidR="00881E95" w:rsidRPr="00881E95">
        <w:rPr>
          <w:i/>
        </w:rPr>
        <w:t>d</w:t>
      </w:r>
      <w:r w:rsidR="00881E95" w:rsidRPr="00881E95">
        <w:rPr>
          <w:i/>
        </w:rPr>
        <w:t>skapsandelslagen</w:t>
      </w:r>
      <w:r w:rsidR="00881E95">
        <w:t>)</w:t>
      </w:r>
      <w:r>
        <w:t xml:space="preserve"> trädde i kraft den 1 januari 2018, vilket innebar att ett helt nytt landskapsandelssystem började tillämpas från och med detta fina</w:t>
      </w:r>
      <w:r>
        <w:t>n</w:t>
      </w:r>
      <w:r>
        <w:t xml:space="preserve">sår. </w:t>
      </w:r>
      <w:r w:rsidR="00BB3C89">
        <w:t>I princip beräknas landskapsandelarna i det nya landskapsandelssyst</w:t>
      </w:r>
      <w:r w:rsidR="00BB3C89">
        <w:t>e</w:t>
      </w:r>
      <w:r w:rsidR="00BB3C89">
        <w:t>met på samma sätt som i det tidigare systemet, till exempel utgör basbelo</w:t>
      </w:r>
      <w:r w:rsidR="00BB3C89">
        <w:t>p</w:t>
      </w:r>
      <w:r w:rsidR="00BB3C89">
        <w:t>pet fortfarande grunden för beräkningen. En del nya begrepp introducer</w:t>
      </w:r>
      <w:r w:rsidR="00BB3C89">
        <w:t>a</w:t>
      </w:r>
      <w:r w:rsidR="00BB3C89">
        <w:t>des emellertid</w:t>
      </w:r>
      <w:r w:rsidR="00BF0D4D">
        <w:t xml:space="preserve"> för att göra systemet tydligare</w:t>
      </w:r>
      <w:r w:rsidR="00BB3C89">
        <w:t>.</w:t>
      </w:r>
    </w:p>
    <w:p w:rsidR="00B45637" w:rsidRDefault="00B45637" w:rsidP="00B45637">
      <w:pPr>
        <w:pStyle w:val="ANormal"/>
      </w:pPr>
      <w:r>
        <w:tab/>
        <w:t xml:space="preserve">En av de grundläggande principerna </w:t>
      </w:r>
      <w:r w:rsidR="00BF0D4D">
        <w:t xml:space="preserve">som betonas </w:t>
      </w:r>
      <w:r>
        <w:t>i det nya landskapsa</w:t>
      </w:r>
      <w:r>
        <w:t>n</w:t>
      </w:r>
      <w:r>
        <w:t xml:space="preserve">delssystemet </w:t>
      </w:r>
      <w:r w:rsidR="00BF0D4D">
        <w:t xml:space="preserve">är </w:t>
      </w:r>
      <w:r>
        <w:t>att landskapsandelarna inte öronmärks för de olika ver</w:t>
      </w:r>
      <w:r>
        <w:t>k</w:t>
      </w:r>
      <w:r>
        <w:t xml:space="preserve">samhetsområdena. Begreppet </w:t>
      </w:r>
      <w:r>
        <w:rPr>
          <w:i/>
        </w:rPr>
        <w:t>kostnadsbaserad landskapsandel</w:t>
      </w:r>
      <w:r>
        <w:t xml:space="preserve"> tydliggör istället att landskapsandelen har sin grund i kommunernas driftskostnader för verksamhetsområdet ifråga. De kostnadsbaserade landskapsandelarna fastställs med en normkostnad som grund, medan de landskapsandelar som inte är kostnadsbaserade inte har denna koppling till de faktiska driftskos</w:t>
      </w:r>
      <w:r>
        <w:t>t</w:t>
      </w:r>
      <w:r>
        <w:t>naderna. Landskapsandelarna för socialvården, den samordnade socialtjän</w:t>
      </w:r>
      <w:r>
        <w:t>s</w:t>
      </w:r>
      <w:r>
        <w:t>ten, grundskolan och träningsundervisningen är kostnadsbaserade medan landskapsandelarna för medborgarinstitut och kulturverksamhet inte är kostnadsbaserade.</w:t>
      </w:r>
    </w:p>
    <w:p w:rsidR="00B45637" w:rsidRDefault="00B45637" w:rsidP="00B45637">
      <w:pPr>
        <w:pStyle w:val="ANormal"/>
      </w:pPr>
    </w:p>
    <w:p w:rsidR="00B45637" w:rsidRDefault="00B45637" w:rsidP="00B45637">
      <w:pPr>
        <w:pStyle w:val="RubrikC"/>
      </w:pPr>
      <w:bookmarkStart w:id="5" w:name="_Toc529954430"/>
      <w:r>
        <w:t>1.2. Begreppet normkostnad</w:t>
      </w:r>
      <w:bookmarkEnd w:id="5"/>
    </w:p>
    <w:p w:rsidR="00B45637" w:rsidRDefault="00B45637" w:rsidP="00B45637">
      <w:pPr>
        <w:pStyle w:val="Rubrikmellanrum"/>
      </w:pPr>
    </w:p>
    <w:p w:rsidR="00B065B9" w:rsidRDefault="00CE2FFC" w:rsidP="00CE2FFC">
      <w:pPr>
        <w:pStyle w:val="ANormal"/>
      </w:pPr>
      <w:r>
        <w:t xml:space="preserve">Begreppet </w:t>
      </w:r>
      <w:r>
        <w:rPr>
          <w:i/>
        </w:rPr>
        <w:t>normkostnad</w:t>
      </w:r>
      <w:r>
        <w:t xml:space="preserve"> är ett begrepp som inte fanns i det tidigare lan</w:t>
      </w:r>
      <w:r>
        <w:t>d</w:t>
      </w:r>
      <w:r>
        <w:t xml:space="preserve">skapsandelssystemet. Med normkostnaden avses enligt definitionen </w:t>
      </w:r>
      <w:r w:rsidR="00810B03">
        <w:t>i lan</w:t>
      </w:r>
      <w:r w:rsidR="00810B03">
        <w:t>d</w:t>
      </w:r>
      <w:r w:rsidR="00810B03">
        <w:t>skapsandelslagens 2</w:t>
      </w:r>
      <w:r w:rsidR="00614310">
        <w:t> §</w:t>
      </w:r>
      <w:r w:rsidR="00810B03">
        <w:t xml:space="preserve"> 4 p. </w:t>
      </w:r>
      <w:r>
        <w:t xml:space="preserve">”en för varje kommun kalkylerad kostnad som har sin grund i kommunernas sammanlagda nettodriftskostnader för ett verksamhetsområde”. </w:t>
      </w:r>
      <w:r w:rsidR="007F16A5">
        <w:t xml:space="preserve">Beräkningen av kommunens normkostnad baseras på antalet invånare i olika åldersgrupper i kommunen och fastställda </w:t>
      </w:r>
      <w:r w:rsidR="007F16A5" w:rsidRPr="00BD3099">
        <w:t>ba</w:t>
      </w:r>
      <w:r w:rsidR="007F16A5" w:rsidRPr="00BD3099">
        <w:t>s</w:t>
      </w:r>
      <w:r w:rsidR="007F16A5" w:rsidRPr="00BD3099">
        <w:t>belopp</w:t>
      </w:r>
      <w:r w:rsidR="007F16A5">
        <w:t>.</w:t>
      </w:r>
      <w:r w:rsidR="00810B03">
        <w:t xml:space="preserve"> </w:t>
      </w:r>
      <w:r w:rsidRPr="00810B03">
        <w:t>Basbeloppet</w:t>
      </w:r>
      <w:r>
        <w:t xml:space="preserve"> är en kalkylerad kostnad per invånare</w:t>
      </w:r>
      <w:r w:rsidR="007F16A5">
        <w:t xml:space="preserve">, och </w:t>
      </w:r>
      <w:r w:rsidR="000B69ED">
        <w:t xml:space="preserve">det </w:t>
      </w:r>
      <w:r w:rsidR="007F16A5">
        <w:t>begre</w:t>
      </w:r>
      <w:r w:rsidR="007F16A5">
        <w:t>p</w:t>
      </w:r>
      <w:r w:rsidR="007F16A5">
        <w:t xml:space="preserve">pet har samma betydelse i det nya systemet som i det tidigare. </w:t>
      </w:r>
      <w:r w:rsidR="000B69ED">
        <w:t xml:space="preserve">Basbeloppen </w:t>
      </w:r>
      <w:r w:rsidR="007F16A5">
        <w:t xml:space="preserve">fastställs årligen </w:t>
      </w:r>
      <w:r w:rsidR="00B065B9">
        <w:t xml:space="preserve">genom att föregående års basbelopp </w:t>
      </w:r>
      <w:r w:rsidR="0019775A">
        <w:t>justeras med förän</w:t>
      </w:r>
      <w:r w:rsidR="0019775A">
        <w:t>d</w:t>
      </w:r>
      <w:r w:rsidR="0019775A">
        <w:t>ringen i kostnadsnivån enligt prisindex för den kommunala basservicen på Åland</w:t>
      </w:r>
      <w:r w:rsidR="00B065B9">
        <w:t>.</w:t>
      </w:r>
    </w:p>
    <w:p w:rsidR="007F16A5" w:rsidRDefault="00B065B9" w:rsidP="00CE2FFC">
      <w:pPr>
        <w:pStyle w:val="ANormal"/>
      </w:pPr>
      <w:r>
        <w:tab/>
        <w:t>Vart fjärde år sker en uppföljning av normkostnaderna genom att nor</w:t>
      </w:r>
      <w:r>
        <w:t>m</w:t>
      </w:r>
      <w:r>
        <w:t>kostnaden jämförs med den verkliga nettodriftskostnaden på respektive verksamhetsområde. Eftersom uppföljningen sker för landskapet som he</w:t>
      </w:r>
      <w:r>
        <w:t>l</w:t>
      </w:r>
      <w:r>
        <w:t>het jämförs alla kommuners sammanlagda normkostnader med de samma</w:t>
      </w:r>
      <w:r>
        <w:t>n</w:t>
      </w:r>
      <w:r>
        <w:t xml:space="preserve">lagda nettodriftskostnaderna på varje verksamhetsområde. </w:t>
      </w:r>
      <w:r w:rsidR="00BF58B3">
        <w:t>Om det visar sig vara skillnad mellan normkostnader och nettodriftskostnader ska basbelo</w:t>
      </w:r>
      <w:r w:rsidR="00BF58B3">
        <w:t>p</w:t>
      </w:r>
      <w:r w:rsidR="00BF58B3">
        <w:t>pen justeras så att normkostnaden motsvarar nettodriftskostnaden. De just</w:t>
      </w:r>
      <w:r w:rsidR="00BF58B3">
        <w:t>e</w:t>
      </w:r>
      <w:r w:rsidR="00BF58B3">
        <w:t>rade basbeloppen utgör sedan grund för fastställande av basbeloppen för nästa finansår.</w:t>
      </w:r>
    </w:p>
    <w:p w:rsidR="00BD3099" w:rsidRDefault="00BD3099" w:rsidP="00CE2FFC">
      <w:pPr>
        <w:pStyle w:val="ANormal"/>
      </w:pPr>
    </w:p>
    <w:p w:rsidR="00BD3099" w:rsidRDefault="00BD3099" w:rsidP="00BD3099">
      <w:pPr>
        <w:pStyle w:val="RubrikC"/>
      </w:pPr>
      <w:bookmarkStart w:id="6" w:name="_Toc529954431"/>
      <w:r>
        <w:t>1.</w:t>
      </w:r>
      <w:r w:rsidR="00B45637">
        <w:t>3</w:t>
      </w:r>
      <w:r>
        <w:t>. Övergången till det nya systemet</w:t>
      </w:r>
      <w:bookmarkEnd w:id="6"/>
    </w:p>
    <w:p w:rsidR="0019775A" w:rsidRDefault="0019775A" w:rsidP="0019775A">
      <w:pPr>
        <w:pStyle w:val="Rubrikmellanrum"/>
      </w:pPr>
    </w:p>
    <w:p w:rsidR="0019775A" w:rsidRPr="0019775A" w:rsidRDefault="000E3787" w:rsidP="0019775A">
      <w:pPr>
        <w:pStyle w:val="ANormal"/>
      </w:pPr>
      <w:r>
        <w:t>I</w:t>
      </w:r>
      <w:r w:rsidR="0019775A">
        <w:t xml:space="preserve"> det nya landskapsandelssystemet</w:t>
      </w:r>
      <w:r>
        <w:t>, liksom i det tidigare,</w:t>
      </w:r>
      <w:r w:rsidR="0019775A">
        <w:t xml:space="preserve"> är regeln </w:t>
      </w:r>
      <w:r w:rsidR="000B69ED">
        <w:t xml:space="preserve">således </w:t>
      </w:r>
      <w:r w:rsidR="0019775A">
        <w:t xml:space="preserve">att basbeloppen för </w:t>
      </w:r>
      <w:r w:rsidR="000B69ED">
        <w:t>nästa</w:t>
      </w:r>
      <w:r w:rsidR="0019775A">
        <w:t xml:space="preserve"> finansår fastställs genom att årets basbelopp i</w:t>
      </w:r>
      <w:r w:rsidR="0019775A">
        <w:t>n</w:t>
      </w:r>
      <w:r w:rsidR="0019775A">
        <w:t xml:space="preserve">dexjusteras. Vid övergången till ett nytt system måste dock nya basbelopp beräknas, </w:t>
      </w:r>
      <w:r w:rsidR="00135ED2">
        <w:t xml:space="preserve">vilket sker på samma sätt som </w:t>
      </w:r>
      <w:r w:rsidR="0019775A">
        <w:t xml:space="preserve">vid </w:t>
      </w:r>
      <w:r w:rsidR="00236A3F">
        <w:t>d</w:t>
      </w:r>
      <w:r w:rsidR="00B45637">
        <w:t xml:space="preserve">en </w:t>
      </w:r>
      <w:r w:rsidR="0019775A">
        <w:t>uppföljning av normkos</w:t>
      </w:r>
      <w:r w:rsidR="0019775A">
        <w:t>t</w:t>
      </w:r>
      <w:r w:rsidR="0019775A">
        <w:t>naderna</w:t>
      </w:r>
      <w:r w:rsidR="001A2F23">
        <w:t xml:space="preserve"> som enligt lagen ska göras vart fjärde år</w:t>
      </w:r>
      <w:r w:rsidR="0019775A">
        <w:t>.</w:t>
      </w:r>
    </w:p>
    <w:p w:rsidR="009C3E63" w:rsidRDefault="00BD3099" w:rsidP="00BD3099">
      <w:pPr>
        <w:pStyle w:val="ANormal"/>
      </w:pPr>
      <w:r>
        <w:tab/>
        <w:t xml:space="preserve">Vid övergången till det nya landskapsandelssystemet fastställdes </w:t>
      </w:r>
      <w:r w:rsidR="00B45637">
        <w:t xml:space="preserve">nya </w:t>
      </w:r>
      <w:r>
        <w:t>basbelopp för socialvårdsområdet, grundskolan och träningsundervisningen</w:t>
      </w:r>
      <w:r w:rsidR="001A2F23">
        <w:t xml:space="preserve"> </w:t>
      </w:r>
      <w:r w:rsidR="004B7ADB">
        <w:t>med nettodriftskostnaderna finansåret 2015 som grund</w:t>
      </w:r>
      <w:r>
        <w:t>. Enligt landskap</w:t>
      </w:r>
      <w:r>
        <w:t>s</w:t>
      </w:r>
      <w:r>
        <w:t>andelslagens 50</w:t>
      </w:r>
      <w:r w:rsidR="00614310">
        <w:t> §</w:t>
      </w:r>
      <w:r>
        <w:t xml:space="preserve"> 1</w:t>
      </w:r>
      <w:r w:rsidR="00614310">
        <w:t> mom.</w:t>
      </w:r>
      <w:r>
        <w:t xml:space="preserve"> </w:t>
      </w:r>
      <w:r w:rsidR="00D81972">
        <w:t xml:space="preserve">beräknades </w:t>
      </w:r>
      <w:r>
        <w:t xml:space="preserve">basbeloppen genom tillämpning av </w:t>
      </w:r>
      <w:r>
        <w:lastRenderedPageBreak/>
        <w:t>18</w:t>
      </w:r>
      <w:r w:rsidR="00D81972">
        <w:t xml:space="preserve"> </w:t>
      </w:r>
      <w:r>
        <w:t>och 19</w:t>
      </w:r>
      <w:r w:rsidR="00614310">
        <w:t> §</w:t>
      </w:r>
      <w:r>
        <w:t>§</w:t>
      </w:r>
      <w:r w:rsidR="00D81972">
        <w:t>,</w:t>
      </w:r>
      <w:r>
        <w:t xml:space="preserve"> </w:t>
      </w:r>
      <w:r w:rsidR="00D81972">
        <w:t>varefter</w:t>
      </w:r>
      <w:r>
        <w:t xml:space="preserve"> </w:t>
      </w:r>
      <w:r w:rsidR="00135ED2">
        <w:t xml:space="preserve">de </w:t>
      </w:r>
      <w:r w:rsidR="00D81972">
        <w:t xml:space="preserve">justerades </w:t>
      </w:r>
      <w:r>
        <w:t>med förändringen i kostnadsnivån e</w:t>
      </w:r>
      <w:r>
        <w:t>n</w:t>
      </w:r>
      <w:r>
        <w:t>ligt prisindex för den kommunala basservicen på Åland. Lagens 18</w:t>
      </w:r>
      <w:r w:rsidR="00614310">
        <w:t> §</w:t>
      </w:r>
      <w:r>
        <w:t xml:space="preserve"> anger vilka kostnader som beaktas</w:t>
      </w:r>
      <w:r w:rsidR="00877AF5">
        <w:t xml:space="preserve"> medan</w:t>
      </w:r>
      <w:r w:rsidR="009C3E63">
        <w:t xml:space="preserve"> 19</w:t>
      </w:r>
      <w:r w:rsidR="00614310">
        <w:t> §</w:t>
      </w:r>
      <w:r w:rsidR="009C3E63">
        <w:t xml:space="preserve"> anger hur de olika basbeloppen beräknas</w:t>
      </w:r>
      <w:r>
        <w:t>.</w:t>
      </w:r>
    </w:p>
    <w:p w:rsidR="00BD3099" w:rsidRDefault="009C3E63" w:rsidP="00BD3099">
      <w:pPr>
        <w:pStyle w:val="ANormal"/>
      </w:pPr>
      <w:r>
        <w:tab/>
      </w:r>
      <w:r w:rsidR="00BD3099">
        <w:t>Av 19</w:t>
      </w:r>
      <w:r w:rsidR="00614310">
        <w:t> §</w:t>
      </w:r>
      <w:r w:rsidR="00BD3099">
        <w:t xml:space="preserve"> 3</w:t>
      </w:r>
      <w:r w:rsidR="00614310">
        <w:t> mom.</w:t>
      </w:r>
      <w:r w:rsidR="00BD3099">
        <w:t xml:space="preserve"> framgår hur basbeloppen för grundskolan </w:t>
      </w:r>
      <w:r w:rsidR="00D81972">
        <w:t xml:space="preserve">ska </w:t>
      </w:r>
      <w:r w:rsidR="00BD3099">
        <w:t>beräknas</w:t>
      </w:r>
      <w:r>
        <w:t>. F</w:t>
      </w:r>
      <w:r w:rsidR="00BD3099">
        <w:t>örst</w:t>
      </w:r>
      <w:r>
        <w:t xml:space="preserve"> beräkna</w:t>
      </w:r>
      <w:r w:rsidR="00D81972">
        <w:t>de</w:t>
      </w:r>
      <w:r>
        <w:t>s ett basbelopp</w:t>
      </w:r>
      <w:r w:rsidR="00BD3099">
        <w:t xml:space="preserve"> genom att nettodriftskostnade</w:t>
      </w:r>
      <w:r>
        <w:t>rna</w:t>
      </w:r>
      <w:r w:rsidR="00BD3099">
        <w:t xml:space="preserve"> för grun</w:t>
      </w:r>
      <w:r w:rsidR="00BD3099">
        <w:t>d</w:t>
      </w:r>
      <w:r w:rsidR="00BD3099">
        <w:t>skolan dividera</w:t>
      </w:r>
      <w:r w:rsidR="00D81972">
        <w:t>de</w:t>
      </w:r>
      <w:r w:rsidR="00BD3099">
        <w:t>s med antalet invånare i åldern 6–15</w:t>
      </w:r>
      <w:r w:rsidR="00614310">
        <w:t xml:space="preserve"> </w:t>
      </w:r>
      <w:r w:rsidR="00BD3099">
        <w:t>år</w:t>
      </w:r>
      <w:r>
        <w:t>.</w:t>
      </w:r>
      <w:r w:rsidR="00BD3099">
        <w:t xml:space="preserve"> </w:t>
      </w:r>
      <w:r>
        <w:t>D</w:t>
      </w:r>
      <w:r w:rsidR="00BD3099">
        <w:t>ärefter multipl</w:t>
      </w:r>
      <w:r w:rsidR="00BD3099">
        <w:t>i</w:t>
      </w:r>
      <w:r w:rsidR="00BD3099">
        <w:t>cera</w:t>
      </w:r>
      <w:r w:rsidR="00D81972">
        <w:t>de</w:t>
      </w:r>
      <w:r w:rsidR="00BD3099">
        <w:t xml:space="preserve">s </w:t>
      </w:r>
      <w:r>
        <w:t xml:space="preserve">detta basbelopp </w:t>
      </w:r>
      <w:r w:rsidR="00BD3099">
        <w:t>med de koefficienter</w:t>
      </w:r>
      <w:r w:rsidR="00B45637">
        <w:t xml:space="preserve"> som anges i paragrafen</w:t>
      </w:r>
      <w:r>
        <w:t>, för att få fram basbeloppen för de olika intervallen som anges i 9</w:t>
      </w:r>
      <w:r w:rsidR="00614310">
        <w:t> §</w:t>
      </w:r>
      <w:r w:rsidR="00BD3099">
        <w:t>. Denna b</w:t>
      </w:r>
      <w:r w:rsidR="00BD3099">
        <w:t>e</w:t>
      </w:r>
      <w:r w:rsidR="00BD3099">
        <w:t xml:space="preserve">räkning resulterade i de basbelopp </w:t>
      </w:r>
      <w:r>
        <w:t xml:space="preserve">för grundskolan </w:t>
      </w:r>
      <w:r w:rsidR="00BD3099">
        <w:t>som landskapsregerin</w:t>
      </w:r>
      <w:r w:rsidR="00BD3099">
        <w:t>g</w:t>
      </w:r>
      <w:r w:rsidR="00BD3099">
        <w:t xml:space="preserve">en fastställde </w:t>
      </w:r>
      <w:r w:rsidR="001A2F23">
        <w:t>genom</w:t>
      </w:r>
      <w:r w:rsidR="00BD3099">
        <w:t xml:space="preserve"> sitt beslut den 9</w:t>
      </w:r>
      <w:r w:rsidR="00614310">
        <w:t xml:space="preserve"> </w:t>
      </w:r>
      <w:r w:rsidR="00BD3099">
        <w:t>januari 2018.</w:t>
      </w:r>
    </w:p>
    <w:p w:rsidR="002E7B01" w:rsidRDefault="002E7B01" w:rsidP="00CE2FFC">
      <w:pPr>
        <w:pStyle w:val="ANormal"/>
      </w:pPr>
    </w:p>
    <w:p w:rsidR="002E7B01" w:rsidRDefault="00A23A47" w:rsidP="00A23A47">
      <w:pPr>
        <w:pStyle w:val="RubrikC"/>
      </w:pPr>
      <w:bookmarkStart w:id="7" w:name="_Toc529954432"/>
      <w:r>
        <w:t>1.4</w:t>
      </w:r>
      <w:r w:rsidR="00FA1977">
        <w:t xml:space="preserve">. </w:t>
      </w:r>
      <w:r>
        <w:t>Oklarhet kring landskapsandelen för grundskolan</w:t>
      </w:r>
      <w:bookmarkEnd w:id="7"/>
    </w:p>
    <w:p w:rsidR="00FA1977" w:rsidRDefault="00FA1977" w:rsidP="00FA1977">
      <w:pPr>
        <w:pStyle w:val="Rubrikmellanrum"/>
      </w:pPr>
    </w:p>
    <w:p w:rsidR="00210D85" w:rsidRDefault="001A2F23" w:rsidP="00210D85">
      <w:pPr>
        <w:pStyle w:val="ANormal"/>
      </w:pPr>
      <w:r>
        <w:t>Efter att basbeloppen för finansåret 2018 hade fastställts har landskapsreg</w:t>
      </w:r>
      <w:r>
        <w:t>e</w:t>
      </w:r>
      <w:r>
        <w:t xml:space="preserve">ringen uppmärksammats på en oklarhet i det nya landskapsandelssystemet vad beträffar landskapsandelen för grundskolan. Det har visat sig att </w:t>
      </w:r>
      <w:r w:rsidR="00210D85">
        <w:t>om kommunernas normkostnader för grundskolan beräknas med de basbelopp som landskapsregeringen fastställ</w:t>
      </w:r>
      <w:r w:rsidR="000B69ED">
        <w:t>de i januari 2018</w:t>
      </w:r>
      <w:r w:rsidR="00210D85">
        <w:t>, kommer de</w:t>
      </w:r>
      <w:r>
        <w:t xml:space="preserve"> samma</w:t>
      </w:r>
      <w:r>
        <w:t>n</w:t>
      </w:r>
      <w:r>
        <w:t>lagda normkostnader</w:t>
      </w:r>
      <w:r w:rsidR="00210D85">
        <w:t>na</w:t>
      </w:r>
      <w:r>
        <w:t xml:space="preserve"> inte </w:t>
      </w:r>
      <w:r w:rsidR="00210D85">
        <w:t xml:space="preserve">att </w:t>
      </w:r>
      <w:r>
        <w:t>motsvara de sammanlagda nettodriftskos</w:t>
      </w:r>
      <w:r>
        <w:t>t</w:t>
      </w:r>
      <w:r>
        <w:t>naderna</w:t>
      </w:r>
      <w:r w:rsidR="00210D85">
        <w:t xml:space="preserve">. </w:t>
      </w:r>
      <w:r w:rsidR="000B69ED">
        <w:t>Trots att</w:t>
      </w:r>
      <w:r w:rsidR="00210D85">
        <w:t xml:space="preserve"> basbeloppen har beräknats enligt reglerna i lagen </w:t>
      </w:r>
      <w:r w:rsidR="000B69ED">
        <w:t>leder b</w:t>
      </w:r>
      <w:r w:rsidR="00210D85">
        <w:t>eräkningen till att de sammanlagda normkostnaderna blir 24 </w:t>
      </w:r>
      <w:r w:rsidR="000B69ED">
        <w:t>miljoner</w:t>
      </w:r>
      <w:r w:rsidR="00614310">
        <w:t xml:space="preserve"> </w:t>
      </w:r>
      <w:r w:rsidR="00210D85">
        <w:t xml:space="preserve">euro, medan de </w:t>
      </w:r>
      <w:r w:rsidR="000B69ED">
        <w:t>för att motsvara</w:t>
      </w:r>
      <w:r w:rsidR="00210D85">
        <w:t xml:space="preserve"> nettodriftskostnaderna borde vara 37</w:t>
      </w:r>
      <w:r w:rsidR="000B69ED">
        <w:t>,5</w:t>
      </w:r>
      <w:r w:rsidR="00210D85">
        <w:t> </w:t>
      </w:r>
      <w:r w:rsidR="000B69ED">
        <w:t xml:space="preserve">miljoner </w:t>
      </w:r>
      <w:r w:rsidR="00210D85">
        <w:t>euro.</w:t>
      </w:r>
    </w:p>
    <w:p w:rsidR="00EE1DEB" w:rsidRDefault="00404B1A" w:rsidP="00CE2FFC">
      <w:pPr>
        <w:pStyle w:val="ANormal"/>
      </w:pPr>
      <w:r>
        <w:tab/>
        <w:t>Orsaken till att det uppstå</w:t>
      </w:r>
      <w:r w:rsidR="000B69ED">
        <w:t>r</w:t>
      </w:r>
      <w:r>
        <w:t xml:space="preserve"> en </w:t>
      </w:r>
      <w:r w:rsidR="000B69ED">
        <w:t>differens</w:t>
      </w:r>
      <w:r>
        <w:t xml:space="preserve"> är att det har visat sig finnas en motsägelse i landskapsandelslagen när det gäller användningen av begre</w:t>
      </w:r>
      <w:r>
        <w:t>p</w:t>
      </w:r>
      <w:r>
        <w:t xml:space="preserve">pet </w:t>
      </w:r>
      <w:r w:rsidR="000B69ED">
        <w:t>”</w:t>
      </w:r>
      <w:r>
        <w:t>normkostnad</w:t>
      </w:r>
      <w:r w:rsidR="000B69ED">
        <w:t>”</w:t>
      </w:r>
      <w:r>
        <w:t xml:space="preserve">. </w:t>
      </w:r>
      <w:r w:rsidR="00AD2549">
        <w:t xml:space="preserve">Definitionen av begreppet och </w:t>
      </w:r>
      <w:r w:rsidR="00161E1A">
        <w:t>reglerna om uppföl</w:t>
      </w:r>
      <w:r w:rsidR="00161E1A">
        <w:t>j</w:t>
      </w:r>
      <w:r w:rsidR="00161E1A">
        <w:t xml:space="preserve">ningen av </w:t>
      </w:r>
      <w:r w:rsidR="000B69ED">
        <w:t>normkostnaderna</w:t>
      </w:r>
      <w:r w:rsidR="00161E1A">
        <w:t xml:space="preserve"> utgår från antagandet att de enskilda komm</w:t>
      </w:r>
      <w:r w:rsidR="00161E1A">
        <w:t>u</w:t>
      </w:r>
      <w:r w:rsidR="00161E1A">
        <w:t xml:space="preserve">nernas normkostnader på ett verksamhetsområde tillsammans utgör de </w:t>
      </w:r>
      <w:r>
        <w:t>t</w:t>
      </w:r>
      <w:r>
        <w:t>o</w:t>
      </w:r>
      <w:r>
        <w:t>tala</w:t>
      </w:r>
      <w:r w:rsidR="00161E1A">
        <w:t xml:space="preserve"> normkostnade</w:t>
      </w:r>
      <w:r>
        <w:t xml:space="preserve">rna </w:t>
      </w:r>
      <w:r w:rsidR="00161E1A">
        <w:t xml:space="preserve">för </w:t>
      </w:r>
      <w:r w:rsidR="00910503">
        <w:t xml:space="preserve">det avsedda </w:t>
      </w:r>
      <w:r w:rsidR="00161E1A">
        <w:t>området.</w:t>
      </w:r>
    </w:p>
    <w:p w:rsidR="007A5580" w:rsidRDefault="00EE1DEB" w:rsidP="00CE2FFC">
      <w:pPr>
        <w:pStyle w:val="ANormal"/>
      </w:pPr>
      <w:r>
        <w:tab/>
      </w:r>
      <w:r w:rsidR="00910503">
        <w:t>Vid uppföljningen av normkostnade</w:t>
      </w:r>
      <w:r w:rsidR="00404B1A">
        <w:t>r</w:t>
      </w:r>
      <w:r w:rsidR="00910503">
        <w:t>n</w:t>
      </w:r>
      <w:r w:rsidR="00404B1A">
        <w:t>a</w:t>
      </w:r>
      <w:r w:rsidR="00910503">
        <w:t xml:space="preserve"> vart fjärde år och vid </w:t>
      </w:r>
      <w:r w:rsidR="00404B1A">
        <w:t>öve</w:t>
      </w:r>
      <w:r w:rsidR="00404B1A">
        <w:t>r</w:t>
      </w:r>
      <w:r w:rsidR="00910503">
        <w:t xml:space="preserve">gången </w:t>
      </w:r>
      <w:r w:rsidR="00404B1A">
        <w:t>t</w:t>
      </w:r>
      <w:r w:rsidR="00910503">
        <w:t>i</w:t>
      </w:r>
      <w:r w:rsidR="00404B1A">
        <w:t>ll</w:t>
      </w:r>
      <w:r w:rsidR="00910503">
        <w:t xml:space="preserve"> det nya systemet </w:t>
      </w:r>
      <w:r w:rsidR="007A5580">
        <w:t>kan man</w:t>
      </w:r>
      <w:r w:rsidR="000B69ED">
        <w:t>,</w:t>
      </w:r>
      <w:r w:rsidR="007A5580">
        <w:t xml:space="preserve"> </w:t>
      </w:r>
      <w:r w:rsidR="000B69ED">
        <w:t xml:space="preserve">för att åskådliggöra skillnaden, </w:t>
      </w:r>
      <w:r w:rsidR="007A5580">
        <w:t xml:space="preserve">säga att </w:t>
      </w:r>
      <w:r w:rsidR="00910503">
        <w:t xml:space="preserve">basbeloppen </w:t>
      </w:r>
      <w:r w:rsidR="007A5580">
        <w:t>för socialvårdsområdet</w:t>
      </w:r>
      <w:r w:rsidR="007A5580" w:rsidRPr="007A5580">
        <w:t xml:space="preserve"> </w:t>
      </w:r>
      <w:r w:rsidR="007A5580">
        <w:t>beräknas i ett steg. Beräkningen sker genom att de sammanlagda nettodriftskostnade</w:t>
      </w:r>
      <w:r w:rsidR="00404B1A">
        <w:t>rna</w:t>
      </w:r>
      <w:r w:rsidR="0093484B">
        <w:t xml:space="preserve"> för socialvård</w:t>
      </w:r>
      <w:r w:rsidR="007A5580">
        <w:t xml:space="preserve"> för en viss åldersgrupp divideras med antalet invånare i landskapet i den ålder</w:t>
      </w:r>
      <w:r w:rsidR="007A5580">
        <w:t>s</w:t>
      </w:r>
      <w:r w:rsidR="007A5580">
        <w:t>gruppen, och kvoten är basbeloppet för den åldersgruppen. För varje ko</w:t>
      </w:r>
      <w:r w:rsidR="007A5580">
        <w:t>m</w:t>
      </w:r>
      <w:r w:rsidR="007A5580">
        <w:t>mun multipliceras sedan basbeloppet med antalet invånare i kommunen i åldersgruppen. Produkten är kommunens normkostnad för socialvårdso</w:t>
      </w:r>
      <w:r w:rsidR="007A5580">
        <w:t>m</w:t>
      </w:r>
      <w:r w:rsidR="007A5580">
        <w:t>rådet och alla kommuners sammanlagda normkostnader motsvarar de sammanlagda nettodriftskostnade</w:t>
      </w:r>
      <w:r w:rsidR="00404B1A">
        <w:t>rna</w:t>
      </w:r>
      <w:r w:rsidR="007A5580">
        <w:t>, som utgjorde grunden för beräknin</w:t>
      </w:r>
      <w:r w:rsidR="007A5580">
        <w:t>g</w:t>
      </w:r>
      <w:r w:rsidR="007A5580">
        <w:t>en.</w:t>
      </w:r>
    </w:p>
    <w:p w:rsidR="00EE1DEB" w:rsidRDefault="007A5580" w:rsidP="00EE1DEB">
      <w:pPr>
        <w:pStyle w:val="ANormal"/>
      </w:pPr>
      <w:r>
        <w:tab/>
      </w:r>
      <w:r w:rsidR="00F12D4C">
        <w:t xml:space="preserve">När det gäller grundskolan </w:t>
      </w:r>
      <w:r w:rsidR="002874A3">
        <w:t>stämmer emellertid inte</w:t>
      </w:r>
      <w:r w:rsidR="00F12D4C">
        <w:t xml:space="preserve"> antagandet om att kommunernas normkostnader tillsammans utgör de totala normkostnade</w:t>
      </w:r>
      <w:r w:rsidR="00404B1A">
        <w:t>r</w:t>
      </w:r>
      <w:r w:rsidR="00404B1A">
        <w:t>na</w:t>
      </w:r>
      <w:r w:rsidR="002874A3">
        <w:t>.</w:t>
      </w:r>
      <w:r w:rsidR="00F12D4C">
        <w:t xml:space="preserve"> </w:t>
      </w:r>
      <w:r w:rsidR="004E6851">
        <w:t>För att ge kommuner med lågt elevunderlag en förhållandevis högre landskapsandel infördes en intervallmodell i det nya landskapsandelss</w:t>
      </w:r>
      <w:r w:rsidR="004E6851">
        <w:t>y</w:t>
      </w:r>
      <w:r w:rsidR="004E6851">
        <w:t>stemet, som också medför att landskapsandelen höjs om elevunderlaget ökar. Modellen innebär att elevunderlaget delas upp i följande intervall: 1–40 personer, 41–60 personer, 61–80 personer, 81–100 personer, 101–150 personer samt 151 eller fler personer. För varje intervall fastställs ett ba</w:t>
      </w:r>
      <w:r w:rsidR="004E6851">
        <w:t>s</w:t>
      </w:r>
      <w:r w:rsidR="004E6851">
        <w:t xml:space="preserve">belopp, så att basbeloppet för det första intervallet är högst och basbeloppet för det sista intervallet </w:t>
      </w:r>
      <w:r w:rsidR="000B69ED">
        <w:t xml:space="preserve">är </w:t>
      </w:r>
      <w:r w:rsidR="004E6851">
        <w:t>lägst.</w:t>
      </w:r>
    </w:p>
    <w:p w:rsidR="004E6851" w:rsidRDefault="00EE1DEB" w:rsidP="004E6851">
      <w:pPr>
        <w:pStyle w:val="ANormal"/>
      </w:pPr>
      <w:r>
        <w:tab/>
      </w:r>
      <w:r w:rsidR="004E6851">
        <w:t>Till skillnad från basbeloppen på socialvårdsområdet sker beräkningen av basbeloppe</w:t>
      </w:r>
      <w:r>
        <w:t xml:space="preserve">n för grundskolan </w:t>
      </w:r>
      <w:r w:rsidR="004E6851">
        <w:t>i två steg.</w:t>
      </w:r>
      <w:r w:rsidR="004E6851" w:rsidRPr="004E6851">
        <w:t xml:space="preserve"> </w:t>
      </w:r>
      <w:r>
        <w:t>Först sker beräkningen på samma sätt som för socialvårdsområdet, genom att de sammanlagda nett</w:t>
      </w:r>
      <w:r>
        <w:t>o</w:t>
      </w:r>
      <w:r>
        <w:t>driftskostnade</w:t>
      </w:r>
      <w:r w:rsidR="00404B1A">
        <w:t>r</w:t>
      </w:r>
      <w:r>
        <w:t>n</w:t>
      </w:r>
      <w:r w:rsidR="00404B1A">
        <w:t>a</w:t>
      </w:r>
      <w:r>
        <w:t xml:space="preserve"> för grundskolan divideras med antalet invånare i åldern 6–15 år. Kvoten är ett basbelopp som gäller för det tredje intervallet, det vill säga 61–80 personer. I det andra steget beräknas basbeloppen för de ö</w:t>
      </w:r>
      <w:r>
        <w:t>v</w:t>
      </w:r>
      <w:r>
        <w:lastRenderedPageBreak/>
        <w:t>riga intervallen med hjälp av koefficienter, så att basbeloppen för det två första intervallen blir högre än det ursprungliga basbeloppet, medan ba</w:t>
      </w:r>
      <w:r>
        <w:t>s</w:t>
      </w:r>
      <w:r>
        <w:t>beloppen för de tre sista intervallen blir lägre.</w:t>
      </w:r>
      <w:r w:rsidR="000B69ED">
        <w:t xml:space="preserve"> </w:t>
      </w:r>
      <w:r>
        <w:t>För varje kommun multipl</w:t>
      </w:r>
      <w:r>
        <w:t>i</w:t>
      </w:r>
      <w:r>
        <w:t>ceras sedan a</w:t>
      </w:r>
      <w:r w:rsidR="004E6851">
        <w:t>ntalet invånare i varje intervall med basbeloppet för det akt</w:t>
      </w:r>
      <w:r w:rsidR="004E6851">
        <w:t>u</w:t>
      </w:r>
      <w:r w:rsidR="004E6851">
        <w:t>ella intervallet. En kommun som har 75 invånare i åldern 6–15 år kommer således att ha 40 personer i det första intervallet, 20 personer i det andra och 15 i det tredje intervallet.</w:t>
      </w:r>
      <w:r>
        <w:t xml:space="preserve"> För att få kommunens normkostnad </w:t>
      </w:r>
      <w:r w:rsidR="00A66678">
        <w:t>adderas</w:t>
      </w:r>
      <w:r>
        <w:t xml:space="preserve"> slutligen beloppen för alla intervall.</w:t>
      </w:r>
      <w:r w:rsidR="005E55F8">
        <w:t xml:space="preserve"> Till följd av användningen av koeffic</w:t>
      </w:r>
      <w:r w:rsidR="005E55F8">
        <w:t>i</w:t>
      </w:r>
      <w:r w:rsidR="005E55F8">
        <w:t>enterna i beräkningens andra steg kommer dock alla kommuners samma</w:t>
      </w:r>
      <w:r w:rsidR="005E55F8">
        <w:t>n</w:t>
      </w:r>
      <w:r w:rsidR="005E55F8">
        <w:t>lagda normkostnader inte att motsvara de sammanlagda nettodriftskostn</w:t>
      </w:r>
      <w:r w:rsidR="005E55F8">
        <w:t>a</w:t>
      </w:r>
      <w:r w:rsidR="005E55F8">
        <w:t>de</w:t>
      </w:r>
      <w:r w:rsidR="00DF2FBF">
        <w:t>r</w:t>
      </w:r>
      <w:r w:rsidR="005E55F8">
        <w:t>n</w:t>
      </w:r>
      <w:r w:rsidR="00DF2FBF">
        <w:t>a</w:t>
      </w:r>
      <w:r w:rsidR="004D515A">
        <w:t xml:space="preserve"> för grundskolan</w:t>
      </w:r>
      <w:r w:rsidR="00DF2FBF">
        <w:t>, utan de blir lägre</w:t>
      </w:r>
      <w:r w:rsidR="0080189A">
        <w:t>.</w:t>
      </w:r>
      <w:r w:rsidR="00DF2FBF">
        <w:t xml:space="preserve"> Orsaken till det är att basbeloppen för de tre sista intervallen, som alltså är lägre än basbeloppet som beräknas i det första steget, tillämpas för en majoritet av eleverna i landskapet.</w:t>
      </w:r>
    </w:p>
    <w:p w:rsidR="00FA1A1A" w:rsidRDefault="00FA1A1A" w:rsidP="00CE2FFC">
      <w:pPr>
        <w:pStyle w:val="ANormal"/>
      </w:pPr>
    </w:p>
    <w:p w:rsidR="00581F81" w:rsidRDefault="00BF7EF3" w:rsidP="00BF7EF3">
      <w:pPr>
        <w:pStyle w:val="RubrikB"/>
      </w:pPr>
      <w:bookmarkStart w:id="8" w:name="_Toc529954433"/>
      <w:r>
        <w:t>2. Behov av ändring</w:t>
      </w:r>
      <w:bookmarkEnd w:id="8"/>
    </w:p>
    <w:p w:rsidR="00BF7EF3" w:rsidRDefault="00BF7EF3" w:rsidP="00BF7EF3">
      <w:pPr>
        <w:pStyle w:val="Rubrikmellanrum"/>
      </w:pPr>
    </w:p>
    <w:p w:rsidR="00135ED2" w:rsidRDefault="00135ED2" w:rsidP="00135ED2">
      <w:pPr>
        <w:pStyle w:val="RubrikC"/>
      </w:pPr>
      <w:bookmarkStart w:id="9" w:name="_Toc529954434"/>
      <w:r>
        <w:t>2.1. Basbeloppen för grundskolan</w:t>
      </w:r>
      <w:bookmarkEnd w:id="9"/>
    </w:p>
    <w:p w:rsidR="00135ED2" w:rsidRPr="00135ED2" w:rsidRDefault="00135ED2" w:rsidP="00135ED2">
      <w:pPr>
        <w:pStyle w:val="Rubrikmellanrum"/>
      </w:pPr>
    </w:p>
    <w:p w:rsidR="00A23A47" w:rsidRDefault="00A23A47" w:rsidP="00A23A47">
      <w:pPr>
        <w:pStyle w:val="ANormal"/>
      </w:pPr>
      <w:r>
        <w:t xml:space="preserve">Som tidigare nämndes fastställdes basbeloppen för grundskolan </w:t>
      </w:r>
      <w:r w:rsidR="00A328F0">
        <w:t>vid öve</w:t>
      </w:r>
      <w:r w:rsidR="00A328F0">
        <w:t>r</w:t>
      </w:r>
      <w:r w:rsidR="00A328F0">
        <w:t xml:space="preserve">gången till det nya systemet </w:t>
      </w:r>
      <w:r>
        <w:t>enligt landskapsandelslagens lydelse. Lagens 50</w:t>
      </w:r>
      <w:r w:rsidR="00614310">
        <w:t> §</w:t>
      </w:r>
      <w:r>
        <w:t xml:space="preserve"> 1</w:t>
      </w:r>
      <w:r w:rsidR="00614310">
        <w:t> mom.</w:t>
      </w:r>
      <w:r>
        <w:t xml:space="preserve"> anger att basbeloppen för finansåret 2018 ska fastställas med nettodriftskostnaderna finansåret 2015 som grund, samt att beräkningen ska göras genom tillämpning av 18 och 19</w:t>
      </w:r>
      <w:r w:rsidR="00614310">
        <w:t> §</w:t>
      </w:r>
      <w:r>
        <w:t>§. Basbeloppen för grundskolan beräknades så som anges i lagens 19</w:t>
      </w:r>
      <w:r w:rsidR="00614310">
        <w:t> §</w:t>
      </w:r>
      <w:r>
        <w:t xml:space="preserve"> 3</w:t>
      </w:r>
      <w:r w:rsidR="00614310">
        <w:t> mom.</w:t>
      </w:r>
    </w:p>
    <w:p w:rsidR="00B70EA2" w:rsidRDefault="00A23A47" w:rsidP="00A23A47">
      <w:pPr>
        <w:pStyle w:val="ANormal"/>
      </w:pPr>
      <w:r>
        <w:tab/>
        <w:t xml:space="preserve">Det framgår dock varken </w:t>
      </w:r>
      <w:r w:rsidR="00A53F60">
        <w:t>av</w:t>
      </w:r>
      <w:r>
        <w:t xml:space="preserve"> 18</w:t>
      </w:r>
      <w:r w:rsidR="00614310">
        <w:t> §</w:t>
      </w:r>
      <w:r>
        <w:t xml:space="preserve"> eller </w:t>
      </w:r>
      <w:r w:rsidR="001C4773">
        <w:t xml:space="preserve">av </w:t>
      </w:r>
      <w:r>
        <w:t>19</w:t>
      </w:r>
      <w:r w:rsidR="00614310">
        <w:t> §</w:t>
      </w:r>
      <w:r>
        <w:t xml:space="preserve"> att de sammanlagda normkostnaderna för ett verksamhetsområde ska motsvara de sammanlagda nettodriftskostnaderna för området. Däremot framgår det av lagens 17</w:t>
      </w:r>
      <w:r w:rsidR="00614310">
        <w:t> §</w:t>
      </w:r>
      <w:r>
        <w:t>, som gäller uppföljningen av normkostnaderna, att utgångspunkten för up</w:t>
      </w:r>
      <w:r>
        <w:t>p</w:t>
      </w:r>
      <w:r>
        <w:t>följningen är en jämförelse mellan normkostnader och nettodriftskostnader,</w:t>
      </w:r>
      <w:r w:rsidRPr="00DD5EB4">
        <w:t xml:space="preserve"> </w:t>
      </w:r>
      <w:r>
        <w:t>samt att basbeloppen ska ändras om det finns en avvikelse. Eftersom jämf</w:t>
      </w:r>
      <w:r>
        <w:t>ö</w:t>
      </w:r>
      <w:r>
        <w:t>relsen ska avse landskapet som helhet innebär det att det är de samma</w:t>
      </w:r>
      <w:r>
        <w:t>n</w:t>
      </w:r>
      <w:r>
        <w:t>lagda normkostnaderna som ska jämföras med de sammanlagda nettodrift</w:t>
      </w:r>
      <w:r>
        <w:t>s</w:t>
      </w:r>
      <w:r>
        <w:t>kostnade</w:t>
      </w:r>
      <w:r w:rsidR="00FB0D9C">
        <w:t>r</w:t>
      </w:r>
      <w:r>
        <w:t>n</w:t>
      </w:r>
      <w:r w:rsidR="00FB0D9C">
        <w:t>a</w:t>
      </w:r>
      <w:r>
        <w:t xml:space="preserve">. Det här betyder att man </w:t>
      </w:r>
      <w:r w:rsidR="00FB0D9C">
        <w:t xml:space="preserve">visserligen </w:t>
      </w:r>
      <w:r w:rsidR="0044382D">
        <w:t>skulle kunna</w:t>
      </w:r>
      <w:r>
        <w:t xml:space="preserve"> hävda att grundskolans basbelopp för finansåret 2018 har fastställts enligt lagen, e</w:t>
      </w:r>
      <w:r>
        <w:t>f</w:t>
      </w:r>
      <w:r>
        <w:t>tersom 50</w:t>
      </w:r>
      <w:r w:rsidR="00614310">
        <w:t> §</w:t>
      </w:r>
      <w:r>
        <w:t xml:space="preserve"> endast hänvisar till 18 och 19</w:t>
      </w:r>
      <w:r w:rsidR="00614310">
        <w:t> §</w:t>
      </w:r>
      <w:r>
        <w:t xml:space="preserve">§. </w:t>
      </w:r>
      <w:r w:rsidR="00547A89">
        <w:t>Samtidigt är det också mö</w:t>
      </w:r>
      <w:r w:rsidR="00547A89">
        <w:t>j</w:t>
      </w:r>
      <w:r w:rsidR="00547A89">
        <w:t xml:space="preserve">ligt att </w:t>
      </w:r>
      <w:r w:rsidR="00742BCC">
        <w:t>tolka lagen så</w:t>
      </w:r>
      <w:r w:rsidR="00547A89">
        <w:t xml:space="preserve"> att </w:t>
      </w:r>
      <w:r w:rsidR="00742BCC">
        <w:t>basbeloppen för grundskolan ska beräknas på ett sådant sätt att kommunernas sammanlagda normkostnader motsvarar nett</w:t>
      </w:r>
      <w:r w:rsidR="00742BCC">
        <w:t>o</w:t>
      </w:r>
      <w:r w:rsidR="00742BCC">
        <w:t>driftskostnaderna</w:t>
      </w:r>
      <w:r w:rsidR="00271062">
        <w:t>.</w:t>
      </w:r>
      <w:r w:rsidR="00742BCC">
        <w:t xml:space="preserve"> </w:t>
      </w:r>
      <w:r w:rsidR="004255B1">
        <w:t>De</w:t>
      </w:r>
      <w:r w:rsidR="00271062">
        <w:t>n</w:t>
      </w:r>
      <w:r w:rsidR="00742BCC">
        <w:t xml:space="preserve"> tolkning</w:t>
      </w:r>
      <w:r w:rsidR="004255B1">
        <w:t>en</w:t>
      </w:r>
      <w:r w:rsidR="00317440">
        <w:t xml:space="preserve"> har stöd i lagens 17</w:t>
      </w:r>
      <w:r w:rsidR="00614310">
        <w:t> §</w:t>
      </w:r>
      <w:r w:rsidR="00317440">
        <w:t>, men</w:t>
      </w:r>
      <w:r w:rsidR="00271062">
        <w:t xml:space="preserve"> innebär </w:t>
      </w:r>
      <w:r w:rsidR="00317440">
        <w:t>sa</w:t>
      </w:r>
      <w:r w:rsidR="00317440">
        <w:t>m</w:t>
      </w:r>
      <w:r w:rsidR="00317440">
        <w:t>tidigt</w:t>
      </w:r>
      <w:r w:rsidR="00271062">
        <w:t xml:space="preserve"> att</w:t>
      </w:r>
      <w:r w:rsidR="00742BCC">
        <w:t xml:space="preserve"> </w:t>
      </w:r>
      <w:r w:rsidR="00271062">
        <w:t xml:space="preserve">en del av </w:t>
      </w:r>
      <w:r w:rsidR="00742BCC">
        <w:t>1</w:t>
      </w:r>
      <w:r w:rsidR="00271062">
        <w:t>9</w:t>
      </w:r>
      <w:r w:rsidR="00614310">
        <w:t> §</w:t>
      </w:r>
      <w:r w:rsidR="00271062">
        <w:t xml:space="preserve"> 3</w:t>
      </w:r>
      <w:r w:rsidR="00614310">
        <w:t> mom.</w:t>
      </w:r>
      <w:r w:rsidR="00271062">
        <w:t xml:space="preserve"> inte kan tillämpas vid beräkningen.</w:t>
      </w:r>
    </w:p>
    <w:p w:rsidR="00547A89" w:rsidRDefault="00B70EA2" w:rsidP="00A23A47">
      <w:pPr>
        <w:pStyle w:val="ANormal"/>
      </w:pPr>
      <w:r>
        <w:tab/>
        <w:t>Landskapsregeringen har konstaterat</w:t>
      </w:r>
      <w:r w:rsidR="00A23A47">
        <w:t xml:space="preserve"> att det finns </w:t>
      </w:r>
      <w:r w:rsidR="001C4773">
        <w:t>en motsägelse i fo</w:t>
      </w:r>
      <w:r w:rsidR="001C4773">
        <w:t>r</w:t>
      </w:r>
      <w:r w:rsidR="001C4773">
        <w:t xml:space="preserve">muleringen av </w:t>
      </w:r>
      <w:r>
        <w:t>landskapsandels</w:t>
      </w:r>
      <w:r w:rsidR="001C4773">
        <w:t>lagen</w:t>
      </w:r>
      <w:r>
        <w:t xml:space="preserve">s </w:t>
      </w:r>
      <w:r w:rsidR="001C4773">
        <w:t>9, 17 och 19</w:t>
      </w:r>
      <w:r w:rsidR="00614310">
        <w:t> §</w:t>
      </w:r>
      <w:r w:rsidR="001C4773">
        <w:t>§</w:t>
      </w:r>
      <w:r w:rsidR="00A23A47">
        <w:t xml:space="preserve">. Om inte förr skulle </w:t>
      </w:r>
      <w:r w:rsidR="00271062">
        <w:t>denna motsägelse</w:t>
      </w:r>
      <w:r w:rsidR="001C4773">
        <w:t xml:space="preserve"> </w:t>
      </w:r>
      <w:r w:rsidR="00A23A47">
        <w:t>bli tydlig vid den första uppföljningen av normkostn</w:t>
      </w:r>
      <w:r w:rsidR="00A23A47">
        <w:t>a</w:t>
      </w:r>
      <w:r w:rsidR="00A23A47">
        <w:t>derna, som ska verkställas 2021.</w:t>
      </w:r>
      <w:r>
        <w:t xml:space="preserve"> Formulering</w:t>
      </w:r>
      <w:r w:rsidR="00337070">
        <w:t>en</w:t>
      </w:r>
      <w:r>
        <w:t xml:space="preserve"> bör därför ändras så att l</w:t>
      </w:r>
      <w:r>
        <w:t>a</w:t>
      </w:r>
      <w:r>
        <w:t>gen blir klar och entydig</w:t>
      </w:r>
      <w:r w:rsidR="004D50AC">
        <w:t xml:space="preserve"> samt</w:t>
      </w:r>
      <w:r w:rsidR="00034C3E">
        <w:t xml:space="preserve"> så att lagen kan tillämpas på det sätt som u</w:t>
      </w:r>
      <w:r w:rsidR="00034C3E">
        <w:t>r</w:t>
      </w:r>
      <w:r w:rsidR="00034C3E">
        <w:t>sprungligen avsågs.</w:t>
      </w:r>
    </w:p>
    <w:p w:rsidR="00135ED2" w:rsidRDefault="00135ED2" w:rsidP="00EF24E4">
      <w:pPr>
        <w:pStyle w:val="ANormal"/>
      </w:pPr>
    </w:p>
    <w:p w:rsidR="00135ED2" w:rsidRDefault="00135ED2" w:rsidP="00135ED2">
      <w:pPr>
        <w:pStyle w:val="RubrikC"/>
      </w:pPr>
      <w:bookmarkStart w:id="10" w:name="_Toc529954435"/>
      <w:r>
        <w:t xml:space="preserve">2.2. </w:t>
      </w:r>
      <w:r w:rsidR="00F868FD">
        <w:t>Utjämningen under övergångsperioden</w:t>
      </w:r>
      <w:bookmarkEnd w:id="10"/>
    </w:p>
    <w:p w:rsidR="00F868FD" w:rsidRPr="00F868FD" w:rsidRDefault="00F868FD" w:rsidP="00F868FD">
      <w:pPr>
        <w:pStyle w:val="Rubrikmellanrum"/>
      </w:pPr>
    </w:p>
    <w:p w:rsidR="00D3403F" w:rsidRDefault="004D385D" w:rsidP="00EF24E4">
      <w:pPr>
        <w:pStyle w:val="ANormal"/>
      </w:pPr>
      <w:r>
        <w:t xml:space="preserve">Till följd av </w:t>
      </w:r>
      <w:r w:rsidR="00F868FD">
        <w:t xml:space="preserve">att otydligheten i landskapsandelslagen </w:t>
      </w:r>
      <w:r>
        <w:t>upptäckte</w:t>
      </w:r>
      <w:r w:rsidR="00F868FD">
        <w:t>s</w:t>
      </w:r>
      <w:r>
        <w:t xml:space="preserve"> har lan</w:t>
      </w:r>
      <w:r>
        <w:t>d</w:t>
      </w:r>
      <w:r>
        <w:t xml:space="preserve">skapsregeringen beslutat om en rättelse av </w:t>
      </w:r>
      <w:r w:rsidR="00F57DEC">
        <w:t>basbeloppen</w:t>
      </w:r>
      <w:r>
        <w:t xml:space="preserve"> för grundskolan 2018. Detta påverkar också </w:t>
      </w:r>
      <w:r w:rsidR="00D3403F">
        <w:t>den utjämning mellan kommunerna som ti</w:t>
      </w:r>
      <w:r w:rsidR="00D3403F">
        <w:t>l</w:t>
      </w:r>
      <w:r w:rsidR="00D3403F">
        <w:t>lämpas 2018–2020 i syfte att dämpa effekten av övergången till det nya landskapsandelssystemet</w:t>
      </w:r>
      <w:r>
        <w:t>.</w:t>
      </w:r>
      <w:r w:rsidR="00EF24E4">
        <w:t xml:space="preserve"> </w:t>
      </w:r>
      <w:r w:rsidR="00D3403F">
        <w:t>Utjämningen baseras på</w:t>
      </w:r>
      <w:r w:rsidR="00D3403F" w:rsidRPr="00F8244A">
        <w:t xml:space="preserve"> </w:t>
      </w:r>
      <w:r w:rsidR="00D3403F">
        <w:t>en jämförelse mellan det sammanlagda beloppet av de landskapsandelar för driftskostnaderna och den komplettering av skatteinkomsterna som kommunen enligt den tidigare lagstiftningen fick under finansåret 2017 och motsvarande belopp för fina</w:t>
      </w:r>
      <w:r w:rsidR="00D3403F">
        <w:t>n</w:t>
      </w:r>
      <w:r w:rsidR="00D3403F">
        <w:t xml:space="preserve">såret 2018 enligt den nu gällande lagen. </w:t>
      </w:r>
      <w:r w:rsidR="00F57DEC">
        <w:t xml:space="preserve">Rättelsen av basbeloppen </w:t>
      </w:r>
      <w:r w:rsidR="00042BF7">
        <w:t>innebär</w:t>
      </w:r>
      <w:r w:rsidR="00F57DEC">
        <w:t xml:space="preserve"> en ökning av landskapsandelen för grundskolan. Eftersom ökningen förd</w:t>
      </w:r>
      <w:r w:rsidR="00F57DEC">
        <w:t>e</w:t>
      </w:r>
      <w:r w:rsidR="00F57DEC">
        <w:lastRenderedPageBreak/>
        <w:t xml:space="preserve">lar sig olika mellan kommunerna </w:t>
      </w:r>
      <w:r w:rsidR="00042BF7">
        <w:t>har det lett</w:t>
      </w:r>
      <w:r w:rsidR="00F57DEC">
        <w:t xml:space="preserve"> </w:t>
      </w:r>
      <w:r w:rsidR="00042BF7">
        <w:t xml:space="preserve">till att även </w:t>
      </w:r>
      <w:r w:rsidR="00F57DEC">
        <w:t xml:space="preserve">utjämningen för 2018 </w:t>
      </w:r>
      <w:r w:rsidR="00042BF7">
        <w:t xml:space="preserve">har rättats. </w:t>
      </w:r>
      <w:r w:rsidR="00D3403F">
        <w:t xml:space="preserve">Jämförelsen mellan 2017 och 2018 ligger </w:t>
      </w:r>
      <w:r w:rsidR="00042BF7">
        <w:t xml:space="preserve">emellertid </w:t>
      </w:r>
      <w:r w:rsidR="00D3403F">
        <w:t xml:space="preserve">till grund för hela övergångsperioden. Rättelsen av </w:t>
      </w:r>
      <w:r w:rsidR="00042BF7">
        <w:t>basbeloppen</w:t>
      </w:r>
      <w:r w:rsidR="00D3403F">
        <w:t xml:space="preserve"> för 2018 p</w:t>
      </w:r>
      <w:r w:rsidR="00D3403F">
        <w:t>å</w:t>
      </w:r>
      <w:r w:rsidR="00D3403F">
        <w:t>verkar därmed utjämningen även för finansåren 2019 och 2020</w:t>
      </w:r>
      <w:r w:rsidR="00042BF7">
        <w:t xml:space="preserve">. När lagen ändras så att den ska tillämpas enligt den ursprungliga avsikten, riskerar detta att leda till en snedvridning av utjämningen. Utjämningen </w:t>
      </w:r>
      <w:r w:rsidR="00BE284B">
        <w:t>för 2019 och 2020 bör således ändras på motsvarande sätt.</w:t>
      </w:r>
    </w:p>
    <w:p w:rsidR="00337070" w:rsidRDefault="00337070" w:rsidP="00A23A47">
      <w:pPr>
        <w:pStyle w:val="ANormal"/>
      </w:pPr>
    </w:p>
    <w:p w:rsidR="00337070" w:rsidRDefault="00337070" w:rsidP="00337070">
      <w:pPr>
        <w:pStyle w:val="RubrikB"/>
      </w:pPr>
      <w:bookmarkStart w:id="11" w:name="_Toc529954436"/>
      <w:r>
        <w:t>3. Förslag till ändring</w:t>
      </w:r>
      <w:bookmarkEnd w:id="11"/>
    </w:p>
    <w:p w:rsidR="00337070" w:rsidRPr="00337070" w:rsidRDefault="00337070" w:rsidP="00337070">
      <w:pPr>
        <w:pStyle w:val="Rubrikmellanrum"/>
      </w:pPr>
    </w:p>
    <w:p w:rsidR="00337070" w:rsidRDefault="00CA73DD" w:rsidP="00A23A47">
      <w:pPr>
        <w:pStyle w:val="ANormal"/>
      </w:pPr>
      <w:bookmarkStart w:id="12" w:name="_Hlk526501644"/>
      <w:r>
        <w:t xml:space="preserve">Som tidigare nämndes är en av </w:t>
      </w:r>
      <w:r w:rsidR="00317440">
        <w:t xml:space="preserve">de </w:t>
      </w:r>
      <w:r>
        <w:t>bärande tankarna i det nya landskapsa</w:t>
      </w:r>
      <w:r>
        <w:t>n</w:t>
      </w:r>
      <w:r>
        <w:t xml:space="preserve">delssystemet att de kostnadsbaserade landskapsandelarna har sin grund i </w:t>
      </w:r>
      <w:r w:rsidR="00D443CE">
        <w:t>netto</w:t>
      </w:r>
      <w:r>
        <w:t>driftskostnaderna för de olika verksamhetsområdena. Med driftskos</w:t>
      </w:r>
      <w:r>
        <w:t>t</w:t>
      </w:r>
      <w:r>
        <w:t>nader avses i det här sammanhanget inte den enskilda kommunens kostn</w:t>
      </w:r>
      <w:r>
        <w:t>a</w:t>
      </w:r>
      <w:r>
        <w:t xml:space="preserve">der, utan </w:t>
      </w:r>
      <w:r w:rsidR="00D443CE">
        <w:t>all</w:t>
      </w:r>
      <w:r w:rsidR="00BE284B">
        <w:t>a</w:t>
      </w:r>
      <w:r w:rsidR="00D443CE">
        <w:t xml:space="preserve"> kommuners sammanlagda </w:t>
      </w:r>
      <w:r>
        <w:t xml:space="preserve">kostnader. </w:t>
      </w:r>
      <w:r w:rsidR="001F36DF">
        <w:t xml:space="preserve">Även om </w:t>
      </w:r>
      <w:r w:rsidR="00585334">
        <w:t>”</w:t>
      </w:r>
      <w:r w:rsidR="001F36DF">
        <w:t>n</w:t>
      </w:r>
      <w:r w:rsidR="00585334">
        <w:t>ormkos</w:t>
      </w:r>
      <w:r w:rsidR="00585334">
        <w:t>t</w:t>
      </w:r>
      <w:r w:rsidR="00585334">
        <w:t xml:space="preserve">nad” enligt definitionen </w:t>
      </w:r>
      <w:r w:rsidR="001F36DF">
        <w:t xml:space="preserve">är </w:t>
      </w:r>
      <w:r w:rsidR="00585334">
        <w:t>ett begrepp för den enskilda kommunens</w:t>
      </w:r>
      <w:r>
        <w:t xml:space="preserve"> </w:t>
      </w:r>
      <w:r w:rsidR="00585334">
        <w:t>kalk</w:t>
      </w:r>
      <w:r w:rsidR="00585334">
        <w:t>y</w:t>
      </w:r>
      <w:r w:rsidR="00585334">
        <w:t>lerade kostnader för ett verksamhetsområde</w:t>
      </w:r>
      <w:r w:rsidR="001F36DF">
        <w:t xml:space="preserve">, har </w:t>
      </w:r>
      <w:r w:rsidR="00D443CE">
        <w:t xml:space="preserve">normkostnaderna </w:t>
      </w:r>
      <w:r w:rsidR="001F36DF">
        <w:t>sin grund i</w:t>
      </w:r>
      <w:r w:rsidR="00D443CE">
        <w:t xml:space="preserve"> de sammanlagda nettodriftskostnaderna</w:t>
      </w:r>
      <w:r w:rsidR="001F36DF">
        <w:t xml:space="preserve">. </w:t>
      </w:r>
      <w:r w:rsidR="00585334">
        <w:t xml:space="preserve">Begreppet infördes i lagen huvudsakligen för att </w:t>
      </w:r>
      <w:r w:rsidR="001F36DF">
        <w:t>förenkla</w:t>
      </w:r>
      <w:r w:rsidR="00585334">
        <w:t xml:space="preserve"> </w:t>
      </w:r>
      <w:r w:rsidR="002A739D">
        <w:t xml:space="preserve">reglerna </w:t>
      </w:r>
      <w:r w:rsidR="001F36DF">
        <w:t>om</w:t>
      </w:r>
      <w:r w:rsidR="002A739D">
        <w:t xml:space="preserve"> </w:t>
      </w:r>
      <w:r w:rsidR="00585334">
        <w:t>beräkning</w:t>
      </w:r>
      <w:r w:rsidR="002A739D">
        <w:t xml:space="preserve"> av de kostnadsbas</w:t>
      </w:r>
      <w:r w:rsidR="002A739D">
        <w:t>e</w:t>
      </w:r>
      <w:r w:rsidR="002A739D">
        <w:t>rade landskapsandelarna</w:t>
      </w:r>
      <w:r w:rsidR="00AC7F8E">
        <w:t>.</w:t>
      </w:r>
    </w:p>
    <w:p w:rsidR="006E6530" w:rsidRDefault="00502A08" w:rsidP="00D81972">
      <w:pPr>
        <w:pStyle w:val="ANormal"/>
      </w:pPr>
      <w:r>
        <w:tab/>
        <w:t>Beräkningen av normkostnaderna på de olika verksamhetsområdena b</w:t>
      </w:r>
      <w:r>
        <w:t>e</w:t>
      </w:r>
      <w:r>
        <w:t xml:space="preserve">skrivs </w:t>
      </w:r>
      <w:r w:rsidR="008E4456">
        <w:t>i flera olika paragrafer; lagens 4</w:t>
      </w:r>
      <w:r w:rsidR="00614310">
        <w:t> §</w:t>
      </w:r>
      <w:r w:rsidR="008E4456">
        <w:t xml:space="preserve"> gäller normkostnaden för socia</w:t>
      </w:r>
      <w:r w:rsidR="008E4456">
        <w:t>l</w:t>
      </w:r>
      <w:r w:rsidR="008E4456">
        <w:t>vårdsområdet, medan 9</w:t>
      </w:r>
      <w:r w:rsidR="00614310">
        <w:t> §</w:t>
      </w:r>
      <w:r w:rsidR="008E4456">
        <w:t xml:space="preserve"> gäller normkostnaden för grundskolan och 11</w:t>
      </w:r>
      <w:r w:rsidR="00614310">
        <w:t> §</w:t>
      </w:r>
      <w:r w:rsidR="008E4456">
        <w:t xml:space="preserve"> normkostnaden för träningsundervisningen. Dessa paragrafer innehåller dock inga regler för hur</w:t>
      </w:r>
      <w:r w:rsidR="00EE6520">
        <w:t xml:space="preserve"> de enskilda kommunernas</w:t>
      </w:r>
      <w:r w:rsidR="008E4456">
        <w:t xml:space="preserve"> normkostnad samma</w:t>
      </w:r>
      <w:r w:rsidR="008E4456">
        <w:t>n</w:t>
      </w:r>
      <w:r w:rsidR="008E4456">
        <w:t>hänger med nettodriftskostnaderna.</w:t>
      </w:r>
      <w:r w:rsidR="00EE6520">
        <w:t xml:space="preserve"> Det förhållandet regleras i 17–19</w:t>
      </w:r>
      <w:r w:rsidR="00614310">
        <w:t> §</w:t>
      </w:r>
      <w:r w:rsidR="00EE6520">
        <w:t xml:space="preserve">§ som gäller uppföljningen. Av dessa paragrafer </w:t>
      </w:r>
      <w:r w:rsidR="00881ED9">
        <w:t>beskriver</w:t>
      </w:r>
      <w:r w:rsidR="00EE6520">
        <w:t xml:space="preserve"> 17</w:t>
      </w:r>
      <w:r w:rsidR="00614310">
        <w:t> §</w:t>
      </w:r>
      <w:r w:rsidR="00EE6520">
        <w:t xml:space="preserve"> hur uppföl</w:t>
      </w:r>
      <w:r w:rsidR="00EE6520">
        <w:t>j</w:t>
      </w:r>
      <w:r w:rsidR="00EE6520">
        <w:t>ningen sk</w:t>
      </w:r>
      <w:r w:rsidR="00881ED9">
        <w:t>a ske</w:t>
      </w:r>
      <w:r w:rsidR="00EE6520">
        <w:t>, medan 18</w:t>
      </w:r>
      <w:r w:rsidR="00614310">
        <w:t> §</w:t>
      </w:r>
      <w:r w:rsidR="00EE6520">
        <w:t xml:space="preserve"> anger vilka kostnader som betraktas </w:t>
      </w:r>
      <w:r w:rsidR="00BE284B">
        <w:t>som</w:t>
      </w:r>
      <w:r w:rsidR="00EE6520">
        <w:t xml:space="preserve"> driftskostnader och 19</w:t>
      </w:r>
      <w:r w:rsidR="00614310">
        <w:t> §</w:t>
      </w:r>
      <w:r w:rsidR="00EE6520">
        <w:t xml:space="preserve"> anger hur de justerade basbeloppen beräknas.</w:t>
      </w:r>
      <w:r w:rsidR="00881ED9">
        <w:t xml:space="preserve"> </w:t>
      </w:r>
      <w:r w:rsidR="00D81972">
        <w:t>Av dessa</w:t>
      </w:r>
      <w:r w:rsidR="00881ED9">
        <w:t xml:space="preserve"> </w:t>
      </w:r>
      <w:r w:rsidR="00D81972">
        <w:t xml:space="preserve">tillämpades </w:t>
      </w:r>
      <w:r w:rsidR="00881ED9">
        <w:t>18 och 19</w:t>
      </w:r>
      <w:r w:rsidR="00614310">
        <w:t> §</w:t>
      </w:r>
      <w:r w:rsidR="00881ED9">
        <w:t>§ också när basbeloppen fastställdes vid övergången till det nya systemet.</w:t>
      </w:r>
      <w:r w:rsidR="00D81972">
        <w:t xml:space="preserve"> Följaktligen beräknades basbeloppen för grundskolan </w:t>
      </w:r>
      <w:r w:rsidR="00881ED9">
        <w:t xml:space="preserve">på det sätt som </w:t>
      </w:r>
      <w:r w:rsidR="00E713F7">
        <w:t>föreskrivs</w:t>
      </w:r>
      <w:r w:rsidR="00881ED9">
        <w:t xml:space="preserve"> i </w:t>
      </w:r>
      <w:r w:rsidR="00E713F7">
        <w:t xml:space="preserve">lagens </w:t>
      </w:r>
      <w:r w:rsidR="00881ED9">
        <w:t>19</w:t>
      </w:r>
      <w:r w:rsidR="00614310">
        <w:t> §</w:t>
      </w:r>
      <w:r w:rsidR="00881ED9">
        <w:t xml:space="preserve"> 3</w:t>
      </w:r>
      <w:r w:rsidR="00614310">
        <w:t> mom.</w:t>
      </w:r>
      <w:r w:rsidR="00881ED9">
        <w:t xml:space="preserve"> Avsikten var således att </w:t>
      </w:r>
      <w:r w:rsidR="00E713F7">
        <w:t>den enskilda kommunens normkostnad för grundskolan skulle sammanhänga med nettodriftskostnaderna för grundskolan på det sätt som beskrivs där.</w:t>
      </w:r>
      <w:r w:rsidR="00267EF1">
        <w:t xml:space="preserve"> </w:t>
      </w:r>
      <w:r w:rsidR="00800195">
        <w:t>Det innebär att det är basbeloppet för det tredje intervallet som beräknas med nettodriftskostnaderna som grund, och att detta ba</w:t>
      </w:r>
      <w:r w:rsidR="00800195">
        <w:t>s</w:t>
      </w:r>
      <w:r w:rsidR="00800195">
        <w:t>belopp sedan utgör grund för beräkning av basbeloppen för de övriga inte</w:t>
      </w:r>
      <w:r w:rsidR="00800195">
        <w:t>r</w:t>
      </w:r>
      <w:r w:rsidR="00800195">
        <w:t>vallen. Som tidigare har beskrivits leder det här till att kommunernas sa</w:t>
      </w:r>
      <w:r w:rsidR="00800195">
        <w:t>m</w:t>
      </w:r>
      <w:r w:rsidR="00800195">
        <w:t>manlagda normkostnader inte motsvarar nettodriftskostnaderna, vilket str</w:t>
      </w:r>
      <w:r w:rsidR="00800195">
        <w:t>i</w:t>
      </w:r>
      <w:r w:rsidR="00800195">
        <w:t>der mot antagandet i 17</w:t>
      </w:r>
      <w:r w:rsidR="00614310">
        <w:t> §</w:t>
      </w:r>
      <w:r w:rsidR="00800195">
        <w:t>.</w:t>
      </w:r>
      <w:r w:rsidR="006E6530">
        <w:t xml:space="preserve"> </w:t>
      </w:r>
      <w:r w:rsidR="004448A3">
        <w:t>Med hänvisning till</w:t>
      </w:r>
      <w:r w:rsidR="00BE284B">
        <w:t xml:space="preserve"> hur det ursprungligen var tänkt att beräkningen skulle göras,</w:t>
      </w:r>
      <w:r w:rsidR="004448A3">
        <w:t xml:space="preserve"> föreslår landskapsregeringen att b</w:t>
      </w:r>
      <w:r w:rsidR="004448A3">
        <w:t>e</w:t>
      </w:r>
      <w:r w:rsidR="004448A3">
        <w:t>stämmelserna om uppföljning</w:t>
      </w:r>
      <w:r w:rsidR="00F868FD">
        <w:t>en</w:t>
      </w:r>
      <w:r w:rsidR="004448A3">
        <w:t xml:space="preserve"> i 17</w:t>
      </w:r>
      <w:r w:rsidR="00614310">
        <w:t> §</w:t>
      </w:r>
      <w:r w:rsidR="004448A3">
        <w:t xml:space="preserve"> ändras.</w:t>
      </w:r>
    </w:p>
    <w:p w:rsidR="008831F4" w:rsidRDefault="00EF24E4" w:rsidP="00B252B2">
      <w:pPr>
        <w:pStyle w:val="ANormal"/>
      </w:pPr>
      <w:r>
        <w:tab/>
        <w:t xml:space="preserve">Med samma motivering </w:t>
      </w:r>
      <w:r w:rsidR="008831F4">
        <w:t>anser</w:t>
      </w:r>
      <w:r>
        <w:t xml:space="preserve"> landskapsregeringen att </w:t>
      </w:r>
      <w:r w:rsidR="008831F4">
        <w:t xml:space="preserve">de basbelopp som har rättats med anledning av otydligheten i lagen </w:t>
      </w:r>
      <w:r w:rsidR="00D81972">
        <w:t xml:space="preserve">inte </w:t>
      </w:r>
      <w:r w:rsidR="008831F4">
        <w:t xml:space="preserve">ska </w:t>
      </w:r>
      <w:r w:rsidR="005753FE">
        <w:t xml:space="preserve">få </w:t>
      </w:r>
      <w:r w:rsidR="008831F4">
        <w:t>påverka</w:t>
      </w:r>
      <w:r w:rsidR="005753FE">
        <w:t xml:space="preserve"> lan</w:t>
      </w:r>
      <w:r w:rsidR="005753FE">
        <w:t>d</w:t>
      </w:r>
      <w:r w:rsidR="005753FE">
        <w:t>skapsandelarna efter 2018. De basbelopp för grundskolan som fastställts i landskapsregeringens rättelsebeslut ska således inte utgöra grund för ba</w:t>
      </w:r>
      <w:r w:rsidR="005753FE">
        <w:t>s</w:t>
      </w:r>
      <w:r w:rsidR="005753FE">
        <w:t>beloppen 2019. I stället föreslås att nya basbelopp ska fastställas utgående från nettodriftskostnaderna för finansåret 2015</w:t>
      </w:r>
      <w:r w:rsidR="00056896">
        <w:t>, på samma sätt som vid övergången till det nya systemet.</w:t>
      </w:r>
      <w:r w:rsidR="006D6A65">
        <w:t xml:space="preserve"> Detsamma gäller utjämningen mellan kommunerna under den tid som återstår av övergångsperioden. Enligt fö</w:t>
      </w:r>
      <w:r w:rsidR="006D6A65">
        <w:t>r</w:t>
      </w:r>
      <w:r w:rsidR="006D6A65">
        <w:t>slaget ska en ny utjämning beräknas för finansåren 2019 och 2020 på basen av hur utfallet för 2018 skulle ha blivit enligt den ursprungliga avsikten.</w:t>
      </w:r>
    </w:p>
    <w:p w:rsidR="004448A3" w:rsidRDefault="004448A3" w:rsidP="00A23A47">
      <w:pPr>
        <w:pStyle w:val="ANormal"/>
      </w:pPr>
    </w:p>
    <w:p w:rsidR="00BB3C89" w:rsidRDefault="00530D22" w:rsidP="00530D22">
      <w:pPr>
        <w:pStyle w:val="RubrikB"/>
      </w:pPr>
      <w:bookmarkStart w:id="13" w:name="_Toc529954437"/>
      <w:bookmarkEnd w:id="12"/>
      <w:r>
        <w:t>4. Förslagets konsekvenser</w:t>
      </w:r>
      <w:bookmarkEnd w:id="13"/>
    </w:p>
    <w:p w:rsidR="00530D22" w:rsidRDefault="00530D22" w:rsidP="00530D22">
      <w:pPr>
        <w:pStyle w:val="Rubrikmellanrum"/>
      </w:pPr>
    </w:p>
    <w:p w:rsidR="003448F7" w:rsidRDefault="00D77F52" w:rsidP="00D77F52">
      <w:pPr>
        <w:pStyle w:val="ANormal"/>
      </w:pPr>
      <w:r>
        <w:t>Samtidigt med övergången till det nya landskapsandelssystemet genomfö</w:t>
      </w:r>
      <w:r>
        <w:t>r</w:t>
      </w:r>
      <w:r>
        <w:t xml:space="preserve">des en sparåtgärd som skulle innebära att totalvolymen sänktes med </w:t>
      </w:r>
      <w:r>
        <w:lastRenderedPageBreak/>
        <w:t>3 miljoner euro finansåret 2018 och ytterligare 1 miljon euro finansåret 2019. Denna nivåsänkning var aviserad redan tidigare och var ursprungli</w:t>
      </w:r>
      <w:r>
        <w:t>g</w:t>
      </w:r>
      <w:r>
        <w:t>en tänkt att genomföras i sin helhet under finansåret 2018. Under bere</w:t>
      </w:r>
      <w:r>
        <w:t>d</w:t>
      </w:r>
      <w:r>
        <w:t>ningen av landskapsandelssystemet beslöts dock att fördela den på två f</w:t>
      </w:r>
      <w:r>
        <w:t>i</w:t>
      </w:r>
      <w:r>
        <w:t>nansår. Följ</w:t>
      </w:r>
      <w:r>
        <w:softHyphen/>
        <w:t>aktligen dimensionerades det nya systemet så att inbesparingen förverkligades, vilket innebar en sänkning av totalvolymen från 36 064</w:t>
      </w:r>
      <w:r w:rsidR="00DF6FA2">
        <w:t> </w:t>
      </w:r>
      <w:r>
        <w:t>202</w:t>
      </w:r>
      <w:r w:rsidR="00DF6FA2">
        <w:t xml:space="preserve"> </w:t>
      </w:r>
      <w:r>
        <w:t>euro för finansåret 2017 till 33 057</w:t>
      </w:r>
      <w:r w:rsidR="00DF6FA2">
        <w:t> </w:t>
      </w:r>
      <w:r>
        <w:t>025</w:t>
      </w:r>
      <w:r w:rsidR="00DF6FA2">
        <w:t xml:space="preserve"> </w:t>
      </w:r>
      <w:r>
        <w:t>euro för finansåret 2018</w:t>
      </w:r>
      <w:r w:rsidR="003448F7">
        <w:t>.</w:t>
      </w:r>
    </w:p>
    <w:p w:rsidR="00530D22" w:rsidRDefault="00D77F52" w:rsidP="00530D22">
      <w:pPr>
        <w:pStyle w:val="ANormal"/>
      </w:pPr>
      <w:r>
        <w:tab/>
      </w:r>
      <w:r w:rsidR="003448F7">
        <w:t>Med hänvisning till d</w:t>
      </w:r>
      <w:r>
        <w:t>en tolkning av landskapsandelslagen som möjli</w:t>
      </w:r>
      <w:r>
        <w:t>g</w:t>
      </w:r>
      <w:r>
        <w:t xml:space="preserve">görs av den motsägelse som finns i lagen </w:t>
      </w:r>
      <w:r w:rsidR="003448F7">
        <w:t>har landskapsregeringen valt att göra en rättelse av basbeloppen för grundskolan för finansåret 2018, vilket innebar</w:t>
      </w:r>
      <w:r>
        <w:t xml:space="preserve"> en </w:t>
      </w:r>
      <w:r w:rsidR="003448F7">
        <w:t>ökning</w:t>
      </w:r>
      <w:r>
        <w:t xml:space="preserve"> av landskapsandelarna för grundskolan med drygt 3,1 miljoner euro. </w:t>
      </w:r>
      <w:r w:rsidR="000510F8">
        <w:t>Samtidigt rätta</w:t>
      </w:r>
      <w:r w:rsidR="003448F7">
        <w:t>de</w:t>
      </w:r>
      <w:r w:rsidR="000510F8">
        <w:t>s också en mindre felaktighet i berä</w:t>
      </w:r>
      <w:r w:rsidR="000510F8">
        <w:t>k</w:t>
      </w:r>
      <w:r w:rsidR="000510F8">
        <w:t xml:space="preserve">ningsunderlaget för landskapsandelarna på socialvårdsområdet. </w:t>
      </w:r>
      <w:r w:rsidR="00C35718">
        <w:t>Felet bes</w:t>
      </w:r>
      <w:r w:rsidR="00C35718">
        <w:t>t</w:t>
      </w:r>
      <w:r w:rsidR="00C35718">
        <w:t>od i att kostnaderna för barnskyddet fanns med i underlaget för landskap</w:t>
      </w:r>
      <w:r w:rsidR="00C35718">
        <w:t>s</w:t>
      </w:r>
      <w:r w:rsidR="00C35718">
        <w:t xml:space="preserve">andelen för socialvården trots att barnskyddet är ett verksamhetsområde som omfattas av den samordnade socialtjänsten. Korrigeringen medför en sänkning av landskapsandelarna på socialvårdsområdet med cirka 40 000 euro. </w:t>
      </w:r>
      <w:r w:rsidR="000510F8">
        <w:t xml:space="preserve">Sammantaget innebär landskapsregeringens beslut att </w:t>
      </w:r>
      <w:r w:rsidR="006969A7">
        <w:t xml:space="preserve">totalvolymen för landskapsandelarna 2018 blir 36 144 702 euro, vilket i jämförelse med finansåret 2017 </w:t>
      </w:r>
      <w:r w:rsidR="009B2139">
        <w:t>är</w:t>
      </w:r>
      <w:r w:rsidR="006969A7">
        <w:t xml:space="preserve"> en ökning med 10 453 euro.</w:t>
      </w:r>
      <w:r w:rsidR="004D50AC">
        <w:t xml:space="preserve"> I praktiken </w:t>
      </w:r>
      <w:r w:rsidR="009B2139">
        <w:t>betyder</w:t>
      </w:r>
      <w:r w:rsidR="004D50AC">
        <w:t xml:space="preserve"> detta att den aviserade inbesparingen inte förverkligas 2018</w:t>
      </w:r>
      <w:r w:rsidR="009B2139">
        <w:t>. Genom de</w:t>
      </w:r>
      <w:r w:rsidR="003448F7">
        <w:t>n här för</w:t>
      </w:r>
      <w:r w:rsidR="003448F7">
        <w:t>e</w:t>
      </w:r>
      <w:r w:rsidR="003448F7">
        <w:t>slagna</w:t>
      </w:r>
      <w:r w:rsidR="009B2139">
        <w:t xml:space="preserve"> ändring</w:t>
      </w:r>
      <w:r w:rsidR="003448F7">
        <w:t>en</w:t>
      </w:r>
      <w:r w:rsidR="009B2139">
        <w:t xml:space="preserve"> förverkligas hela inbesparingen </w:t>
      </w:r>
      <w:r w:rsidR="00034C3E">
        <w:t>i stället finansåret 2019.</w:t>
      </w:r>
    </w:p>
    <w:p w:rsidR="004D50AC" w:rsidRDefault="004D50AC" w:rsidP="00530D22">
      <w:pPr>
        <w:pStyle w:val="ANormal"/>
      </w:pPr>
    </w:p>
    <w:p w:rsidR="00530D22" w:rsidRDefault="008029F7" w:rsidP="00530D22">
      <w:pPr>
        <w:pStyle w:val="RubrikB"/>
      </w:pPr>
      <w:bookmarkStart w:id="14" w:name="_Toc529954438"/>
      <w:r>
        <w:t>5</w:t>
      </w:r>
      <w:r w:rsidR="00530D22">
        <w:t xml:space="preserve">. </w:t>
      </w:r>
      <w:r>
        <w:t>F</w:t>
      </w:r>
      <w:r w:rsidR="00530D22">
        <w:t>örslaget</w:t>
      </w:r>
      <w:r>
        <w:t>s beredning och ikraftträdande</w:t>
      </w:r>
      <w:bookmarkEnd w:id="14"/>
    </w:p>
    <w:p w:rsidR="00175E51" w:rsidRDefault="00175E51" w:rsidP="00175E51">
      <w:pPr>
        <w:pStyle w:val="Rubrikmellanrum"/>
      </w:pPr>
    </w:p>
    <w:p w:rsidR="00175E51" w:rsidRDefault="00F3124D" w:rsidP="00175E51">
      <w:pPr>
        <w:pStyle w:val="ANormal"/>
      </w:pPr>
      <w:r>
        <w:t>Frågan om landskapsandelslagens otydliga formulering när det gäller ba</w:t>
      </w:r>
      <w:r>
        <w:t>s</w:t>
      </w:r>
      <w:r>
        <w:t>beloppen för grundskolan har behandlats vid samråd mellan landskapsreg</w:t>
      </w:r>
      <w:r>
        <w:t>e</w:t>
      </w:r>
      <w:r>
        <w:t>ringen, Ålands kommunförbund och Mariehamns stad. Under beredningen har kommunerna informerats om landskapsregeringens intentioner när det gäller att förtydliga lagen. Med hänvisning till det och till förslagets bråd</w:t>
      </w:r>
      <w:r>
        <w:t>s</w:t>
      </w:r>
      <w:r>
        <w:t>kande karaktär har det inte skickats på någon remiss.</w:t>
      </w:r>
    </w:p>
    <w:p w:rsidR="00807054" w:rsidRDefault="00F3124D" w:rsidP="00175E51">
      <w:pPr>
        <w:pStyle w:val="ANormal"/>
      </w:pPr>
      <w:r>
        <w:tab/>
        <w:t xml:space="preserve">Lagförslaget </w:t>
      </w:r>
      <w:r w:rsidR="00232E5D">
        <w:t>berör landskapsandelarna för grundskolan från och med f</w:t>
      </w:r>
      <w:r w:rsidR="00232E5D">
        <w:t>i</w:t>
      </w:r>
      <w:r w:rsidR="00232E5D">
        <w:t>nansåret 2019 och utjämningen mellan kommunerna under finansåren 2019 och 2020 av övergångsperioden. Landskapsregeringen har redan fattat b</w:t>
      </w:r>
      <w:r w:rsidR="00232E5D">
        <w:t>e</w:t>
      </w:r>
      <w:r w:rsidR="00232E5D">
        <w:t>slut om basbeloppe</w:t>
      </w:r>
      <w:r w:rsidR="00FD7B4B">
        <w:t>n</w:t>
      </w:r>
      <w:r w:rsidR="00232E5D">
        <w:t xml:space="preserve"> för grundskolan </w:t>
      </w:r>
      <w:r w:rsidR="00FD7B4B">
        <w:t xml:space="preserve">2019 </w:t>
      </w:r>
      <w:r w:rsidR="00232E5D">
        <w:t>eftersom det enligt lagen ska göras senast den 15</w:t>
      </w:r>
      <w:r w:rsidR="00DF6FA2">
        <w:t xml:space="preserve"> </w:t>
      </w:r>
      <w:r w:rsidR="00232E5D">
        <w:t xml:space="preserve">oktober. </w:t>
      </w:r>
      <w:r w:rsidR="00C46006">
        <w:t>Genom det här lagförslaget upphävs beslutet till den delen, och a</w:t>
      </w:r>
      <w:r w:rsidR="00232E5D">
        <w:t>nslage</w:t>
      </w:r>
      <w:r w:rsidR="00C46006">
        <w:t>t</w:t>
      </w:r>
      <w:r w:rsidR="00232E5D">
        <w:t xml:space="preserve"> </w:t>
      </w:r>
      <w:r w:rsidR="00C46006">
        <w:t>där</w:t>
      </w:r>
      <w:r w:rsidR="00232E5D">
        <w:t xml:space="preserve"> landskapsandelar</w:t>
      </w:r>
      <w:r w:rsidR="00C46006">
        <w:t>na</w:t>
      </w:r>
      <w:r w:rsidR="00232E5D">
        <w:t xml:space="preserve"> </w:t>
      </w:r>
      <w:r w:rsidR="00E17E00">
        <w:t>för grundskolan</w:t>
      </w:r>
      <w:r w:rsidR="00232E5D">
        <w:t xml:space="preserve"> </w:t>
      </w:r>
      <w:r w:rsidR="00C46006">
        <w:t xml:space="preserve">ingår </w:t>
      </w:r>
      <w:r w:rsidR="00232E5D">
        <w:t>(</w:t>
      </w:r>
      <w:r w:rsidR="00232E5D" w:rsidRPr="006A4FE8">
        <w:t xml:space="preserve">moment </w:t>
      </w:r>
      <w:r w:rsidR="00E17E00">
        <w:t>52</w:t>
      </w:r>
      <w:r w:rsidR="00232E5D">
        <w:t>0</w:t>
      </w:r>
      <w:r w:rsidR="00C46006">
        <w:t>00</w:t>
      </w:r>
      <w:r w:rsidR="00232E5D">
        <w:t>)</w:t>
      </w:r>
      <w:r w:rsidR="00232E5D" w:rsidRPr="006A4FE8">
        <w:t xml:space="preserve"> </w:t>
      </w:r>
      <w:r w:rsidR="00232E5D">
        <w:t>i förslag</w:t>
      </w:r>
      <w:r w:rsidR="00C46006">
        <w:t>et</w:t>
      </w:r>
      <w:r w:rsidR="00232E5D">
        <w:t xml:space="preserve"> till budget </w:t>
      </w:r>
      <w:r w:rsidR="00C46006">
        <w:t xml:space="preserve">för landskapet Åland 2019 </w:t>
      </w:r>
      <w:r w:rsidR="00232E5D">
        <w:t>har d</w:t>
      </w:r>
      <w:r w:rsidR="00232E5D">
        <w:t>i</w:t>
      </w:r>
      <w:r w:rsidR="00232E5D">
        <w:t xml:space="preserve">mensionerats i enlighet med </w:t>
      </w:r>
      <w:r w:rsidR="00C46006">
        <w:t>lag</w:t>
      </w:r>
      <w:r w:rsidR="00232E5D">
        <w:t>förslag</w:t>
      </w:r>
      <w:r w:rsidR="00C46006">
        <w:t>et</w:t>
      </w:r>
      <w:r w:rsidR="00232E5D">
        <w:t>.</w:t>
      </w:r>
    </w:p>
    <w:p w:rsidR="00E34C30" w:rsidRDefault="00807054" w:rsidP="003C2E0B">
      <w:pPr>
        <w:pStyle w:val="ANormal"/>
      </w:pPr>
      <w:r>
        <w:tab/>
      </w:r>
      <w:r w:rsidR="00AE660A">
        <w:t>Genom förslaget upphävs också landskapsregeringens beslut om utjä</w:t>
      </w:r>
      <w:r w:rsidR="00AE660A">
        <w:t>m</w:t>
      </w:r>
      <w:r w:rsidR="00AE660A">
        <w:t>ningen under övergångsperioden till de delar det gäller utjämningen under finansåren 2019 och 2020.</w:t>
      </w:r>
      <w:r w:rsidR="0064168B">
        <w:t xml:space="preserve"> </w:t>
      </w:r>
      <w:r w:rsidR="00E34C30">
        <w:t>För att säkerställa att utjämningen beräknas med ett korrekt underlag anges de belopp som ska gälla som kommunens tota</w:t>
      </w:r>
      <w:r w:rsidR="00E34C30">
        <w:t>l</w:t>
      </w:r>
      <w:r w:rsidR="00E34C30">
        <w:t>belopp för 2018 vid beräkningen enligt lagens 52</w:t>
      </w:r>
      <w:r w:rsidR="00614310">
        <w:t> §</w:t>
      </w:r>
      <w:r w:rsidR="00E34C30">
        <w:t>.</w:t>
      </w:r>
      <w:r w:rsidR="003C2E0B">
        <w:t xml:space="preserve"> När de angivna belo</w:t>
      </w:r>
      <w:r w:rsidR="003C2E0B">
        <w:t>p</w:t>
      </w:r>
      <w:r w:rsidR="003C2E0B">
        <w:t>pen beräknades har</w:t>
      </w:r>
      <w:r w:rsidR="003C2E0B" w:rsidRPr="003C2E0B">
        <w:t xml:space="preserve"> </w:t>
      </w:r>
      <w:r w:rsidR="003C2E0B">
        <w:t>den tidigare nämnda korrigeringen av landskapsand</w:t>
      </w:r>
      <w:r w:rsidR="003C2E0B">
        <w:t>e</w:t>
      </w:r>
      <w:r w:rsidR="003C2E0B">
        <w:t>larna för socialvården</w:t>
      </w:r>
      <w:r w:rsidR="003C2E0B" w:rsidRPr="003C2E0B">
        <w:t xml:space="preserve"> </w:t>
      </w:r>
      <w:r w:rsidR="003C2E0B">
        <w:t>beaktats, däremot inte rättelsen av landskapsandela</w:t>
      </w:r>
      <w:r w:rsidR="003C2E0B">
        <w:t>r</w:t>
      </w:r>
      <w:r w:rsidR="003C2E0B">
        <w:t>na för grundskolan.</w:t>
      </w:r>
    </w:p>
    <w:p w:rsidR="00BB3C89" w:rsidRDefault="00C46006" w:rsidP="00E17E00">
      <w:pPr>
        <w:pStyle w:val="ANormal"/>
      </w:pPr>
      <w:r>
        <w:tab/>
      </w:r>
      <w:r w:rsidR="00E17E00">
        <w:t>Enligt landskapsandelslagen ska landskapsandelarna betalas ut till kommunerna i rater den 11 varje månad. Landskapsregeringen ska fatta b</w:t>
      </w:r>
      <w:r w:rsidR="00E17E00">
        <w:t>e</w:t>
      </w:r>
      <w:r w:rsidR="00E17E00">
        <w:t>slut om landskapsandelarna senast den 11</w:t>
      </w:r>
      <w:r w:rsidR="00DF6FA2">
        <w:t xml:space="preserve"> </w:t>
      </w:r>
      <w:r w:rsidR="00E17E00">
        <w:t>januari så att den första utbeta</w:t>
      </w:r>
      <w:r w:rsidR="00E17E00">
        <w:t>l</w:t>
      </w:r>
      <w:r w:rsidR="00E17E00">
        <w:t>ningen kan göras vid den tidpunkten. Det förutsätter också att beslut har fattats om utjämningen under övergångsperioden med avseende på 2019 och 2020.</w:t>
      </w:r>
      <w:r w:rsidR="009239D9">
        <w:t xml:space="preserve"> </w:t>
      </w:r>
      <w:r>
        <w:t xml:space="preserve">För att kommunerna ska beviljas landskapsandel </w:t>
      </w:r>
      <w:r w:rsidR="009239D9">
        <w:t xml:space="preserve">för grundskolan och för att utjämningen för övergångsperioden ska beräknas enligt de regler som förtydligas genom förslaget bör lagen helst träda i kraft vid årsskiftet, eller i alla händelser före den 11 januari 2019. </w:t>
      </w:r>
      <w:r w:rsidR="00232E5D">
        <w:t>Landskapsregeringen anser att den föreslagna lagen uppfyller de villkor som ställs i 20</w:t>
      </w:r>
      <w:r w:rsidR="00614310">
        <w:t> §</w:t>
      </w:r>
      <w:r w:rsidR="00232E5D">
        <w:t xml:space="preserve"> 3</w:t>
      </w:r>
      <w:r w:rsidR="00614310">
        <w:t> mom.</w:t>
      </w:r>
      <w:r w:rsidR="00232E5D">
        <w:t xml:space="preserve"> själ</w:t>
      </w:r>
      <w:r w:rsidR="00232E5D">
        <w:t>v</w:t>
      </w:r>
      <w:r w:rsidR="00232E5D">
        <w:lastRenderedPageBreak/>
        <w:t>styrelselagen och att den därför bör behandlas enligt dessa undantagsb</w:t>
      </w:r>
      <w:r w:rsidR="00232E5D">
        <w:t>e</w:t>
      </w:r>
      <w:r w:rsidR="00232E5D">
        <w:t>stämmelser.</w:t>
      </w:r>
    </w:p>
    <w:p w:rsidR="00BB3C89" w:rsidRDefault="00BB3C89" w:rsidP="00F07375">
      <w:pPr>
        <w:pStyle w:val="ANormal"/>
      </w:pPr>
    </w:p>
    <w:p w:rsidR="00AF3004" w:rsidRDefault="00AF3004">
      <w:pPr>
        <w:pStyle w:val="RubrikA"/>
      </w:pPr>
      <w:bookmarkStart w:id="15" w:name="_Toc529954439"/>
      <w:r>
        <w:t>Detaljmotivering</w:t>
      </w:r>
      <w:bookmarkEnd w:id="15"/>
    </w:p>
    <w:p w:rsidR="00AF3004" w:rsidRDefault="00AF3004">
      <w:pPr>
        <w:pStyle w:val="Rubrikmellanrum"/>
      </w:pPr>
    </w:p>
    <w:p w:rsidR="00F868FD" w:rsidRDefault="004448A3" w:rsidP="004448A3">
      <w:pPr>
        <w:pStyle w:val="ANormal"/>
      </w:pPr>
      <w:r>
        <w:t>17</w:t>
      </w:r>
      <w:r w:rsidR="00614310">
        <w:t> §</w:t>
      </w:r>
      <w:r w:rsidR="00AF3004">
        <w:t xml:space="preserve"> </w:t>
      </w:r>
      <w:r>
        <w:rPr>
          <w:i/>
          <w:iCs/>
        </w:rPr>
        <w:t xml:space="preserve">Uppföljning av </w:t>
      </w:r>
      <w:r w:rsidR="00F868FD">
        <w:rPr>
          <w:i/>
          <w:iCs/>
        </w:rPr>
        <w:t>basbeloppen</w:t>
      </w:r>
      <w:r w:rsidR="00AF3004">
        <w:rPr>
          <w:i/>
          <w:iCs/>
        </w:rPr>
        <w:t>.</w:t>
      </w:r>
      <w:r w:rsidR="00AF3004">
        <w:t xml:space="preserve"> </w:t>
      </w:r>
      <w:r>
        <w:t>Landskapsregeringen föreslår att par</w:t>
      </w:r>
      <w:r>
        <w:t>a</w:t>
      </w:r>
      <w:r>
        <w:t>grafen</w:t>
      </w:r>
      <w:r w:rsidR="00F868FD">
        <w:t xml:space="preserve">s rubrik </w:t>
      </w:r>
      <w:r w:rsidR="00481A22">
        <w:t>samt</w:t>
      </w:r>
      <w:r w:rsidR="00F868FD">
        <w:t xml:space="preserve"> 1</w:t>
      </w:r>
      <w:r w:rsidR="00481A22">
        <w:t xml:space="preserve"> och 2</w:t>
      </w:r>
      <w:r w:rsidR="00614310">
        <w:t> mom.</w:t>
      </w:r>
      <w:r>
        <w:t xml:space="preserve"> ändras så att utgångspunkten för uppföl</w:t>
      </w:r>
      <w:r>
        <w:t>j</w:t>
      </w:r>
      <w:r>
        <w:t>ningen inte ska formuleras som en jämförelse mellan normkostnader och nettodriftskostnader. I praktiken innebär uppföljningen av normkostnaderna</w:t>
      </w:r>
      <w:r w:rsidR="00F868FD">
        <w:t xml:space="preserve"> enligt lagens nuvarande lydelse</w:t>
      </w:r>
      <w:r>
        <w:t xml:space="preserve"> att nya basbelopp beräknas utgående från de faktiska nettodriftskostnaderna två år före uppföljningsåret, vilket också påpekas i detaljmotiveringen </w:t>
      </w:r>
      <w:r w:rsidR="00FD7B4B">
        <w:t xml:space="preserve">till paragrafen </w:t>
      </w:r>
      <w:r>
        <w:t xml:space="preserve">(se LF 28/2016–2017, s. 30). Enligt förslaget </w:t>
      </w:r>
      <w:r w:rsidR="00F868FD">
        <w:t>ändras formuleringen så att uppföljningen avser basbelop</w:t>
      </w:r>
      <w:r w:rsidR="00F868FD">
        <w:t>p</w:t>
      </w:r>
      <w:r w:rsidR="00F868FD">
        <w:t>en i stället för normkostnaderna.</w:t>
      </w:r>
      <w:r w:rsidR="00F868FD" w:rsidRPr="00F868FD">
        <w:t xml:space="preserve"> </w:t>
      </w:r>
      <w:r w:rsidR="00F868FD">
        <w:t>På det sättet ger lagtexten en mer konkret beskrivning av tillvägagångssättet vid uppföljningen.</w:t>
      </w:r>
      <w:r w:rsidR="00481A22">
        <w:t xml:space="preserve"> Liksom enligt lagens gällande lydelse avser uppföljningen bara basbeloppen för de kostnadsbas</w:t>
      </w:r>
      <w:r w:rsidR="00481A22">
        <w:t>e</w:t>
      </w:r>
      <w:r w:rsidR="00481A22">
        <w:t>rade landskapsandelarna.</w:t>
      </w:r>
    </w:p>
    <w:p w:rsidR="00D179B1" w:rsidRDefault="004448A3" w:rsidP="004448A3">
      <w:pPr>
        <w:pStyle w:val="ANormal"/>
      </w:pPr>
      <w:r>
        <w:tab/>
        <w:t>Den föreslagna ändringen innebär ingen förändring av det grundlä</w:t>
      </w:r>
      <w:r>
        <w:t>g</w:t>
      </w:r>
      <w:r>
        <w:t xml:space="preserve">gande syftet med uppföljningen, som alltså är att förändringar i de faktiska nettodriftskostnaderna </w:t>
      </w:r>
      <w:r w:rsidR="003B5B6E">
        <w:t xml:space="preserve">genom basbeloppen </w:t>
      </w:r>
      <w:r>
        <w:t xml:space="preserve">ska </w:t>
      </w:r>
      <w:r w:rsidR="00D179B1">
        <w:t>av</w:t>
      </w:r>
      <w:r>
        <w:t xml:space="preserve">speglas i de kalkylerade normkostnader som utgör grund för landskapsandelarna. </w:t>
      </w:r>
      <w:r w:rsidR="00BB6A8B">
        <w:t xml:space="preserve">När det gäller grundskolan är </w:t>
      </w:r>
      <w:r w:rsidR="0029221D">
        <w:t>förhållandet mellan nettodriftskostnaderna och normkostn</w:t>
      </w:r>
      <w:r w:rsidR="0029221D">
        <w:t>a</w:t>
      </w:r>
      <w:r w:rsidR="0029221D">
        <w:t>derna indirekt, eftersom det bara är basbeloppet för ett intervall som är d</w:t>
      </w:r>
      <w:r w:rsidR="0029221D">
        <w:t>i</w:t>
      </w:r>
      <w:r w:rsidR="0029221D">
        <w:t>rekt baserat på nettodriftskostnaderna. Det var också uttryckligen avsikten när landskapsandelssystemet utformades</w:t>
      </w:r>
      <w:r w:rsidR="00D81972">
        <w:t>,</w:t>
      </w:r>
      <w:r w:rsidR="0029221D">
        <w:t xml:space="preserve"> att det skulle vara så.</w:t>
      </w:r>
    </w:p>
    <w:p w:rsidR="004448A3" w:rsidRDefault="004448A3" w:rsidP="004448A3">
      <w:pPr>
        <w:pStyle w:val="ANormal"/>
      </w:pPr>
    </w:p>
    <w:p w:rsidR="00AF3004" w:rsidRDefault="00AF3004">
      <w:pPr>
        <w:pStyle w:val="RubrikA"/>
      </w:pPr>
      <w:r>
        <w:br w:type="page"/>
      </w:r>
      <w:bookmarkStart w:id="16" w:name="_Toc529954440"/>
      <w:r>
        <w:lastRenderedPageBreak/>
        <w:t>Lagtext</w:t>
      </w:r>
      <w:bookmarkEnd w:id="16"/>
    </w:p>
    <w:p w:rsidR="00AF3004" w:rsidRDefault="00AF3004">
      <w:pPr>
        <w:pStyle w:val="Rubrikmellanrum"/>
      </w:pPr>
    </w:p>
    <w:p w:rsidR="00AF3004" w:rsidRDefault="00AF3004">
      <w:pPr>
        <w:pStyle w:val="ANormal"/>
      </w:pPr>
      <w:r>
        <w:t>Landskapsregeringen föreslår att följande lag antas.</w:t>
      </w:r>
    </w:p>
    <w:p w:rsidR="00AF3004" w:rsidRPr="00DF6FA2" w:rsidRDefault="00AF3004">
      <w:pPr>
        <w:pStyle w:val="ANormal"/>
      </w:pPr>
    </w:p>
    <w:p w:rsidR="00AF3004" w:rsidRPr="00DF6FA2" w:rsidRDefault="00AF3004">
      <w:pPr>
        <w:pStyle w:val="LagHuvRubr"/>
      </w:pPr>
      <w:bookmarkStart w:id="17" w:name="_Toc529954441"/>
      <w:r w:rsidRPr="00DF6FA2">
        <w:t>L A N D S K A P S L A G</w:t>
      </w:r>
      <w:r w:rsidRPr="00DF6FA2">
        <w:br/>
        <w:t>om</w:t>
      </w:r>
      <w:r w:rsidR="00F07375" w:rsidRPr="00DF6FA2">
        <w:t xml:space="preserve"> ändring av</w:t>
      </w:r>
      <w:r w:rsidR="00C5322D" w:rsidRPr="00DF6FA2">
        <w:t xml:space="preserve"> 17</w:t>
      </w:r>
      <w:r w:rsidR="00614310" w:rsidRPr="00DF6FA2">
        <w:t> §</w:t>
      </w:r>
      <w:r w:rsidR="00F07375" w:rsidRPr="00DF6FA2">
        <w:t xml:space="preserve"> landskapslagen om landskapsandelar till kommunerna</w:t>
      </w:r>
      <w:bookmarkEnd w:id="17"/>
    </w:p>
    <w:p w:rsidR="00AF3004" w:rsidRPr="00DF6FA2" w:rsidRDefault="00AF3004">
      <w:pPr>
        <w:pStyle w:val="ANormal"/>
      </w:pPr>
    </w:p>
    <w:p w:rsidR="00AF3004" w:rsidRPr="00DF6FA2" w:rsidRDefault="00AF3004">
      <w:pPr>
        <w:pStyle w:val="ANormal"/>
      </w:pPr>
      <w:r w:rsidRPr="00DF6FA2">
        <w:tab/>
        <w:t xml:space="preserve">I enlighet med lagtingets beslut </w:t>
      </w:r>
      <w:r w:rsidR="00C5322D" w:rsidRPr="00DF6FA2">
        <w:rPr>
          <w:b/>
        </w:rPr>
        <w:t>ändras</w:t>
      </w:r>
      <w:r w:rsidR="00C5322D" w:rsidRPr="00DF6FA2">
        <w:t xml:space="preserve"> 17</w:t>
      </w:r>
      <w:r w:rsidR="00614310" w:rsidRPr="00DF6FA2">
        <w:t> §</w:t>
      </w:r>
      <w:r w:rsidR="00C5322D" w:rsidRPr="00DF6FA2">
        <w:t xml:space="preserve"> </w:t>
      </w:r>
      <w:r w:rsidR="00146245" w:rsidRPr="00DF6FA2">
        <w:t xml:space="preserve">rubriken samt </w:t>
      </w:r>
      <w:r w:rsidR="00C5322D" w:rsidRPr="00DF6FA2">
        <w:t>1 och 2</w:t>
      </w:r>
      <w:r w:rsidR="00614310" w:rsidRPr="00DF6FA2">
        <w:t> mom.</w:t>
      </w:r>
      <w:r w:rsidR="00C5322D" w:rsidRPr="00DF6FA2">
        <w:t xml:space="preserve"> landskapslagen (2017</w:t>
      </w:r>
      <w:r w:rsidRPr="00DF6FA2">
        <w:t>:</w:t>
      </w:r>
      <w:r w:rsidR="00C5322D" w:rsidRPr="00DF6FA2">
        <w:t>120) om landskapsandelar till kommunerna som följer:</w:t>
      </w:r>
    </w:p>
    <w:p w:rsidR="00F07375" w:rsidRDefault="00F07375" w:rsidP="00F07375">
      <w:pPr>
        <w:pStyle w:val="ANormal"/>
      </w:pPr>
    </w:p>
    <w:p w:rsidR="00775DF0" w:rsidRDefault="00775DF0" w:rsidP="00775DF0">
      <w:pPr>
        <w:pStyle w:val="LagParagraf"/>
      </w:pPr>
      <w:r>
        <w:t>17</w:t>
      </w:r>
      <w:r w:rsidR="00614310">
        <w:t> §</w:t>
      </w:r>
    </w:p>
    <w:p w:rsidR="00775DF0" w:rsidRDefault="00775DF0" w:rsidP="00775DF0">
      <w:pPr>
        <w:pStyle w:val="LagPararubrik"/>
      </w:pPr>
      <w:r>
        <w:t xml:space="preserve">Uppföljning av </w:t>
      </w:r>
      <w:r w:rsidR="007A2376">
        <w:t>basbeloppen</w:t>
      </w:r>
    </w:p>
    <w:p w:rsidR="00775DF0" w:rsidRDefault="00775DF0" w:rsidP="00775DF0">
      <w:pPr>
        <w:pStyle w:val="ANormal"/>
      </w:pPr>
      <w:r>
        <w:tab/>
        <w:t>Vart fjärde år (</w:t>
      </w:r>
      <w:r>
        <w:rPr>
          <w:i/>
        </w:rPr>
        <w:t>uppföljningsår</w:t>
      </w:r>
      <w:r>
        <w:t xml:space="preserve">) utreds </w:t>
      </w:r>
      <w:r w:rsidR="00F67502">
        <w:t>basbeloppen för de kostnadsbas</w:t>
      </w:r>
      <w:r w:rsidR="00F67502">
        <w:t>e</w:t>
      </w:r>
      <w:r w:rsidR="00F67502">
        <w:t>rade landskapsandelarna</w:t>
      </w:r>
      <w:r>
        <w:t xml:space="preserve"> i förhållande till nettodriftskostnaderna.</w:t>
      </w:r>
    </w:p>
    <w:p w:rsidR="007A7370" w:rsidRDefault="007A7370" w:rsidP="007A7370">
      <w:pPr>
        <w:pStyle w:val="ANormal"/>
      </w:pPr>
      <w:r>
        <w:tab/>
      </w:r>
      <w:r w:rsidR="002919E2">
        <w:t>Uppföljningen</w:t>
      </w:r>
      <w:r>
        <w:t xml:space="preserve"> sker genom </w:t>
      </w:r>
      <w:r w:rsidR="00481A22">
        <w:t xml:space="preserve">att </w:t>
      </w:r>
      <w:r>
        <w:t xml:space="preserve">basbeloppen </w:t>
      </w:r>
      <w:r w:rsidR="00481A22">
        <w:t xml:space="preserve">justeras </w:t>
      </w:r>
      <w:r>
        <w:t>på basen av ko</w:t>
      </w:r>
      <w:r>
        <w:t>m</w:t>
      </w:r>
      <w:r>
        <w:t>munernas sammanlagda nettodriftskostnader på respektive verksamhetso</w:t>
      </w:r>
      <w:r>
        <w:t>m</w:t>
      </w:r>
      <w:r>
        <w:t>råde</w:t>
      </w:r>
      <w:r w:rsidR="002919E2" w:rsidRPr="002919E2">
        <w:t xml:space="preserve"> </w:t>
      </w:r>
      <w:r w:rsidR="002919E2">
        <w:t>det finansår som infaller två år före uppföljningsåret</w:t>
      </w:r>
      <w:r>
        <w:t>.</w:t>
      </w:r>
      <w:r w:rsidRPr="007A7370">
        <w:t xml:space="preserve"> </w:t>
      </w:r>
      <w:r>
        <w:t>Om inte annat följer av 3</w:t>
      </w:r>
      <w:r w:rsidR="00614310">
        <w:t> mom.</w:t>
      </w:r>
      <w:r>
        <w:t xml:space="preserve"> utgör de justerade basbeloppen grund för fastställelse av basbeloppen för finansåret efter uppföljningsåret.</w:t>
      </w:r>
    </w:p>
    <w:p w:rsidR="00C5322D" w:rsidRDefault="00C5322D">
      <w:pPr>
        <w:pStyle w:val="ANormal"/>
      </w:pPr>
      <w:r>
        <w:t>- - - - - - - - - - - - - - - - - - - - - - - - - - - - - - - - - - - - - - - - - - - - - - - - - - - -</w:t>
      </w:r>
    </w:p>
    <w:p w:rsidR="00AF3004" w:rsidRDefault="003E0B6A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CD24E8" w:rsidRDefault="00CD24E8" w:rsidP="00CD24E8">
      <w:pPr>
        <w:pStyle w:val="ANormal"/>
      </w:pPr>
      <w:r>
        <w:tab/>
        <w:t>Lagtinget bemyndigar landskapsregeringen att bestämma att denna lag helt eller delvis ska träda i kraft i den ordning som föreskrivs i 20</w:t>
      </w:r>
      <w:r w:rsidR="00614310">
        <w:t> §</w:t>
      </w:r>
      <w:r>
        <w:t xml:space="preserve"> 3</w:t>
      </w:r>
      <w:r w:rsidR="00614310">
        <w:t> mom.</w:t>
      </w:r>
      <w:r>
        <w:t xml:space="preserve"> självstyrelselagen.</w:t>
      </w:r>
    </w:p>
    <w:p w:rsidR="00CD24E8" w:rsidRDefault="00CD24E8" w:rsidP="00CD24E8">
      <w:pPr>
        <w:pStyle w:val="ANormal"/>
      </w:pPr>
      <w:r>
        <w:tab/>
        <w:t xml:space="preserve">Denna lag träder ikraft den ... </w:t>
      </w:r>
    </w:p>
    <w:p w:rsidR="00F07375" w:rsidRDefault="001C1093" w:rsidP="00F07375">
      <w:pPr>
        <w:pStyle w:val="ANormal"/>
      </w:pPr>
      <w:r>
        <w:tab/>
        <w:t>Genom denna lag upphävs landskapsregeringens beslut ÅLR 2018/</w:t>
      </w:r>
      <w:r w:rsidR="00432BA5">
        <w:t xml:space="preserve">8327 </w:t>
      </w:r>
      <w:r w:rsidRPr="00FD7B4B">
        <w:t xml:space="preserve">till den del det gäller fastställande av basbeloppen för </w:t>
      </w:r>
      <w:r w:rsidR="00432BA5">
        <w:t>de olika intervallen</w:t>
      </w:r>
      <w:r w:rsidRPr="00FD7B4B">
        <w:t>.</w:t>
      </w:r>
      <w:r>
        <w:t xml:space="preserve"> </w:t>
      </w:r>
      <w:r w:rsidR="00E43D38">
        <w:t>Med avvikelse från vad som föreskrivs i 14</w:t>
      </w:r>
      <w:r w:rsidR="00614310">
        <w:t> §</w:t>
      </w:r>
      <w:r w:rsidR="00E43D38">
        <w:t xml:space="preserve"> fastställs b</w:t>
      </w:r>
      <w:r>
        <w:t>asbeloppen som avses i 9</w:t>
      </w:r>
      <w:r w:rsidR="00614310">
        <w:t> §</w:t>
      </w:r>
      <w:r>
        <w:t xml:space="preserve"> för finansåret 2019 med nettodriftskostnaderna för finansåret 2015 som grund. Basbeloppen beräknas på det sätt som föreskrivs i 18 och 19</w:t>
      </w:r>
      <w:r w:rsidR="00614310">
        <w:t> §</w:t>
      </w:r>
      <w:r>
        <w:t>§ och justeras därefter med förändringen i kostnadsnivån enligt prisi</w:t>
      </w:r>
      <w:r>
        <w:t>n</w:t>
      </w:r>
      <w:r>
        <w:t>dex för den kommunala basservicen på Åland.</w:t>
      </w:r>
    </w:p>
    <w:p w:rsidR="00AF3004" w:rsidRDefault="008D2FCD">
      <w:pPr>
        <w:pStyle w:val="ANormal"/>
      </w:pPr>
      <w:r>
        <w:tab/>
        <w:t>Genom denna lag upphävs även landskapsregeringens beslut ÅLR 2018/</w:t>
      </w:r>
      <w:r w:rsidR="00432BA5">
        <w:t>8372</w:t>
      </w:r>
      <w:r>
        <w:t xml:space="preserve"> om utjämningen mellan kommunerna under övergångsperioden till de</w:t>
      </w:r>
      <w:r w:rsidR="00E43D38">
        <w:t>n</w:t>
      </w:r>
      <w:r>
        <w:t xml:space="preserve"> del det gäller utjämningen under finansåren 2019 och 2020.</w:t>
      </w:r>
      <w:r w:rsidR="00B31B27">
        <w:t xml:space="preserve"> </w:t>
      </w:r>
      <w:r w:rsidR="00E43D38">
        <w:t>När u</w:t>
      </w:r>
      <w:r w:rsidR="00E43D38">
        <w:t>t</w:t>
      </w:r>
      <w:r w:rsidR="00E43D38">
        <w:t>jämningen för dessa år beräknas ska, med avvikelse från vad som anges i 52</w:t>
      </w:r>
      <w:r w:rsidR="00614310">
        <w:t> §</w:t>
      </w:r>
      <w:r w:rsidR="00E43D38">
        <w:t xml:space="preserve"> 3</w:t>
      </w:r>
      <w:r w:rsidR="00614310">
        <w:t> mom.</w:t>
      </w:r>
      <w:r w:rsidR="00E43D38">
        <w:t>, följande belopp utgöra kommunens totalbelopp för finansåret 2018:</w:t>
      </w:r>
    </w:p>
    <w:tbl>
      <w:tblPr>
        <w:tblStyle w:val="Tabellrutnt"/>
        <w:tblW w:w="0" w:type="auto"/>
        <w:tblInd w:w="1555" w:type="dxa"/>
        <w:tblLook w:val="04A0" w:firstRow="1" w:lastRow="0" w:firstColumn="1" w:lastColumn="0" w:noHBand="0" w:noVBand="1"/>
      </w:tblPr>
      <w:tblGrid>
        <w:gridCol w:w="1559"/>
        <w:gridCol w:w="1559"/>
      </w:tblGrid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E541B9" w:rsidRDefault="00254526" w:rsidP="007D5871">
            <w:pPr>
              <w:pStyle w:val="Tabelltext"/>
              <w:keepNext/>
            </w:pPr>
            <w:r w:rsidRPr="00E541B9">
              <w:t>Brändö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1</w:t>
            </w:r>
            <w:r w:rsidR="00C5322D">
              <w:t> </w:t>
            </w:r>
            <w:r w:rsidRPr="00483B26">
              <w:t>119</w:t>
            </w:r>
            <w:r w:rsidR="00C5322D">
              <w:t> </w:t>
            </w:r>
            <w:r w:rsidRPr="00483B26">
              <w:t>532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E541B9" w:rsidRDefault="00254526" w:rsidP="007D5871">
            <w:pPr>
              <w:pStyle w:val="Tabelltext"/>
              <w:keepNext/>
            </w:pPr>
            <w:r w:rsidRPr="00E541B9">
              <w:t>Eckerö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2</w:t>
            </w:r>
            <w:r w:rsidR="00C5322D">
              <w:t> </w:t>
            </w:r>
            <w:r w:rsidRPr="00483B26">
              <w:t>379</w:t>
            </w:r>
            <w:r w:rsidR="00C5322D">
              <w:t> </w:t>
            </w:r>
            <w:r w:rsidRPr="00483B26">
              <w:t>972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E541B9" w:rsidRDefault="00254526" w:rsidP="007D5871">
            <w:pPr>
              <w:pStyle w:val="Tabelltext"/>
              <w:keepNext/>
            </w:pPr>
            <w:r w:rsidRPr="00E541B9">
              <w:t>Finström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3</w:t>
            </w:r>
            <w:r w:rsidR="00C5322D">
              <w:t> </w:t>
            </w:r>
            <w:r w:rsidRPr="00483B26">
              <w:t>774</w:t>
            </w:r>
            <w:r w:rsidR="00C5322D">
              <w:t> </w:t>
            </w:r>
            <w:r w:rsidRPr="00483B26">
              <w:t>588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E541B9" w:rsidRDefault="00254526" w:rsidP="007D5871">
            <w:pPr>
              <w:pStyle w:val="Tabelltext"/>
              <w:keepNext/>
            </w:pPr>
            <w:r w:rsidRPr="00E541B9">
              <w:t>Föglö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1</w:t>
            </w:r>
            <w:r w:rsidR="00C5322D">
              <w:t> </w:t>
            </w:r>
            <w:r w:rsidRPr="00483B26">
              <w:t>337</w:t>
            </w:r>
            <w:r w:rsidR="00C5322D">
              <w:t> </w:t>
            </w:r>
            <w:r w:rsidRPr="00483B26">
              <w:t>436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E541B9" w:rsidRDefault="00254526" w:rsidP="007D5871">
            <w:pPr>
              <w:pStyle w:val="Tabelltext"/>
              <w:keepNext/>
            </w:pPr>
            <w:r w:rsidRPr="00E541B9">
              <w:t>Geta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1</w:t>
            </w:r>
            <w:r w:rsidR="00C5322D">
              <w:t> </w:t>
            </w:r>
            <w:r w:rsidRPr="00483B26">
              <w:t>503</w:t>
            </w:r>
            <w:r w:rsidR="00C5322D">
              <w:t> </w:t>
            </w:r>
            <w:r w:rsidRPr="00483B26">
              <w:t>942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E541B9" w:rsidRDefault="00254526" w:rsidP="007D5871">
            <w:pPr>
              <w:pStyle w:val="Tabelltext"/>
              <w:keepNext/>
            </w:pPr>
            <w:r w:rsidRPr="00E541B9">
              <w:t>Hammarland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2</w:t>
            </w:r>
            <w:r w:rsidR="00C5322D">
              <w:t> </w:t>
            </w:r>
            <w:r w:rsidRPr="00483B26">
              <w:t>862</w:t>
            </w:r>
            <w:r w:rsidR="00C5322D">
              <w:t> </w:t>
            </w:r>
            <w:r w:rsidRPr="00483B26">
              <w:t>182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E541B9" w:rsidRDefault="00254526" w:rsidP="007D5871">
            <w:pPr>
              <w:pStyle w:val="Tabelltext"/>
              <w:keepNext/>
            </w:pPr>
            <w:r w:rsidRPr="00E541B9">
              <w:t>Jomala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3</w:t>
            </w:r>
            <w:r w:rsidR="00C5322D">
              <w:t> </w:t>
            </w:r>
            <w:r w:rsidRPr="00483B26">
              <w:t>590</w:t>
            </w:r>
            <w:r w:rsidR="00C5322D">
              <w:t> </w:t>
            </w:r>
            <w:r w:rsidRPr="00483B26">
              <w:t>546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E541B9" w:rsidRDefault="00254526" w:rsidP="007D5871">
            <w:pPr>
              <w:pStyle w:val="Tabelltext"/>
              <w:keepNext/>
            </w:pPr>
            <w:r w:rsidRPr="00E541B9">
              <w:t>Kumlinge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799</w:t>
            </w:r>
            <w:r w:rsidR="00C5322D">
              <w:t> </w:t>
            </w:r>
            <w:r w:rsidRPr="00483B26">
              <w:t>221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E541B9" w:rsidRDefault="00254526" w:rsidP="007D5871">
            <w:pPr>
              <w:pStyle w:val="Tabelltext"/>
              <w:keepNext/>
            </w:pPr>
            <w:r w:rsidRPr="00E541B9">
              <w:t>Kökar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701</w:t>
            </w:r>
            <w:r w:rsidR="00C5322D">
              <w:t> </w:t>
            </w:r>
            <w:r w:rsidRPr="00483B26">
              <w:t>234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E541B9" w:rsidRDefault="00254526" w:rsidP="007D5871">
            <w:pPr>
              <w:pStyle w:val="Tabelltext"/>
              <w:keepNext/>
            </w:pPr>
            <w:r w:rsidRPr="00E541B9">
              <w:t>Lemland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2</w:t>
            </w:r>
            <w:r w:rsidR="00C5322D">
              <w:t> </w:t>
            </w:r>
            <w:r w:rsidRPr="00483B26">
              <w:t>143</w:t>
            </w:r>
            <w:r w:rsidR="00C5322D">
              <w:t> </w:t>
            </w:r>
            <w:r w:rsidRPr="00483B26">
              <w:t>241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E541B9" w:rsidRDefault="00254526" w:rsidP="007D5871">
            <w:pPr>
              <w:pStyle w:val="Tabelltext"/>
              <w:keepNext/>
            </w:pPr>
            <w:r w:rsidRPr="00E541B9">
              <w:t>Lumparland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582</w:t>
            </w:r>
            <w:r w:rsidR="00C5322D">
              <w:t> </w:t>
            </w:r>
            <w:r w:rsidRPr="00483B26">
              <w:t>800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E541B9" w:rsidRDefault="00254526" w:rsidP="007D5871">
            <w:pPr>
              <w:pStyle w:val="Tabelltext"/>
              <w:keepNext/>
            </w:pPr>
            <w:r w:rsidRPr="00E541B9">
              <w:t>Saltvik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2</w:t>
            </w:r>
            <w:r w:rsidR="00C5322D">
              <w:t> </w:t>
            </w:r>
            <w:r w:rsidRPr="00483B26">
              <w:t>394</w:t>
            </w:r>
            <w:r w:rsidR="00C5322D">
              <w:t> </w:t>
            </w:r>
            <w:r w:rsidRPr="00483B26">
              <w:t>114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3163F3" w:rsidRDefault="00254526" w:rsidP="007D5871">
            <w:pPr>
              <w:pStyle w:val="Tabelltext"/>
              <w:keepNext/>
            </w:pPr>
            <w:r w:rsidRPr="003163F3">
              <w:t>Sottunga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108</w:t>
            </w:r>
            <w:r w:rsidR="00C5322D">
              <w:t> </w:t>
            </w:r>
            <w:r w:rsidRPr="00483B26">
              <w:t>499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3163F3" w:rsidRDefault="00254526" w:rsidP="007D5871">
            <w:pPr>
              <w:pStyle w:val="Tabelltext"/>
              <w:keepNext/>
            </w:pPr>
            <w:r w:rsidRPr="003163F3">
              <w:t>Sund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1</w:t>
            </w:r>
            <w:r w:rsidR="00C5322D">
              <w:t> </w:t>
            </w:r>
            <w:r w:rsidRPr="00483B26">
              <w:t>940</w:t>
            </w:r>
            <w:r w:rsidR="00C5322D">
              <w:t> </w:t>
            </w:r>
            <w:r w:rsidRPr="00483B26">
              <w:t>706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3163F3" w:rsidRDefault="00254526" w:rsidP="007D5871">
            <w:pPr>
              <w:pStyle w:val="Tabelltext"/>
              <w:keepNext/>
            </w:pPr>
            <w:r w:rsidRPr="003163F3">
              <w:t>Vårdö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1</w:t>
            </w:r>
            <w:r w:rsidR="00C5322D">
              <w:t> </w:t>
            </w:r>
            <w:r w:rsidRPr="00483B26">
              <w:t>548</w:t>
            </w:r>
            <w:r w:rsidR="00C5322D">
              <w:t> </w:t>
            </w:r>
            <w:r w:rsidRPr="00483B26">
              <w:t>035</w:t>
            </w:r>
          </w:p>
        </w:tc>
      </w:tr>
      <w:tr w:rsidR="00254526" w:rsidTr="007D5871">
        <w:trPr>
          <w:trHeight w:val="226"/>
        </w:trPr>
        <w:tc>
          <w:tcPr>
            <w:tcW w:w="1559" w:type="dxa"/>
            <w:vAlign w:val="center"/>
          </w:tcPr>
          <w:p w:rsidR="00254526" w:rsidRPr="003163F3" w:rsidRDefault="00254526" w:rsidP="007D5871">
            <w:pPr>
              <w:pStyle w:val="Tabelltext"/>
              <w:keepNext/>
            </w:pPr>
            <w:r w:rsidRPr="003163F3">
              <w:t>Mariehamn</w:t>
            </w:r>
          </w:p>
        </w:tc>
        <w:tc>
          <w:tcPr>
            <w:tcW w:w="1559" w:type="dxa"/>
            <w:vAlign w:val="center"/>
          </w:tcPr>
          <w:p w:rsidR="00254526" w:rsidRPr="00483B26" w:rsidRDefault="00254526" w:rsidP="007D5871">
            <w:pPr>
              <w:pStyle w:val="Tabelltext"/>
              <w:keepNext/>
              <w:jc w:val="right"/>
            </w:pPr>
            <w:r w:rsidRPr="00483B26">
              <w:t>6</w:t>
            </w:r>
            <w:r w:rsidR="00C5322D">
              <w:t> </w:t>
            </w:r>
            <w:r w:rsidRPr="00483B26">
              <w:t>230</w:t>
            </w:r>
            <w:r w:rsidR="00C5322D">
              <w:t> </w:t>
            </w:r>
            <w:r w:rsidRPr="00483B26">
              <w:t>631</w:t>
            </w:r>
          </w:p>
        </w:tc>
      </w:tr>
    </w:tbl>
    <w:p w:rsidR="00F07375" w:rsidRDefault="00F07375">
      <w:pPr>
        <w:pStyle w:val="ANormal"/>
      </w:pPr>
    </w:p>
    <w:p w:rsidR="005A5F96" w:rsidRDefault="002C4E41">
      <w:pPr>
        <w:pStyle w:val="ANormal"/>
      </w:pPr>
      <w:r>
        <w:lastRenderedPageBreak/>
        <w:tab/>
        <w:t>Senast den 11 januari 2019 ska landskapsregeringen fatta beslut om basbeloppen enligt 3</w:t>
      </w:r>
      <w:r w:rsidR="00614310">
        <w:t> mom.</w:t>
      </w:r>
      <w:r>
        <w:t xml:space="preserve"> samt utjämningen enligt 4</w:t>
      </w:r>
      <w:r w:rsidR="00614310">
        <w:t> mom.</w:t>
      </w:r>
    </w:p>
    <w:p w:rsidR="00DF6FA2" w:rsidRDefault="00DF6FA2">
      <w:pPr>
        <w:pStyle w:val="ANormal"/>
      </w:pPr>
    </w:p>
    <w:p w:rsidR="002C4E41" w:rsidRDefault="003E0B6A">
      <w:pPr>
        <w:pStyle w:val="ANormal"/>
        <w:jc w:val="center"/>
      </w:pPr>
      <w:hyperlink w:anchor="_top" w:tooltip="Klicka för att gå till toppen av dokumentet" w:history="1">
        <w:r w:rsidR="002C4E41">
          <w:rPr>
            <w:rStyle w:val="Hyperlnk"/>
          </w:rPr>
          <w:t>__________________</w:t>
        </w:r>
      </w:hyperlink>
    </w:p>
    <w:p w:rsidR="002C4E41" w:rsidRDefault="002C4E41">
      <w:pPr>
        <w:pStyle w:val="ANormal"/>
      </w:pPr>
    </w:p>
    <w:p w:rsidR="00C5322D" w:rsidRDefault="00C5322D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>
        <w:trPr>
          <w:cantSplit/>
        </w:trPr>
        <w:tc>
          <w:tcPr>
            <w:tcW w:w="7931" w:type="dxa"/>
            <w:gridSpan w:val="2"/>
          </w:tcPr>
          <w:p w:rsidR="00AF3004" w:rsidRDefault="00AF3004">
            <w:pPr>
              <w:pStyle w:val="ANormal"/>
              <w:keepNext/>
            </w:pPr>
            <w:r>
              <w:t xml:space="preserve">Mariehamn den </w:t>
            </w:r>
            <w:r w:rsidR="00CF1F2D">
              <w:t>15 november 2018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0F7FFD">
            <w:pPr>
              <w:pStyle w:val="ANormal"/>
              <w:keepNext/>
            </w:pPr>
            <w:r>
              <w:t>Katrin Sjögren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  <w:r>
              <w:t xml:space="preserve">Föredragande </w:t>
            </w:r>
            <w:r w:rsidR="00F07375">
              <w:t>minister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0F7FFD">
            <w:pPr>
              <w:pStyle w:val="ANormal"/>
              <w:keepNext/>
            </w:pPr>
            <w:r>
              <w:t>Mats Perämaa</w:t>
            </w:r>
          </w:p>
        </w:tc>
      </w:tr>
    </w:tbl>
    <w:p w:rsidR="00AF3004" w:rsidRDefault="00AF3004">
      <w:pPr>
        <w:pStyle w:val="ANormal"/>
      </w:pPr>
    </w:p>
    <w:p w:rsidR="00DF6FA2" w:rsidRDefault="00DF6FA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0"/>
          <w:lang w:val="sv-SE"/>
        </w:rPr>
      </w:pPr>
      <w:r>
        <w:br w:type="page"/>
      </w:r>
    </w:p>
    <w:p w:rsidR="00DF6FA2" w:rsidRDefault="00DF6FA2" w:rsidP="00DF6FA2">
      <w:pPr>
        <w:pStyle w:val="RubrikA"/>
      </w:pPr>
      <w:bookmarkStart w:id="18" w:name="_Toc529954442"/>
      <w:r>
        <w:lastRenderedPageBreak/>
        <w:t>Parallelltexter</w:t>
      </w:r>
      <w:bookmarkEnd w:id="18"/>
    </w:p>
    <w:p w:rsidR="00DF6FA2" w:rsidRDefault="00DF6FA2" w:rsidP="00DF6FA2">
      <w:pPr>
        <w:pStyle w:val="Rubrikmellanrum"/>
      </w:pPr>
    </w:p>
    <w:p w:rsidR="00DF6FA2" w:rsidRPr="00DF6FA2" w:rsidRDefault="003E0B6A" w:rsidP="00DF6FA2">
      <w:pPr>
        <w:pStyle w:val="ArendeUnderRubrik"/>
      </w:pPr>
      <w:hyperlink r:id="rId14" w:history="1">
        <w:r w:rsidR="00DF6FA2" w:rsidRPr="003E0B6A">
          <w:rPr>
            <w:rStyle w:val="Hyperlnk"/>
          </w:rPr>
          <w:t xml:space="preserve">Parallelltexter till landskapsregeringens lagförslag nr </w:t>
        </w:r>
        <w:r w:rsidR="000F449F" w:rsidRPr="003E0B6A">
          <w:rPr>
            <w:rStyle w:val="Hyperlnk"/>
          </w:rPr>
          <w:t>4</w:t>
        </w:r>
        <w:r w:rsidR="00DF6FA2" w:rsidRPr="003E0B6A">
          <w:rPr>
            <w:rStyle w:val="Hyperlnk"/>
          </w:rPr>
          <w:t>/2018-2019</w:t>
        </w:r>
      </w:hyperlink>
      <w:bookmarkStart w:id="19" w:name="_GoBack"/>
      <w:bookmarkEnd w:id="19"/>
    </w:p>
    <w:sectPr w:rsidR="00DF6FA2" w:rsidRPr="00DF6FA2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A">
      <wne:fci wne:fciName="EditUndo" wne:swArg="0000"/>
    </wne:keymap>
    <wne:keymap wne:kcmPrimary="0508">
      <wne:fci wne:fciName="EditRedo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75" w:rsidRDefault="00F07375">
      <w:r>
        <w:separator/>
      </w:r>
    </w:p>
  </w:endnote>
  <w:endnote w:type="continuationSeparator" w:id="0">
    <w:p w:rsidR="00F07375" w:rsidRDefault="00F0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charset w:val="B2"/>
    <w:family w:val="auto"/>
    <w:pitch w:val="variable"/>
    <w:sig w:usb0="00000000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Pr="00DF6FA2" w:rsidRDefault="00DF6FA2">
    <w:pPr>
      <w:pStyle w:val="Sidfot"/>
      <w:rPr>
        <w:lang w:val="sv-FI"/>
      </w:rPr>
    </w:pPr>
    <w:r>
      <w:rPr>
        <w:lang w:val="sv-FI"/>
      </w:rPr>
      <w:t>LF</w:t>
    </w:r>
    <w:r w:rsidR="007D51AB">
      <w:rPr>
        <w:lang w:val="sv-FI"/>
      </w:rPr>
      <w:t>04</w:t>
    </w:r>
    <w:r>
      <w:rPr>
        <w:lang w:val="sv-FI"/>
      </w:rPr>
      <w:t>20182019_1</w:t>
    </w:r>
    <w:r w:rsidR="00CF1F2D">
      <w:rPr>
        <w:lang w:val="sv-FI"/>
      </w:rPr>
      <w:t>5</w:t>
    </w:r>
    <w:r>
      <w:rPr>
        <w:lang w:val="sv-FI"/>
      </w:rPr>
      <w:t>1118.docx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75" w:rsidRDefault="00F07375">
      <w:r>
        <w:separator/>
      </w:r>
    </w:p>
  </w:footnote>
  <w:footnote w:type="continuationSeparator" w:id="0">
    <w:p w:rsidR="00F07375" w:rsidRDefault="00F0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E0B6A">
      <w:rPr>
        <w:rStyle w:val="Sidnummer"/>
        <w:noProof/>
      </w:rPr>
      <w:t>10</w:t>
    </w:r>
    <w:r>
      <w:rPr>
        <w:rStyle w:val="Sidnummer"/>
      </w:rPr>
      <w:fldChar w:fldCharType="end"/>
    </w:r>
  </w:p>
  <w:p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E0B6A">
      <w:rPr>
        <w:rStyle w:val="Sidnummer"/>
        <w:noProof/>
      </w:rPr>
      <w:t>11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1788C"/>
    <w:multiLevelType w:val="hybridMultilevel"/>
    <w:tmpl w:val="232CC5AA"/>
    <w:lvl w:ilvl="0" w:tplc="3BDE0B4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1365" w:hanging="360"/>
      </w:pPr>
    </w:lvl>
    <w:lvl w:ilvl="2" w:tplc="081D001B" w:tentative="1">
      <w:start w:val="1"/>
      <w:numFmt w:val="lowerRoman"/>
      <w:lvlText w:val="%3."/>
      <w:lvlJc w:val="right"/>
      <w:pPr>
        <w:ind w:left="2085" w:hanging="180"/>
      </w:pPr>
    </w:lvl>
    <w:lvl w:ilvl="3" w:tplc="081D000F" w:tentative="1">
      <w:start w:val="1"/>
      <w:numFmt w:val="decimal"/>
      <w:lvlText w:val="%4."/>
      <w:lvlJc w:val="left"/>
      <w:pPr>
        <w:ind w:left="2805" w:hanging="360"/>
      </w:pPr>
    </w:lvl>
    <w:lvl w:ilvl="4" w:tplc="081D0019" w:tentative="1">
      <w:start w:val="1"/>
      <w:numFmt w:val="lowerLetter"/>
      <w:lvlText w:val="%5."/>
      <w:lvlJc w:val="left"/>
      <w:pPr>
        <w:ind w:left="3525" w:hanging="360"/>
      </w:pPr>
    </w:lvl>
    <w:lvl w:ilvl="5" w:tplc="081D001B" w:tentative="1">
      <w:start w:val="1"/>
      <w:numFmt w:val="lowerRoman"/>
      <w:lvlText w:val="%6."/>
      <w:lvlJc w:val="right"/>
      <w:pPr>
        <w:ind w:left="4245" w:hanging="180"/>
      </w:pPr>
    </w:lvl>
    <w:lvl w:ilvl="6" w:tplc="081D000F" w:tentative="1">
      <w:start w:val="1"/>
      <w:numFmt w:val="decimal"/>
      <w:lvlText w:val="%7."/>
      <w:lvlJc w:val="left"/>
      <w:pPr>
        <w:ind w:left="4965" w:hanging="360"/>
      </w:pPr>
    </w:lvl>
    <w:lvl w:ilvl="7" w:tplc="081D0019" w:tentative="1">
      <w:start w:val="1"/>
      <w:numFmt w:val="lowerLetter"/>
      <w:lvlText w:val="%8."/>
      <w:lvlJc w:val="left"/>
      <w:pPr>
        <w:ind w:left="5685" w:hanging="360"/>
      </w:pPr>
    </w:lvl>
    <w:lvl w:ilvl="8" w:tplc="081D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75"/>
    <w:rsid w:val="0003256A"/>
    <w:rsid w:val="00034A9F"/>
    <w:rsid w:val="00034C3E"/>
    <w:rsid w:val="00037925"/>
    <w:rsid w:val="00042BF7"/>
    <w:rsid w:val="000510F8"/>
    <w:rsid w:val="00056896"/>
    <w:rsid w:val="00060A9E"/>
    <w:rsid w:val="000B26C2"/>
    <w:rsid w:val="000B69ED"/>
    <w:rsid w:val="000C2005"/>
    <w:rsid w:val="000C41AD"/>
    <w:rsid w:val="000C44D0"/>
    <w:rsid w:val="000E3787"/>
    <w:rsid w:val="000F449F"/>
    <w:rsid w:val="000F7FFD"/>
    <w:rsid w:val="0010489E"/>
    <w:rsid w:val="00135ED2"/>
    <w:rsid w:val="00146245"/>
    <w:rsid w:val="00154EA1"/>
    <w:rsid w:val="00161E1A"/>
    <w:rsid w:val="00172D5A"/>
    <w:rsid w:val="00175E51"/>
    <w:rsid w:val="001771C8"/>
    <w:rsid w:val="001962EC"/>
    <w:rsid w:val="0019775A"/>
    <w:rsid w:val="001A2F23"/>
    <w:rsid w:val="001C1093"/>
    <w:rsid w:val="001C4773"/>
    <w:rsid w:val="001E5FC5"/>
    <w:rsid w:val="001F36DF"/>
    <w:rsid w:val="00202894"/>
    <w:rsid w:val="00210D85"/>
    <w:rsid w:val="00222367"/>
    <w:rsid w:val="00226763"/>
    <w:rsid w:val="00231BC5"/>
    <w:rsid w:val="00232E5D"/>
    <w:rsid w:val="002352A6"/>
    <w:rsid w:val="00236A3F"/>
    <w:rsid w:val="0023795B"/>
    <w:rsid w:val="00254526"/>
    <w:rsid w:val="00267EF1"/>
    <w:rsid w:val="00271062"/>
    <w:rsid w:val="00275B12"/>
    <w:rsid w:val="00282D32"/>
    <w:rsid w:val="002874A3"/>
    <w:rsid w:val="002919E2"/>
    <w:rsid w:val="0029221D"/>
    <w:rsid w:val="002A5051"/>
    <w:rsid w:val="002A739D"/>
    <w:rsid w:val="002C47EB"/>
    <w:rsid w:val="002C4E41"/>
    <w:rsid w:val="002C5965"/>
    <w:rsid w:val="002E7B01"/>
    <w:rsid w:val="00317440"/>
    <w:rsid w:val="00317B7A"/>
    <w:rsid w:val="0032571D"/>
    <w:rsid w:val="00337070"/>
    <w:rsid w:val="00342FC4"/>
    <w:rsid w:val="003448F7"/>
    <w:rsid w:val="003663D1"/>
    <w:rsid w:val="00374FD3"/>
    <w:rsid w:val="003B5B6E"/>
    <w:rsid w:val="003C2E0B"/>
    <w:rsid w:val="003E0B6A"/>
    <w:rsid w:val="00404B1A"/>
    <w:rsid w:val="004255B1"/>
    <w:rsid w:val="00432BA5"/>
    <w:rsid w:val="0044382D"/>
    <w:rsid w:val="004448A3"/>
    <w:rsid w:val="00464956"/>
    <w:rsid w:val="00464E03"/>
    <w:rsid w:val="00472E44"/>
    <w:rsid w:val="00481A22"/>
    <w:rsid w:val="00497B7C"/>
    <w:rsid w:val="004A0E65"/>
    <w:rsid w:val="004A6BA1"/>
    <w:rsid w:val="004B71C7"/>
    <w:rsid w:val="004B7ADB"/>
    <w:rsid w:val="004D28E6"/>
    <w:rsid w:val="004D385D"/>
    <w:rsid w:val="004D50AC"/>
    <w:rsid w:val="004D515A"/>
    <w:rsid w:val="004E6851"/>
    <w:rsid w:val="00500AC1"/>
    <w:rsid w:val="00502A08"/>
    <w:rsid w:val="00530D22"/>
    <w:rsid w:val="005442B2"/>
    <w:rsid w:val="00547A89"/>
    <w:rsid w:val="0056640C"/>
    <w:rsid w:val="005753FE"/>
    <w:rsid w:val="00581F81"/>
    <w:rsid w:val="00585334"/>
    <w:rsid w:val="005A5F96"/>
    <w:rsid w:val="005E55F8"/>
    <w:rsid w:val="005F1DF9"/>
    <w:rsid w:val="005F25FA"/>
    <w:rsid w:val="00602403"/>
    <w:rsid w:val="00610602"/>
    <w:rsid w:val="00614310"/>
    <w:rsid w:val="00614443"/>
    <w:rsid w:val="0064168B"/>
    <w:rsid w:val="0064411F"/>
    <w:rsid w:val="00671A28"/>
    <w:rsid w:val="00673DFE"/>
    <w:rsid w:val="00687F55"/>
    <w:rsid w:val="00694528"/>
    <w:rsid w:val="006969A7"/>
    <w:rsid w:val="006A7F49"/>
    <w:rsid w:val="006B633C"/>
    <w:rsid w:val="006C2A21"/>
    <w:rsid w:val="006C4439"/>
    <w:rsid w:val="006D6A65"/>
    <w:rsid w:val="006E0835"/>
    <w:rsid w:val="006E6530"/>
    <w:rsid w:val="00717A03"/>
    <w:rsid w:val="00722128"/>
    <w:rsid w:val="00724B95"/>
    <w:rsid w:val="00742BCC"/>
    <w:rsid w:val="00751F6B"/>
    <w:rsid w:val="0077377D"/>
    <w:rsid w:val="00775DF0"/>
    <w:rsid w:val="007A2376"/>
    <w:rsid w:val="007A5580"/>
    <w:rsid w:val="007A7370"/>
    <w:rsid w:val="007B7220"/>
    <w:rsid w:val="007D08E3"/>
    <w:rsid w:val="007D51AB"/>
    <w:rsid w:val="007D5871"/>
    <w:rsid w:val="007F16A5"/>
    <w:rsid w:val="00800195"/>
    <w:rsid w:val="0080189A"/>
    <w:rsid w:val="008029F7"/>
    <w:rsid w:val="00807054"/>
    <w:rsid w:val="00810B03"/>
    <w:rsid w:val="008450DA"/>
    <w:rsid w:val="00877AF5"/>
    <w:rsid w:val="00881E95"/>
    <w:rsid w:val="00881ED9"/>
    <w:rsid w:val="008831F4"/>
    <w:rsid w:val="008A5A68"/>
    <w:rsid w:val="008D0343"/>
    <w:rsid w:val="008D2FCD"/>
    <w:rsid w:val="008D4477"/>
    <w:rsid w:val="008E4456"/>
    <w:rsid w:val="008F23B2"/>
    <w:rsid w:val="00910503"/>
    <w:rsid w:val="009239D9"/>
    <w:rsid w:val="009262BD"/>
    <w:rsid w:val="0093484B"/>
    <w:rsid w:val="00993AEE"/>
    <w:rsid w:val="0099600F"/>
    <w:rsid w:val="009B2139"/>
    <w:rsid w:val="009B76DD"/>
    <w:rsid w:val="009C17EF"/>
    <w:rsid w:val="009C3E63"/>
    <w:rsid w:val="009C789E"/>
    <w:rsid w:val="009F3AAE"/>
    <w:rsid w:val="00A14603"/>
    <w:rsid w:val="00A23A47"/>
    <w:rsid w:val="00A32351"/>
    <w:rsid w:val="00A328F0"/>
    <w:rsid w:val="00A3443D"/>
    <w:rsid w:val="00A53F60"/>
    <w:rsid w:val="00A66678"/>
    <w:rsid w:val="00AC4AA5"/>
    <w:rsid w:val="00AC7F8E"/>
    <w:rsid w:val="00AD2549"/>
    <w:rsid w:val="00AE660A"/>
    <w:rsid w:val="00AE6B29"/>
    <w:rsid w:val="00AE7FC6"/>
    <w:rsid w:val="00AF19A0"/>
    <w:rsid w:val="00AF3004"/>
    <w:rsid w:val="00B065B9"/>
    <w:rsid w:val="00B252B2"/>
    <w:rsid w:val="00B31B27"/>
    <w:rsid w:val="00B45637"/>
    <w:rsid w:val="00B62935"/>
    <w:rsid w:val="00B670CD"/>
    <w:rsid w:val="00B70EA2"/>
    <w:rsid w:val="00BB3C89"/>
    <w:rsid w:val="00BB6A8B"/>
    <w:rsid w:val="00BB6DD9"/>
    <w:rsid w:val="00BC642B"/>
    <w:rsid w:val="00BD3099"/>
    <w:rsid w:val="00BD31E0"/>
    <w:rsid w:val="00BD5BF1"/>
    <w:rsid w:val="00BE284B"/>
    <w:rsid w:val="00BF0D4D"/>
    <w:rsid w:val="00BF58B3"/>
    <w:rsid w:val="00BF67BF"/>
    <w:rsid w:val="00BF7E1C"/>
    <w:rsid w:val="00BF7EF3"/>
    <w:rsid w:val="00C35718"/>
    <w:rsid w:val="00C46006"/>
    <w:rsid w:val="00C5322D"/>
    <w:rsid w:val="00C77E7F"/>
    <w:rsid w:val="00CA73DD"/>
    <w:rsid w:val="00CB387C"/>
    <w:rsid w:val="00CB71E0"/>
    <w:rsid w:val="00CC58EA"/>
    <w:rsid w:val="00CD24E8"/>
    <w:rsid w:val="00CE2FFC"/>
    <w:rsid w:val="00CF1F2D"/>
    <w:rsid w:val="00CF78BB"/>
    <w:rsid w:val="00D179B1"/>
    <w:rsid w:val="00D334AC"/>
    <w:rsid w:val="00D3403F"/>
    <w:rsid w:val="00D40F98"/>
    <w:rsid w:val="00D443CE"/>
    <w:rsid w:val="00D51448"/>
    <w:rsid w:val="00D544EE"/>
    <w:rsid w:val="00D65C09"/>
    <w:rsid w:val="00D77F52"/>
    <w:rsid w:val="00D81972"/>
    <w:rsid w:val="00D97CB6"/>
    <w:rsid w:val="00DD38F1"/>
    <w:rsid w:val="00DD5E39"/>
    <w:rsid w:val="00DD5EB4"/>
    <w:rsid w:val="00DF2FBF"/>
    <w:rsid w:val="00DF6FA2"/>
    <w:rsid w:val="00E17D2A"/>
    <w:rsid w:val="00E17E00"/>
    <w:rsid w:val="00E31617"/>
    <w:rsid w:val="00E34C30"/>
    <w:rsid w:val="00E43D38"/>
    <w:rsid w:val="00E46A5B"/>
    <w:rsid w:val="00E713F7"/>
    <w:rsid w:val="00EE1DEB"/>
    <w:rsid w:val="00EE6520"/>
    <w:rsid w:val="00EF24E4"/>
    <w:rsid w:val="00F01970"/>
    <w:rsid w:val="00F07375"/>
    <w:rsid w:val="00F12D4C"/>
    <w:rsid w:val="00F255B8"/>
    <w:rsid w:val="00F2595A"/>
    <w:rsid w:val="00F3124D"/>
    <w:rsid w:val="00F5481D"/>
    <w:rsid w:val="00F57DEC"/>
    <w:rsid w:val="00F67502"/>
    <w:rsid w:val="00F67BBA"/>
    <w:rsid w:val="00F76111"/>
    <w:rsid w:val="00F868FD"/>
    <w:rsid w:val="00F94515"/>
    <w:rsid w:val="00FA1977"/>
    <w:rsid w:val="00FA1A1A"/>
    <w:rsid w:val="00FB0D9C"/>
    <w:rsid w:val="00FB3140"/>
    <w:rsid w:val="00FD6449"/>
    <w:rsid w:val="00FD7B4B"/>
    <w:rsid w:val="00FF29BE"/>
    <w:rsid w:val="00FF4E45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75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  <w:lang w:val="en-US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2D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D4C"/>
    <w:rPr>
      <w:rFonts w:ascii="Segoe UI" w:hAnsi="Segoe UI" w:cs="Segoe UI"/>
      <w:sz w:val="18"/>
      <w:szCs w:val="18"/>
      <w:lang w:val="en-US" w:eastAsia="sv-SE"/>
    </w:rPr>
  </w:style>
  <w:style w:type="table" w:styleId="Tabellrutnt">
    <w:name w:val="Table Grid"/>
    <w:basedOn w:val="Normaltabell"/>
    <w:uiPriority w:val="59"/>
    <w:rsid w:val="0025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75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  <w:lang w:val="en-US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2D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D4C"/>
    <w:rPr>
      <w:rFonts w:ascii="Segoe UI" w:hAnsi="Segoe UI" w:cs="Segoe UI"/>
      <w:sz w:val="18"/>
      <w:szCs w:val="18"/>
      <w:lang w:val="en-US" w:eastAsia="sv-SE"/>
    </w:rPr>
  </w:style>
  <w:style w:type="table" w:styleId="Tabellrutnt">
    <w:name w:val="Table Grid"/>
    <w:basedOn w:val="Normaltabell"/>
    <w:uiPriority w:val="59"/>
    <w:rsid w:val="0025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dokument.lagtinget.ax/handlingar/2018-2019/LF04/LF0420182019-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A381-881A-48C7-AE67-84DD0941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2</TotalTime>
  <Pages>11</Pages>
  <Words>3285</Words>
  <Characters>21718</Characters>
  <Application>Microsoft Office Word</Application>
  <DocSecurity>0</DocSecurity>
  <Lines>180</Lines>
  <Paragraphs>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24954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Diana Lönngren</dc:creator>
  <cp:keywords/>
  <dc:description/>
  <cp:lastModifiedBy>Jessica Laaksonen</cp:lastModifiedBy>
  <cp:revision>4</cp:revision>
  <cp:lastPrinted>2018-11-13T12:10:00Z</cp:lastPrinted>
  <dcterms:created xsi:type="dcterms:W3CDTF">2018-11-15T11:35:00Z</dcterms:created>
  <dcterms:modified xsi:type="dcterms:W3CDTF">2018-11-15T13:06:00Z</dcterms:modified>
</cp:coreProperties>
</file>