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>
        <w:trPr>
          <w:cantSplit/>
          <w:trHeight w:val="20"/>
        </w:trPr>
        <w:tc>
          <w:tcPr>
            <w:tcW w:w="861" w:type="dxa"/>
            <w:vMerge w:val="restart"/>
          </w:tcPr>
          <w:p w:rsidR="00E023D9" w:rsidRDefault="00DE2946">
            <w:pPr>
              <w:pStyle w:val="xLedtext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:rsidR="00E023D9" w:rsidRDefault="00DE2946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>
                  <wp:extent cx="47625" cy="4762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>
        <w:trPr>
          <w:cantSplit/>
          <w:trHeight w:val="299"/>
        </w:trPr>
        <w:tc>
          <w:tcPr>
            <w:tcW w:w="861" w:type="dxa"/>
            <w:vMerge/>
          </w:tcPr>
          <w:p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>
        <w:trPr>
          <w:cantSplit/>
          <w:trHeight w:val="238"/>
        </w:trPr>
        <w:tc>
          <w:tcPr>
            <w:tcW w:w="861" w:type="dxa"/>
            <w:vMerge/>
          </w:tcPr>
          <w:p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E023D9" w:rsidRDefault="00E023D9">
            <w:pPr>
              <w:pStyle w:val="xLedtext"/>
            </w:pPr>
          </w:p>
        </w:tc>
      </w:tr>
      <w:tr w:rsidR="00E023D9">
        <w:trPr>
          <w:cantSplit/>
          <w:trHeight w:val="238"/>
        </w:trPr>
        <w:tc>
          <w:tcPr>
            <w:tcW w:w="861" w:type="dxa"/>
            <w:vMerge/>
          </w:tcPr>
          <w:p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E023D9" w:rsidRDefault="00E023D9">
            <w:pPr>
              <w:pStyle w:val="xDatum1"/>
            </w:pPr>
            <w:r>
              <w:t>20</w:t>
            </w:r>
            <w:r w:rsidR="00DA29DA">
              <w:t>18</w:t>
            </w:r>
            <w:r>
              <w:t>-</w:t>
            </w:r>
            <w:r w:rsidR="006153B0">
              <w:t>11</w:t>
            </w:r>
            <w:r>
              <w:t>-</w:t>
            </w:r>
            <w:r w:rsidR="006153B0">
              <w:t>15</w:t>
            </w:r>
          </w:p>
        </w:tc>
        <w:tc>
          <w:tcPr>
            <w:tcW w:w="2563" w:type="dxa"/>
            <w:vAlign w:val="center"/>
          </w:tcPr>
          <w:p w:rsidR="00E023D9" w:rsidRDefault="00E023D9">
            <w:pPr>
              <w:pStyle w:val="xBeteckning1"/>
            </w:pPr>
          </w:p>
        </w:tc>
      </w:tr>
      <w:tr w:rsidR="00E023D9">
        <w:trPr>
          <w:cantSplit/>
          <w:trHeight w:val="238"/>
        </w:trPr>
        <w:tc>
          <w:tcPr>
            <w:tcW w:w="861" w:type="dxa"/>
            <w:vMerge/>
          </w:tcPr>
          <w:p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E023D9" w:rsidRPr="00C23EFE" w:rsidRDefault="00E023D9">
            <w:pPr>
              <w:pStyle w:val="xLedtext"/>
              <w:rPr>
                <w:b/>
                <w:sz w:val="18"/>
                <w:szCs w:val="18"/>
              </w:rPr>
            </w:pPr>
          </w:p>
        </w:tc>
      </w:tr>
      <w:tr w:rsidR="00E023D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E023D9" w:rsidRDefault="00E023D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023D9" w:rsidRDefault="00E023D9">
            <w:pPr>
              <w:pStyle w:val="xBeteckning2"/>
            </w:pPr>
          </w:p>
        </w:tc>
      </w:tr>
      <w:tr w:rsidR="00E023D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E023D9" w:rsidRDefault="00E023D9">
            <w:pPr>
              <w:pStyle w:val="xLedtext"/>
            </w:pPr>
          </w:p>
        </w:tc>
      </w:tr>
    </w:tbl>
    <w:p w:rsidR="00E023D9" w:rsidRDefault="00E023D9">
      <w:pPr>
        <w:rPr>
          <w:b/>
          <w:bCs/>
        </w:rPr>
        <w:sectPr w:rsidR="00E023D9">
          <w:footerReference w:type="even" r:id="rId10"/>
          <w:footerReference w:type="default" r:id="rId11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:rsidR="00E023D9" w:rsidRDefault="00E023D9">
      <w:pPr>
        <w:pStyle w:val="ArendeOverRubrik"/>
      </w:pPr>
      <w:r>
        <w:t xml:space="preserve">Parallelltexter till landskapsregeringens </w:t>
      </w:r>
      <w:r w:rsidR="00DA29DA">
        <w:t>lagförslag</w:t>
      </w:r>
    </w:p>
    <w:p w:rsidR="00E023D9" w:rsidRDefault="00DA29DA">
      <w:pPr>
        <w:pStyle w:val="ArendeRubrik"/>
      </w:pPr>
      <w:r>
        <w:t>Förtydligande av bestämmelserna om basbeloppen för grundskolan</w:t>
      </w:r>
    </w:p>
    <w:p w:rsidR="00E023D9" w:rsidRDefault="00E023D9">
      <w:pPr>
        <w:pStyle w:val="ArendeUnderRubrik"/>
      </w:pPr>
      <w:r>
        <w:t xml:space="preserve">Landskapsregeringens </w:t>
      </w:r>
      <w:r w:rsidR="00DA29DA">
        <w:t>lagförslag</w:t>
      </w:r>
      <w:r>
        <w:t xml:space="preserve"> nr </w:t>
      </w:r>
      <w:r w:rsidR="00676B3D">
        <w:t>4</w:t>
      </w:r>
      <w:r>
        <w:t>/20</w:t>
      </w:r>
      <w:r w:rsidR="00DA29DA">
        <w:t>18</w:t>
      </w:r>
      <w:r w:rsidR="003229E8">
        <w:t>–</w:t>
      </w:r>
      <w:r>
        <w:t>20</w:t>
      </w:r>
      <w:r w:rsidR="00DA29DA">
        <w:t>19</w:t>
      </w:r>
    </w:p>
    <w:p w:rsidR="00E023D9" w:rsidRDefault="00E023D9">
      <w:pPr>
        <w:pStyle w:val="ANormal"/>
      </w:pPr>
    </w:p>
    <w:p w:rsidR="00E023D9" w:rsidRDefault="00E023D9">
      <w:pPr>
        <w:pStyle w:val="Innehll1"/>
      </w:pPr>
      <w:r>
        <w:t>INNEHÅLL</w:t>
      </w:r>
    </w:p>
    <w:p w:rsidR="00840499" w:rsidRDefault="00E023D9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"1-1" \h \z \t "LagHuvRubr;1" </w:instrText>
      </w:r>
      <w:r>
        <w:fldChar w:fldCharType="separate"/>
      </w:r>
      <w:hyperlink w:anchor="_Toc529367809" w:history="1">
        <w:r w:rsidR="00840499" w:rsidRPr="00027C2B">
          <w:rPr>
            <w:rStyle w:val="Hyperlnk"/>
            <w:lang w:val="en-GB"/>
          </w:rPr>
          <w:t>L A N D S K A P S L A G om ändring av 17</w:t>
        </w:r>
        <w:r w:rsidR="00804843">
          <w:rPr>
            <w:rStyle w:val="Hyperlnk"/>
            <w:lang w:val="en-GB"/>
          </w:rPr>
          <w:t> §</w:t>
        </w:r>
        <w:r w:rsidR="00840499" w:rsidRPr="00027C2B">
          <w:rPr>
            <w:rStyle w:val="Hyperlnk"/>
            <w:lang w:val="en-GB"/>
          </w:rPr>
          <w:t xml:space="preserve"> landskapslagen om landskapsandelar till kommunerna</w:t>
        </w:r>
        <w:r w:rsidR="00840499">
          <w:rPr>
            <w:webHidden/>
          </w:rPr>
          <w:tab/>
        </w:r>
        <w:r w:rsidR="00840499">
          <w:rPr>
            <w:webHidden/>
          </w:rPr>
          <w:fldChar w:fldCharType="begin"/>
        </w:r>
        <w:r w:rsidR="00840499">
          <w:rPr>
            <w:webHidden/>
          </w:rPr>
          <w:instrText xml:space="preserve"> PAGEREF _Toc529367809 \h </w:instrText>
        </w:r>
        <w:r w:rsidR="00840499">
          <w:rPr>
            <w:webHidden/>
          </w:rPr>
        </w:r>
        <w:r w:rsidR="00840499">
          <w:rPr>
            <w:webHidden/>
          </w:rPr>
          <w:fldChar w:fldCharType="separate"/>
        </w:r>
        <w:r w:rsidR="00840499">
          <w:rPr>
            <w:webHidden/>
          </w:rPr>
          <w:t>1</w:t>
        </w:r>
        <w:r w:rsidR="00840499">
          <w:rPr>
            <w:webHidden/>
          </w:rPr>
          <w:fldChar w:fldCharType="end"/>
        </w:r>
      </w:hyperlink>
    </w:p>
    <w:p w:rsidR="00E023D9" w:rsidRDefault="00E023D9">
      <w:pPr>
        <w:pStyle w:val="ANormal"/>
        <w:tabs>
          <w:tab w:val="right" w:leader="dot" w:pos="7809"/>
        </w:tabs>
        <w:rPr>
          <w:rFonts w:ascii="Verdana" w:hAnsi="Verdana"/>
          <w:noProof/>
          <w:sz w:val="16"/>
          <w:szCs w:val="36"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:rsidR="00E023D9" w:rsidRPr="00804843" w:rsidRDefault="00E023D9">
      <w:pPr>
        <w:pStyle w:val="ANormal"/>
      </w:pPr>
    </w:p>
    <w:p w:rsidR="00E023D9" w:rsidRPr="00804843" w:rsidRDefault="00E023D9">
      <w:pPr>
        <w:pStyle w:val="LagHuvRubr"/>
      </w:pPr>
      <w:bookmarkStart w:id="1" w:name="_Toc500921111"/>
      <w:bookmarkStart w:id="2" w:name="_Toc528640435"/>
      <w:bookmarkStart w:id="3" w:name="_Toc529367809"/>
      <w:r w:rsidRPr="00804843">
        <w:t>L A N D S K A P S L A G</w:t>
      </w:r>
      <w:r w:rsidRPr="00804843">
        <w:br/>
      </w:r>
      <w:bookmarkEnd w:id="1"/>
      <w:bookmarkEnd w:id="2"/>
      <w:r w:rsidR="00DA29DA" w:rsidRPr="00804843">
        <w:t>om ändring av 17</w:t>
      </w:r>
      <w:r w:rsidR="00804843" w:rsidRPr="00804843">
        <w:t> §</w:t>
      </w:r>
      <w:r w:rsidR="00DA29DA" w:rsidRPr="00804843">
        <w:t xml:space="preserve"> landskapslagen om landskapsandelar till kommunerna</w:t>
      </w:r>
      <w:bookmarkEnd w:id="3"/>
    </w:p>
    <w:p w:rsidR="00E023D9" w:rsidRPr="00804843" w:rsidRDefault="00E023D9">
      <w:pPr>
        <w:pStyle w:val="ANormal"/>
      </w:pPr>
    </w:p>
    <w:p w:rsidR="00DA29DA" w:rsidRPr="00804843" w:rsidRDefault="00DA29DA" w:rsidP="00DA29DA">
      <w:pPr>
        <w:pStyle w:val="ANormal"/>
      </w:pPr>
      <w:r w:rsidRPr="00804843">
        <w:tab/>
        <w:t>I enlighet med lagtingets beslut ändras 17</w:t>
      </w:r>
      <w:r w:rsidR="00804843" w:rsidRPr="00804843">
        <w:t> §</w:t>
      </w:r>
      <w:r w:rsidRPr="00804843">
        <w:t xml:space="preserve"> 1 och 2</w:t>
      </w:r>
      <w:r w:rsidR="00804843" w:rsidRPr="00804843">
        <w:t> mom.</w:t>
      </w:r>
      <w:r w:rsidRPr="00804843">
        <w:t xml:space="preserve"> landskapslagen (2017:120) om landskapsandelar till kommunerna som följer:</w:t>
      </w:r>
    </w:p>
    <w:p w:rsidR="00E023D9" w:rsidRPr="00D13B66" w:rsidRDefault="00E023D9">
      <w:pPr>
        <w:pStyle w:val="ANormal"/>
        <w:rPr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28"/>
        <w:gridCol w:w="3798"/>
      </w:tblGrid>
      <w:tr w:rsidR="00E023D9" w:rsidTr="00804843">
        <w:tc>
          <w:tcPr>
            <w:tcW w:w="2427" w:type="pct"/>
          </w:tcPr>
          <w:p w:rsidR="00E023D9" w:rsidRDefault="00E023D9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:rsidR="00E023D9" w:rsidRDefault="00E023D9">
            <w:pPr>
              <w:pStyle w:val="xCelltext"/>
              <w:jc w:val="center"/>
            </w:pPr>
          </w:p>
        </w:tc>
        <w:tc>
          <w:tcPr>
            <w:tcW w:w="2427" w:type="pct"/>
          </w:tcPr>
          <w:p w:rsidR="00E023D9" w:rsidRDefault="00E023D9">
            <w:pPr>
              <w:pStyle w:val="xCelltext"/>
              <w:jc w:val="center"/>
            </w:pPr>
            <w:r>
              <w:t>Föreslagen lydelse</w:t>
            </w:r>
          </w:p>
        </w:tc>
      </w:tr>
      <w:tr w:rsidR="008056CF" w:rsidTr="00804843">
        <w:tc>
          <w:tcPr>
            <w:tcW w:w="2427" w:type="pct"/>
          </w:tcPr>
          <w:p w:rsidR="008056CF" w:rsidRDefault="008056CF" w:rsidP="00E50FCB">
            <w:pPr>
              <w:pStyle w:val="ANormal"/>
            </w:pPr>
          </w:p>
          <w:p w:rsidR="008056CF" w:rsidRDefault="008056CF" w:rsidP="00E50FCB">
            <w:pPr>
              <w:pStyle w:val="LagParagraf"/>
            </w:pPr>
            <w:r>
              <w:t>17</w:t>
            </w:r>
            <w:r w:rsidR="00804843">
              <w:t> §</w:t>
            </w:r>
          </w:p>
          <w:p w:rsidR="008056CF" w:rsidRDefault="008056CF" w:rsidP="008056CF">
            <w:pPr>
              <w:pStyle w:val="LagPararubrik"/>
            </w:pPr>
            <w:r>
              <w:t xml:space="preserve">Uppföljning av </w:t>
            </w:r>
            <w:r w:rsidRPr="002374CB">
              <w:rPr>
                <w:b/>
              </w:rPr>
              <w:t>normkostnaderna</w:t>
            </w:r>
          </w:p>
          <w:p w:rsidR="008056CF" w:rsidRPr="008056CF" w:rsidRDefault="008056CF" w:rsidP="008056CF">
            <w:pPr>
              <w:widowControl/>
              <w:tabs>
                <w:tab w:val="left" w:pos="28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0"/>
                <w:lang w:val="sv-SE"/>
              </w:rPr>
            </w:pPr>
            <w:r w:rsidRPr="008056CF">
              <w:rPr>
                <w:rFonts w:ascii="Times New Roman" w:hAnsi="Times New Roman" w:cs="Times New Roman"/>
                <w:sz w:val="22"/>
                <w:szCs w:val="20"/>
                <w:lang w:val="sv-SE"/>
              </w:rPr>
              <w:tab/>
              <w:t>Vart fjärde år (</w:t>
            </w:r>
            <w:r w:rsidRPr="008056CF">
              <w:rPr>
                <w:rFonts w:ascii="Times New Roman" w:hAnsi="Times New Roman" w:cs="Times New Roman"/>
                <w:i/>
                <w:sz w:val="22"/>
                <w:szCs w:val="20"/>
                <w:lang w:val="sv-SE"/>
              </w:rPr>
              <w:t>uppföljningsår</w:t>
            </w:r>
            <w:r w:rsidRPr="008056CF">
              <w:rPr>
                <w:rFonts w:ascii="Times New Roman" w:hAnsi="Times New Roman" w:cs="Times New Roman"/>
                <w:sz w:val="22"/>
                <w:szCs w:val="20"/>
                <w:lang w:val="sv-SE"/>
              </w:rPr>
              <w:t xml:space="preserve">) utreds </w:t>
            </w:r>
            <w:r w:rsidRPr="002374CB">
              <w:rPr>
                <w:rFonts w:ascii="Times New Roman" w:hAnsi="Times New Roman" w:cs="Times New Roman"/>
                <w:b/>
                <w:sz w:val="22"/>
                <w:szCs w:val="20"/>
                <w:lang w:val="sv-SE"/>
              </w:rPr>
              <w:t>normkostnaderna</w:t>
            </w:r>
            <w:r w:rsidRPr="008056CF">
              <w:rPr>
                <w:rFonts w:ascii="Times New Roman" w:hAnsi="Times New Roman" w:cs="Times New Roman"/>
                <w:sz w:val="22"/>
                <w:szCs w:val="20"/>
                <w:lang w:val="sv-SE"/>
              </w:rPr>
              <w:t xml:space="preserve"> i förhållande till nettodriftskostnaderna </w:t>
            </w:r>
            <w:r w:rsidRPr="00DA29DA">
              <w:rPr>
                <w:rFonts w:ascii="Times New Roman" w:hAnsi="Times New Roman" w:cs="Times New Roman"/>
                <w:b/>
                <w:sz w:val="22"/>
                <w:szCs w:val="20"/>
                <w:lang w:val="sv-SE"/>
              </w:rPr>
              <w:t>på respektive verksamhetsområde det finansår som infaller två år före uppföljningsåret</w:t>
            </w:r>
            <w:r w:rsidRPr="008056CF">
              <w:rPr>
                <w:rFonts w:ascii="Times New Roman" w:hAnsi="Times New Roman" w:cs="Times New Roman"/>
                <w:sz w:val="22"/>
                <w:szCs w:val="20"/>
                <w:lang w:val="sv-SE"/>
              </w:rPr>
              <w:t>.</w:t>
            </w:r>
          </w:p>
          <w:p w:rsidR="00DA29DA" w:rsidRPr="008056CF" w:rsidRDefault="008056CF" w:rsidP="008056CF">
            <w:pPr>
              <w:widowControl/>
              <w:tabs>
                <w:tab w:val="left" w:pos="28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0"/>
                <w:lang w:val="sv-SE"/>
              </w:rPr>
            </w:pPr>
            <w:r w:rsidRPr="008056CF">
              <w:rPr>
                <w:rFonts w:ascii="Times New Roman" w:hAnsi="Times New Roman" w:cs="Times New Roman"/>
                <w:sz w:val="22"/>
                <w:szCs w:val="20"/>
                <w:lang w:val="sv-SE"/>
              </w:rPr>
              <w:tab/>
            </w:r>
            <w:r w:rsidRPr="00DA29DA">
              <w:rPr>
                <w:rFonts w:ascii="Times New Roman" w:hAnsi="Times New Roman" w:cs="Times New Roman"/>
                <w:b/>
                <w:sz w:val="22"/>
                <w:szCs w:val="20"/>
                <w:lang w:val="sv-SE"/>
              </w:rPr>
              <w:t>Uppföljningen sker för landskapet som helhet. Om uppföljningen visar att normkostnaden för ett verksamhetsområde skiljer sig från nettodriftskostnaden på området ska basbeloppet justeras så att normkostnaden motsvarar nettodriftskostnaden.</w:t>
            </w:r>
            <w:r w:rsidRPr="008056CF">
              <w:rPr>
                <w:rFonts w:ascii="Times New Roman" w:hAnsi="Times New Roman" w:cs="Times New Roman"/>
                <w:sz w:val="22"/>
                <w:szCs w:val="20"/>
                <w:lang w:val="sv-SE"/>
              </w:rPr>
              <w:t xml:space="preserve"> Om inte annat följer av 3</w:t>
            </w:r>
            <w:r w:rsidR="00804843">
              <w:rPr>
                <w:rFonts w:ascii="Times New Roman" w:hAnsi="Times New Roman" w:cs="Times New Roman"/>
                <w:sz w:val="22"/>
                <w:szCs w:val="20"/>
                <w:lang w:val="sv-SE"/>
              </w:rPr>
              <w:t> mom.</w:t>
            </w:r>
            <w:r w:rsidRPr="008056CF">
              <w:rPr>
                <w:rFonts w:ascii="Times New Roman" w:hAnsi="Times New Roman" w:cs="Times New Roman"/>
                <w:sz w:val="22"/>
                <w:szCs w:val="20"/>
                <w:lang w:val="sv-SE"/>
              </w:rPr>
              <w:t xml:space="preserve"> utgör det justerade basbeloppet grund för fastställelse av basbeloppet för finansåret efter uppföljningsåret.</w:t>
            </w:r>
          </w:p>
          <w:p w:rsidR="008056CF" w:rsidRDefault="00DA29DA" w:rsidP="008056CF">
            <w:pPr>
              <w:pStyle w:val="ANormal"/>
            </w:pPr>
            <w:r>
              <w:t>- - - - - - - - - - - - - - - - - - - - - - - - - - - - - -</w:t>
            </w:r>
          </w:p>
          <w:p w:rsidR="00804843" w:rsidRPr="008056CF" w:rsidRDefault="00804843" w:rsidP="008056CF">
            <w:pPr>
              <w:pStyle w:val="ANormal"/>
            </w:pPr>
          </w:p>
        </w:tc>
        <w:tc>
          <w:tcPr>
            <w:tcW w:w="146" w:type="pct"/>
          </w:tcPr>
          <w:p w:rsidR="008056CF" w:rsidRDefault="008056CF" w:rsidP="00E50FCB">
            <w:pPr>
              <w:pStyle w:val="ANormal"/>
            </w:pPr>
          </w:p>
        </w:tc>
        <w:tc>
          <w:tcPr>
            <w:tcW w:w="2427" w:type="pct"/>
          </w:tcPr>
          <w:p w:rsidR="008056CF" w:rsidRDefault="008056CF" w:rsidP="00E50FCB">
            <w:pPr>
              <w:pStyle w:val="ANormal"/>
            </w:pPr>
          </w:p>
          <w:p w:rsidR="008056CF" w:rsidRDefault="008056CF" w:rsidP="00E50FCB">
            <w:pPr>
              <w:pStyle w:val="LagParagraf"/>
            </w:pPr>
            <w:r>
              <w:t>17</w:t>
            </w:r>
            <w:r w:rsidR="00804843">
              <w:t> §</w:t>
            </w:r>
          </w:p>
          <w:p w:rsidR="008056CF" w:rsidRDefault="008056CF" w:rsidP="008056CF">
            <w:pPr>
              <w:pStyle w:val="LagPararubrik"/>
            </w:pPr>
            <w:r>
              <w:t xml:space="preserve">Uppföljning av </w:t>
            </w:r>
            <w:r w:rsidR="002374CB">
              <w:rPr>
                <w:b/>
              </w:rPr>
              <w:t>basbeloppen</w:t>
            </w:r>
          </w:p>
          <w:p w:rsidR="002374CB" w:rsidRDefault="002374CB" w:rsidP="002374CB">
            <w:pPr>
              <w:pStyle w:val="ANormal"/>
              <w:rPr>
                <w:b/>
              </w:rPr>
            </w:pPr>
            <w:r>
              <w:tab/>
              <w:t>Vart fjärde år (</w:t>
            </w:r>
            <w:r>
              <w:rPr>
                <w:i/>
              </w:rPr>
              <w:t>uppföljningsår</w:t>
            </w:r>
            <w:r>
              <w:t xml:space="preserve">) utreds </w:t>
            </w:r>
            <w:r w:rsidRPr="002374CB">
              <w:rPr>
                <w:b/>
              </w:rPr>
              <w:t>basbeloppen för de kostnadsbaserade landskapsandelarna</w:t>
            </w:r>
            <w:r>
              <w:t xml:space="preserve"> i förhållande till nettodriftskostnaderna </w:t>
            </w:r>
            <w:r w:rsidRPr="002374CB">
              <w:rPr>
                <w:b/>
              </w:rPr>
              <w:t>(</w:t>
            </w:r>
            <w:proofErr w:type="spellStart"/>
            <w:r w:rsidRPr="002374CB">
              <w:rPr>
                <w:b/>
              </w:rPr>
              <w:t>utesl</w:t>
            </w:r>
            <w:proofErr w:type="spellEnd"/>
            <w:r w:rsidRPr="002374CB">
              <w:rPr>
                <w:b/>
              </w:rPr>
              <w:t>.).</w:t>
            </w:r>
          </w:p>
          <w:p w:rsidR="002374CB" w:rsidRDefault="002374CB" w:rsidP="002374CB">
            <w:pPr>
              <w:pStyle w:val="ANormal"/>
            </w:pPr>
          </w:p>
          <w:p w:rsidR="002374CB" w:rsidRDefault="002374CB" w:rsidP="002374CB">
            <w:pPr>
              <w:pStyle w:val="ANormal"/>
            </w:pPr>
            <w:r>
              <w:tab/>
            </w:r>
            <w:r w:rsidRPr="002374CB">
              <w:rPr>
                <w:b/>
              </w:rPr>
              <w:t>Uppföljningen sker genom att basbeloppen justeras på basen av kommunernas sammanlagda nettodriftskostnader på respektive verksamhetsområde det finansår som infaller två år före uppföljningsåret.</w:t>
            </w:r>
            <w:r w:rsidRPr="007A7370">
              <w:t xml:space="preserve"> </w:t>
            </w:r>
            <w:r>
              <w:t>Om inte annat följer av 3</w:t>
            </w:r>
            <w:r w:rsidR="00804843">
              <w:t> mom.</w:t>
            </w:r>
            <w:r>
              <w:t xml:space="preserve"> utgör de justerade basbeloppen grund för fastställelse av basbeloppen för finansåret efter uppföljningsåret.</w:t>
            </w:r>
          </w:p>
          <w:p w:rsidR="002374CB" w:rsidRDefault="002374CB" w:rsidP="002374CB">
            <w:pPr>
              <w:pStyle w:val="ANormal"/>
            </w:pPr>
          </w:p>
          <w:p w:rsidR="00DA29DA" w:rsidRDefault="00DA29DA" w:rsidP="00DA29DA">
            <w:pPr>
              <w:pStyle w:val="ANormal"/>
            </w:pPr>
            <w:r>
              <w:t>- - - - - - - - - - - - - - - - - - - - - - - - - - - - - -</w:t>
            </w:r>
          </w:p>
          <w:p w:rsidR="00804843" w:rsidRPr="008056CF" w:rsidRDefault="00804843" w:rsidP="00DA29DA">
            <w:pPr>
              <w:pStyle w:val="ANormal"/>
            </w:pPr>
          </w:p>
        </w:tc>
      </w:tr>
      <w:tr w:rsidR="00DE2946" w:rsidTr="00804843">
        <w:tc>
          <w:tcPr>
            <w:tcW w:w="2427" w:type="pct"/>
          </w:tcPr>
          <w:p w:rsidR="00DE2946" w:rsidRDefault="00DE2946" w:rsidP="007F0C8B">
            <w:pPr>
              <w:pStyle w:val="ANormal"/>
            </w:pPr>
          </w:p>
          <w:p w:rsidR="00DE2946" w:rsidRDefault="00DE2946" w:rsidP="007F0C8B">
            <w:pPr>
              <w:pStyle w:val="LagParagraf"/>
            </w:pPr>
          </w:p>
        </w:tc>
        <w:tc>
          <w:tcPr>
            <w:tcW w:w="146" w:type="pct"/>
          </w:tcPr>
          <w:p w:rsidR="00DE2946" w:rsidRDefault="00DE2946" w:rsidP="007F0C8B">
            <w:pPr>
              <w:pStyle w:val="ANormal"/>
            </w:pPr>
          </w:p>
        </w:tc>
        <w:tc>
          <w:tcPr>
            <w:tcW w:w="2427" w:type="pct"/>
          </w:tcPr>
          <w:p w:rsidR="00804843" w:rsidRPr="00804843" w:rsidRDefault="00804843" w:rsidP="00804843">
            <w:pPr>
              <w:pStyle w:val="ANormal"/>
              <w:rPr>
                <w:rStyle w:val="Hyperlnk"/>
                <w:color w:val="auto"/>
              </w:rPr>
            </w:pPr>
          </w:p>
          <w:p w:rsidR="0073679E" w:rsidRDefault="008754A8">
            <w:pPr>
              <w:pStyle w:val="ANormal"/>
              <w:jc w:val="center"/>
            </w:pPr>
            <w:hyperlink w:anchor="_top" w:tooltip="Klicka för att gå till toppen av dokumentet" w:history="1">
              <w:r w:rsidR="0073679E">
                <w:rPr>
                  <w:rStyle w:val="Hyperlnk"/>
                </w:rPr>
                <w:t>__________________</w:t>
              </w:r>
            </w:hyperlink>
          </w:p>
          <w:p w:rsidR="0073679E" w:rsidRDefault="0073679E" w:rsidP="007F0C8B">
            <w:pPr>
              <w:pStyle w:val="ANormal"/>
            </w:pPr>
          </w:p>
          <w:p w:rsidR="002374CB" w:rsidRDefault="002374CB" w:rsidP="002374CB">
            <w:pPr>
              <w:pStyle w:val="ANormal"/>
            </w:pPr>
            <w:r>
              <w:tab/>
              <w:t>Lagtinget bemyndigar landskapsregeringen att bestämma att denna lag helt eller delvis ska träda i kraft i den ordning som föreskrivs i 20</w:t>
            </w:r>
            <w:r w:rsidR="00804843">
              <w:t> §</w:t>
            </w:r>
            <w:r>
              <w:t xml:space="preserve"> 3</w:t>
            </w:r>
            <w:r w:rsidR="00804843">
              <w:t> mom.</w:t>
            </w:r>
            <w:r>
              <w:t xml:space="preserve"> självstyrelselagen.</w:t>
            </w:r>
          </w:p>
          <w:p w:rsidR="002374CB" w:rsidRDefault="002374CB" w:rsidP="002374CB">
            <w:pPr>
              <w:pStyle w:val="ANormal"/>
            </w:pPr>
            <w:r>
              <w:tab/>
              <w:t xml:space="preserve">Denna lag träder ikraft den ... </w:t>
            </w:r>
          </w:p>
          <w:p w:rsidR="002374CB" w:rsidRDefault="002374CB" w:rsidP="002374CB">
            <w:pPr>
              <w:pStyle w:val="ANormal"/>
            </w:pPr>
            <w:r>
              <w:tab/>
              <w:t>Genom denna lag upphävs landskapsregeringens beslut ÅLR 2018/</w:t>
            </w:r>
            <w:r w:rsidR="003229E8">
              <w:t>8327</w:t>
            </w:r>
            <w:r>
              <w:t xml:space="preserve"> </w:t>
            </w:r>
            <w:r w:rsidRPr="00FD7B4B">
              <w:t xml:space="preserve">till den del det gäller fastställande av basbeloppen för </w:t>
            </w:r>
            <w:r w:rsidR="003229E8">
              <w:t>de olika intervallen</w:t>
            </w:r>
            <w:r w:rsidRPr="00FD7B4B">
              <w:t>.</w:t>
            </w:r>
            <w:r>
              <w:t xml:space="preserve"> Med avvikelse från vad som föreskrivs i 14</w:t>
            </w:r>
            <w:r w:rsidR="00804843">
              <w:t> §</w:t>
            </w:r>
            <w:r>
              <w:t xml:space="preserve"> fastställs basbeloppen som avses i 9</w:t>
            </w:r>
            <w:r w:rsidR="00804843">
              <w:t> §</w:t>
            </w:r>
            <w:r>
              <w:t xml:space="preserve"> för finansåret </w:t>
            </w:r>
            <w:r>
              <w:lastRenderedPageBreak/>
              <w:t>2019 med nettodriftskostnaderna för finansåret 2015 som grund. Basbeloppen beräknas på det sätt som föreskrivs i 18 och 19</w:t>
            </w:r>
            <w:r w:rsidR="00804843">
              <w:t> §</w:t>
            </w:r>
            <w:r>
              <w:t>§ och justeras därefter med förändringen i kostnadsnivån enligt prisindex för den kommunala basservicen på Åland.</w:t>
            </w:r>
          </w:p>
          <w:p w:rsidR="002374CB" w:rsidRDefault="002374CB" w:rsidP="002374CB">
            <w:pPr>
              <w:pStyle w:val="ANormal"/>
            </w:pPr>
            <w:r>
              <w:tab/>
              <w:t>Genom denna lag upphävs även landskapsregeringens beslut ÅLR 2018/</w:t>
            </w:r>
            <w:r w:rsidR="003229E8">
              <w:t>8372</w:t>
            </w:r>
            <w:r>
              <w:t xml:space="preserve"> om utjämningen mellan kommunerna under övergångsperioden till den del det gäller utjämningen under finansåren 2019 och 2020. När utjämningen för dessa år beräknas ska, med avvikelse från vad som anges i 52</w:t>
            </w:r>
            <w:r w:rsidR="00804843">
              <w:t> §</w:t>
            </w:r>
            <w:r>
              <w:t xml:space="preserve"> 3</w:t>
            </w:r>
            <w:r w:rsidR="00804843">
              <w:t> mom.</w:t>
            </w:r>
            <w:r>
              <w:t>, följande belopp utgöra kommunens totalbelopp för finansåret 2018:</w:t>
            </w:r>
          </w:p>
          <w:p w:rsidR="007E60FA" w:rsidRDefault="007E60FA" w:rsidP="007E60FA">
            <w:pPr>
              <w:pStyle w:val="ANormal"/>
            </w:pPr>
          </w:p>
          <w:tbl>
            <w:tblPr>
              <w:tblStyle w:val="Tabellrutn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559"/>
            </w:tblGrid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Brändö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1</w:t>
                  </w:r>
                  <w:r>
                    <w:t> </w:t>
                  </w:r>
                  <w:r w:rsidRPr="00483B26">
                    <w:t>119</w:t>
                  </w:r>
                  <w:r>
                    <w:t> </w:t>
                  </w:r>
                  <w:r w:rsidRPr="00483B26">
                    <w:t>532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Eckerö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2</w:t>
                  </w:r>
                  <w:r>
                    <w:t> </w:t>
                  </w:r>
                  <w:r w:rsidRPr="00483B26">
                    <w:t>379</w:t>
                  </w:r>
                  <w:r>
                    <w:t> </w:t>
                  </w:r>
                  <w:r w:rsidRPr="00483B26">
                    <w:t>972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Finström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3</w:t>
                  </w:r>
                  <w:r>
                    <w:t> </w:t>
                  </w:r>
                  <w:r w:rsidRPr="00483B26">
                    <w:t>774</w:t>
                  </w:r>
                  <w:r>
                    <w:t> </w:t>
                  </w:r>
                  <w:r w:rsidRPr="00483B26">
                    <w:t>588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Föglö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1</w:t>
                  </w:r>
                  <w:r>
                    <w:t> </w:t>
                  </w:r>
                  <w:r w:rsidRPr="00483B26">
                    <w:t>337</w:t>
                  </w:r>
                  <w:r>
                    <w:t> </w:t>
                  </w:r>
                  <w:r w:rsidRPr="00483B26">
                    <w:t>436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Geta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1</w:t>
                  </w:r>
                  <w:r>
                    <w:t> </w:t>
                  </w:r>
                  <w:r w:rsidRPr="00483B26">
                    <w:t>503</w:t>
                  </w:r>
                  <w:r>
                    <w:t> </w:t>
                  </w:r>
                  <w:r w:rsidRPr="00483B26">
                    <w:t>942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Hammarland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2</w:t>
                  </w:r>
                  <w:r>
                    <w:t> </w:t>
                  </w:r>
                  <w:r w:rsidRPr="00483B26">
                    <w:t>862</w:t>
                  </w:r>
                  <w:r>
                    <w:t> </w:t>
                  </w:r>
                  <w:r w:rsidRPr="00483B26">
                    <w:t>182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Jomala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3</w:t>
                  </w:r>
                  <w:r>
                    <w:t> </w:t>
                  </w:r>
                  <w:r w:rsidRPr="00483B26">
                    <w:t>590</w:t>
                  </w:r>
                  <w:r>
                    <w:t> </w:t>
                  </w:r>
                  <w:r w:rsidRPr="00483B26">
                    <w:t>546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Kumlinge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799</w:t>
                  </w:r>
                  <w:r>
                    <w:t> </w:t>
                  </w:r>
                  <w:r w:rsidRPr="00483B26">
                    <w:t>221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Kökar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701</w:t>
                  </w:r>
                  <w:r>
                    <w:t> </w:t>
                  </w:r>
                  <w:r w:rsidRPr="00483B26">
                    <w:t>234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Lemland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2</w:t>
                  </w:r>
                  <w:r>
                    <w:t> </w:t>
                  </w:r>
                  <w:r w:rsidRPr="00483B26">
                    <w:t>143</w:t>
                  </w:r>
                  <w:r>
                    <w:t> </w:t>
                  </w:r>
                  <w:r w:rsidRPr="00483B26">
                    <w:t>241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Lumparland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582</w:t>
                  </w:r>
                  <w:r>
                    <w:t> </w:t>
                  </w:r>
                  <w:r w:rsidRPr="00483B26">
                    <w:t>800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E541B9" w:rsidRDefault="007E60FA" w:rsidP="007E60FA">
                  <w:pPr>
                    <w:pStyle w:val="Tabelltext"/>
                    <w:keepNext/>
                  </w:pPr>
                  <w:r w:rsidRPr="00E541B9">
                    <w:t>Saltvik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2</w:t>
                  </w:r>
                  <w:r>
                    <w:t> </w:t>
                  </w:r>
                  <w:r w:rsidRPr="00483B26">
                    <w:t>394</w:t>
                  </w:r>
                  <w:r>
                    <w:t> </w:t>
                  </w:r>
                  <w:r w:rsidRPr="00483B26">
                    <w:t>114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3163F3" w:rsidRDefault="007E60FA" w:rsidP="007E60FA">
                  <w:pPr>
                    <w:pStyle w:val="Tabelltext"/>
                    <w:keepNext/>
                  </w:pPr>
                  <w:r w:rsidRPr="003163F3">
                    <w:t>Sottunga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108</w:t>
                  </w:r>
                  <w:r>
                    <w:t> </w:t>
                  </w:r>
                  <w:r w:rsidRPr="00483B26">
                    <w:t>499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3163F3" w:rsidRDefault="007E60FA" w:rsidP="007E60FA">
                  <w:pPr>
                    <w:pStyle w:val="Tabelltext"/>
                    <w:keepNext/>
                  </w:pPr>
                  <w:r w:rsidRPr="003163F3">
                    <w:t>Sund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1</w:t>
                  </w:r>
                  <w:r>
                    <w:t> </w:t>
                  </w:r>
                  <w:r w:rsidRPr="00483B26">
                    <w:t>940</w:t>
                  </w:r>
                  <w:r>
                    <w:t> </w:t>
                  </w:r>
                  <w:r w:rsidRPr="00483B26">
                    <w:t>706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3163F3" w:rsidRDefault="007E60FA" w:rsidP="007E60FA">
                  <w:pPr>
                    <w:pStyle w:val="Tabelltext"/>
                    <w:keepNext/>
                  </w:pPr>
                  <w:r w:rsidRPr="003163F3">
                    <w:t>Vårdö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1</w:t>
                  </w:r>
                  <w:r>
                    <w:t> </w:t>
                  </w:r>
                  <w:r w:rsidRPr="00483B26">
                    <w:t>548</w:t>
                  </w:r>
                  <w:r>
                    <w:t> </w:t>
                  </w:r>
                  <w:r w:rsidRPr="00483B26">
                    <w:t>035</w:t>
                  </w:r>
                </w:p>
              </w:tc>
            </w:tr>
            <w:tr w:rsidR="007E60FA" w:rsidTr="007E60FA">
              <w:trPr>
                <w:trHeight w:val="226"/>
                <w:jc w:val="center"/>
              </w:trPr>
              <w:tc>
                <w:tcPr>
                  <w:tcW w:w="1559" w:type="dxa"/>
                  <w:vAlign w:val="center"/>
                </w:tcPr>
                <w:p w:rsidR="007E60FA" w:rsidRPr="003163F3" w:rsidRDefault="007E60FA" w:rsidP="007E60FA">
                  <w:pPr>
                    <w:pStyle w:val="Tabelltext"/>
                    <w:keepNext/>
                  </w:pPr>
                  <w:r w:rsidRPr="003163F3">
                    <w:t>Mariehamn</w:t>
                  </w:r>
                </w:p>
              </w:tc>
              <w:tc>
                <w:tcPr>
                  <w:tcW w:w="1559" w:type="dxa"/>
                  <w:vAlign w:val="center"/>
                </w:tcPr>
                <w:p w:rsidR="007E60FA" w:rsidRPr="00483B26" w:rsidRDefault="007E60FA" w:rsidP="007E60FA">
                  <w:pPr>
                    <w:pStyle w:val="Tabelltext"/>
                    <w:keepNext/>
                    <w:jc w:val="right"/>
                  </w:pPr>
                  <w:r w:rsidRPr="00483B26">
                    <w:t>6</w:t>
                  </w:r>
                  <w:r>
                    <w:t> </w:t>
                  </w:r>
                  <w:r w:rsidRPr="00483B26">
                    <w:t>230</w:t>
                  </w:r>
                  <w:r>
                    <w:t> </w:t>
                  </w:r>
                  <w:r w:rsidRPr="00483B26">
                    <w:t>631</w:t>
                  </w:r>
                </w:p>
              </w:tc>
            </w:tr>
          </w:tbl>
          <w:p w:rsidR="007E60FA" w:rsidRDefault="007E60FA" w:rsidP="007E60FA">
            <w:pPr>
              <w:pStyle w:val="ANormal"/>
            </w:pPr>
          </w:p>
          <w:p w:rsidR="00DE2946" w:rsidRDefault="007E60FA" w:rsidP="007E60FA">
            <w:pPr>
              <w:pStyle w:val="ANormal"/>
            </w:pPr>
            <w:r>
              <w:tab/>
              <w:t>Senast den 11 januari 2019 ska landskapsregeringen fatta beslut om basbeloppen enligt 3</w:t>
            </w:r>
            <w:r w:rsidR="00804843">
              <w:t> mom.</w:t>
            </w:r>
            <w:r>
              <w:t xml:space="preserve"> samt utjämningen enligt 4</w:t>
            </w:r>
            <w:r w:rsidR="00804843">
              <w:t> mom.</w:t>
            </w:r>
          </w:p>
          <w:p w:rsidR="00804843" w:rsidRDefault="00804843" w:rsidP="007E60FA">
            <w:pPr>
              <w:pStyle w:val="ANormal"/>
            </w:pPr>
          </w:p>
        </w:tc>
      </w:tr>
    </w:tbl>
    <w:p w:rsidR="00E023D9" w:rsidRDefault="00E023D9">
      <w:pPr>
        <w:pStyle w:val="ANormal"/>
      </w:pPr>
    </w:p>
    <w:sectPr w:rsidR="00E023D9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A">
      <wne:fci wne:fciName="EditUndo" wne:swArg="0000"/>
    </wne:keymap>
    <wne:keymap wne:kcmPrimary="0508">
      <wne:fci wne:fciName="EditRedo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946" w:rsidRDefault="00DE2946">
      <w:r>
        <w:separator/>
      </w:r>
    </w:p>
  </w:endnote>
  <w:endnote w:type="continuationSeparator" w:id="0">
    <w:p w:rsidR="00DE2946" w:rsidRDefault="00DE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3D9" w:rsidRDefault="00E023D9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04843">
      <w:rPr>
        <w:noProof/>
        <w:lang w:val="fi-FI"/>
      </w:rPr>
      <w:t>LF</w:t>
    </w:r>
    <w:r w:rsidR="00676B3D">
      <w:rPr>
        <w:noProof/>
        <w:lang w:val="fi-FI"/>
      </w:rPr>
      <w:t>04</w:t>
    </w:r>
    <w:r w:rsidR="00804843">
      <w:rPr>
        <w:noProof/>
        <w:lang w:val="fi-FI"/>
      </w:rPr>
      <w:t>20182019-P_1</w:t>
    </w:r>
    <w:r w:rsidR="00676B3D">
      <w:rPr>
        <w:noProof/>
        <w:lang w:val="fi-FI"/>
      </w:rPr>
      <w:t>5</w:t>
    </w:r>
    <w:r w:rsidR="00804843">
      <w:rPr>
        <w:noProof/>
        <w:lang w:val="fi-FI"/>
      </w:rPr>
      <w:t>1118</w:t>
    </w:r>
    <w:r w:rsidR="00840499"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946" w:rsidRDefault="00DE2946">
      <w:r>
        <w:separator/>
      </w:r>
    </w:p>
  </w:footnote>
  <w:footnote w:type="continuationSeparator" w:id="0">
    <w:p w:rsidR="00DE2946" w:rsidRDefault="00DE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46"/>
    <w:rsid w:val="00000437"/>
    <w:rsid w:val="001610EB"/>
    <w:rsid w:val="001F6B2D"/>
    <w:rsid w:val="002374CB"/>
    <w:rsid w:val="00262245"/>
    <w:rsid w:val="00285A07"/>
    <w:rsid w:val="00317B13"/>
    <w:rsid w:val="003229E8"/>
    <w:rsid w:val="00407EFE"/>
    <w:rsid w:val="00411F65"/>
    <w:rsid w:val="00505C57"/>
    <w:rsid w:val="006153B0"/>
    <w:rsid w:val="00676B3D"/>
    <w:rsid w:val="00700BAE"/>
    <w:rsid w:val="0073679E"/>
    <w:rsid w:val="007E60FA"/>
    <w:rsid w:val="00804843"/>
    <w:rsid w:val="008056CF"/>
    <w:rsid w:val="00840499"/>
    <w:rsid w:val="008754A8"/>
    <w:rsid w:val="008B37C0"/>
    <w:rsid w:val="008D7883"/>
    <w:rsid w:val="00986CAF"/>
    <w:rsid w:val="009927A6"/>
    <w:rsid w:val="009E2052"/>
    <w:rsid w:val="00BB4C1F"/>
    <w:rsid w:val="00C23EFE"/>
    <w:rsid w:val="00D13B66"/>
    <w:rsid w:val="00D47A6E"/>
    <w:rsid w:val="00DA29DA"/>
    <w:rsid w:val="00DE2946"/>
    <w:rsid w:val="00E0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35BF8-06BC-458F-A845-FE9C8187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0437"/>
    <w:pPr>
      <w:widowControl w:val="0"/>
      <w:autoSpaceDE w:val="0"/>
      <w:autoSpaceDN w:val="0"/>
      <w:adjustRightInd w:val="0"/>
    </w:pPr>
    <w:rPr>
      <w:rFonts w:ascii="Sakkal Majalla" w:hAnsi="Sakkal Majalla" w:cs="Sakkal Majalla"/>
      <w:sz w:val="24"/>
      <w:szCs w:val="24"/>
      <w:lang w:val="en-US" w:eastAsia="sv-SE"/>
    </w:rPr>
  </w:style>
  <w:style w:type="paragraph" w:styleId="Rubrik1">
    <w:name w:val="heading 1"/>
    <w:basedOn w:val="Normal"/>
    <w:next w:val="Normal"/>
    <w:qFormat/>
    <w:pPr>
      <w:keepNext/>
      <w:widowControl/>
      <w:numPr>
        <w:numId w:val="37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v-SE"/>
    </w:rPr>
  </w:style>
  <w:style w:type="paragraph" w:styleId="Rubrik2">
    <w:name w:val="heading 2"/>
    <w:basedOn w:val="Normal"/>
    <w:next w:val="Normal"/>
    <w:qFormat/>
    <w:pPr>
      <w:keepNext/>
      <w:widowControl/>
      <w:numPr>
        <w:ilvl w:val="1"/>
        <w:numId w:val="38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v-SE"/>
    </w:rPr>
  </w:style>
  <w:style w:type="paragraph" w:styleId="Rubrik3">
    <w:name w:val="heading 3"/>
    <w:basedOn w:val="Normal"/>
    <w:next w:val="Normal"/>
    <w:qFormat/>
    <w:pPr>
      <w:keepNext/>
      <w:widowControl/>
      <w:numPr>
        <w:ilvl w:val="2"/>
        <w:numId w:val="39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sv-SE"/>
    </w:rPr>
  </w:style>
  <w:style w:type="paragraph" w:styleId="Rubrik4">
    <w:name w:val="heading 4"/>
    <w:basedOn w:val="Normal"/>
    <w:next w:val="Normal"/>
    <w:qFormat/>
    <w:pPr>
      <w:keepNext/>
      <w:widowControl/>
      <w:numPr>
        <w:ilvl w:val="3"/>
        <w:numId w:val="40"/>
      </w:numPr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sv-SE"/>
    </w:rPr>
  </w:style>
  <w:style w:type="paragraph" w:styleId="Rubrik5">
    <w:name w:val="heading 5"/>
    <w:basedOn w:val="Normal"/>
    <w:next w:val="Normal"/>
    <w:qFormat/>
    <w:pPr>
      <w:widowControl/>
      <w:numPr>
        <w:ilvl w:val="4"/>
        <w:numId w:val="41"/>
      </w:numPr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sv-SE"/>
    </w:rPr>
  </w:style>
  <w:style w:type="paragraph" w:styleId="Rubrik6">
    <w:name w:val="heading 6"/>
    <w:basedOn w:val="Normal"/>
    <w:next w:val="Normal"/>
    <w:qFormat/>
    <w:pPr>
      <w:widowControl/>
      <w:numPr>
        <w:ilvl w:val="5"/>
        <w:numId w:val="42"/>
      </w:numPr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val="sv-SE"/>
    </w:rPr>
  </w:style>
  <w:style w:type="paragraph" w:styleId="Rubrik7">
    <w:name w:val="heading 7"/>
    <w:basedOn w:val="Normal"/>
    <w:next w:val="Normal"/>
    <w:qFormat/>
    <w:pPr>
      <w:widowControl/>
      <w:numPr>
        <w:ilvl w:val="6"/>
        <w:numId w:val="43"/>
      </w:numPr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lang w:val="sv-SE"/>
    </w:rPr>
  </w:style>
  <w:style w:type="paragraph" w:styleId="Rubrik8">
    <w:name w:val="heading 8"/>
    <w:basedOn w:val="Normal"/>
    <w:next w:val="Normal"/>
    <w:qFormat/>
    <w:pPr>
      <w:widowControl/>
      <w:numPr>
        <w:ilvl w:val="7"/>
        <w:numId w:val="44"/>
      </w:numPr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i/>
      <w:iCs/>
      <w:lang w:val="sv-SE"/>
    </w:rPr>
  </w:style>
  <w:style w:type="paragraph" w:styleId="Rubrik9">
    <w:name w:val="heading 9"/>
    <w:basedOn w:val="Normal"/>
    <w:next w:val="Normal"/>
    <w:qFormat/>
    <w:pPr>
      <w:widowControl/>
      <w:numPr>
        <w:ilvl w:val="8"/>
        <w:numId w:val="45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widowControl/>
      <w:numPr>
        <w:numId w:val="8"/>
      </w:numPr>
      <w:autoSpaceDE/>
      <w:autoSpaceDN/>
      <w:adjustRightInd/>
    </w:pPr>
    <w:rPr>
      <w:rFonts w:ascii="Times New Roman" w:hAnsi="Times New Roman" w:cs="Times New Roman"/>
      <w:lang w:val="sv-SE"/>
    </w:rPr>
  </w:style>
  <w:style w:type="paragraph" w:styleId="Brdtextmedindrag">
    <w:name w:val="Body Text Indent"/>
    <w:basedOn w:val="Normal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lang w:val="sv-SE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widowControl/>
      <w:tabs>
        <w:tab w:val="right" w:pos="8732"/>
      </w:tabs>
      <w:autoSpaceDE/>
      <w:autoSpaceDN/>
      <w:adjustRightInd/>
    </w:pPr>
    <w:rPr>
      <w:rFonts w:ascii="Arial" w:hAnsi="Arial" w:cs="Arial"/>
      <w:sz w:val="16"/>
      <w:lang w:val="sv-SE"/>
    </w:rPr>
  </w:style>
  <w:style w:type="paragraph" w:styleId="Sidfot">
    <w:name w:val="footer"/>
    <w:basedOn w:val="Normal"/>
    <w:pPr>
      <w:widowControl/>
      <w:tabs>
        <w:tab w:val="right" w:pos="8165"/>
      </w:tabs>
      <w:autoSpaceDE/>
      <w:autoSpaceDN/>
      <w:adjustRightInd/>
    </w:pPr>
    <w:rPr>
      <w:rFonts w:ascii="Verdana" w:hAnsi="Verdana" w:cs="Arial"/>
      <w:sz w:val="14"/>
      <w:lang w:val="sv-SE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spacing w:line="288" w:lineRule="auto"/>
      <w:jc w:val="both"/>
    </w:pPr>
    <w:rPr>
      <w:rFonts w:ascii="Times New Roman" w:hAnsi="Times New Roman" w:cs="Times New Roman"/>
      <w:lang w:val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widowControl/>
      <w:autoSpaceDE/>
      <w:autoSpaceDN/>
      <w:adjustRightInd/>
      <w:ind w:left="960"/>
    </w:pPr>
    <w:rPr>
      <w:rFonts w:ascii="Times New Roman" w:hAnsi="Times New Roman" w:cs="Times New Roman"/>
      <w:lang w:val="sv-SE"/>
    </w:rPr>
  </w:style>
  <w:style w:type="paragraph" w:styleId="Innehll6">
    <w:name w:val="toc 6"/>
    <w:basedOn w:val="Normal"/>
    <w:next w:val="Normal"/>
    <w:autoRedefine/>
    <w:semiHidden/>
    <w:pPr>
      <w:widowControl/>
      <w:autoSpaceDE/>
      <w:autoSpaceDN/>
      <w:adjustRightInd/>
      <w:ind w:left="1200"/>
    </w:pPr>
    <w:rPr>
      <w:rFonts w:ascii="Times New Roman" w:hAnsi="Times New Roman" w:cs="Times New Roman"/>
      <w:lang w:val="sv-SE"/>
    </w:rPr>
  </w:style>
  <w:style w:type="paragraph" w:styleId="Innehll7">
    <w:name w:val="toc 7"/>
    <w:basedOn w:val="Normal"/>
    <w:next w:val="Normal"/>
    <w:autoRedefine/>
    <w:semiHidden/>
    <w:pPr>
      <w:widowControl/>
      <w:autoSpaceDE/>
      <w:autoSpaceDN/>
      <w:adjustRightInd/>
      <w:ind w:left="1440"/>
    </w:pPr>
    <w:rPr>
      <w:rFonts w:ascii="Times New Roman" w:hAnsi="Times New Roman" w:cs="Times New Roman"/>
      <w:lang w:val="sv-SE"/>
    </w:rPr>
  </w:style>
  <w:style w:type="paragraph" w:styleId="Innehll8">
    <w:name w:val="toc 8"/>
    <w:basedOn w:val="Normal"/>
    <w:next w:val="Normal"/>
    <w:autoRedefine/>
    <w:semiHidden/>
    <w:pPr>
      <w:widowControl/>
      <w:autoSpaceDE/>
      <w:autoSpaceDN/>
      <w:adjustRightInd/>
      <w:ind w:left="1680"/>
    </w:pPr>
    <w:rPr>
      <w:rFonts w:ascii="Times New Roman" w:hAnsi="Times New Roman" w:cs="Times New Roman"/>
      <w:lang w:val="sv-SE"/>
    </w:rPr>
  </w:style>
  <w:style w:type="paragraph" w:styleId="Innehll9">
    <w:name w:val="toc 9"/>
    <w:basedOn w:val="Normal"/>
    <w:next w:val="Normal"/>
    <w:autoRedefine/>
    <w:semiHidden/>
    <w:pPr>
      <w:widowControl/>
      <w:autoSpaceDE/>
      <w:autoSpaceDN/>
      <w:adjustRightInd/>
      <w:ind w:left="1920"/>
    </w:pPr>
    <w:rPr>
      <w:rFonts w:ascii="Times New Roman" w:hAnsi="Times New Roman" w:cs="Times New Roman"/>
      <w:lang w:val="sv-SE"/>
    </w:r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table" w:styleId="Tabellrutnt">
    <w:name w:val="Table Grid"/>
    <w:basedOn w:val="Normaltabell"/>
    <w:uiPriority w:val="59"/>
    <w:rsid w:val="0073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LA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1</TotalTime>
  <Pages>2</Pages>
  <Words>523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3504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Diana Lönngren</dc:creator>
  <cp:keywords/>
  <dc:description/>
  <cp:lastModifiedBy>Marina Eriksson</cp:lastModifiedBy>
  <cp:revision>3</cp:revision>
  <cp:lastPrinted>2018-11-07T13:28:00Z</cp:lastPrinted>
  <dcterms:created xsi:type="dcterms:W3CDTF">2018-11-15T11:36:00Z</dcterms:created>
  <dcterms:modified xsi:type="dcterms:W3CDTF">2018-11-15T11:37:00Z</dcterms:modified>
</cp:coreProperties>
</file>