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CA7FC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53.8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CA7FC0">
            <w:pPr>
              <w:pStyle w:val="xMellanrum"/>
            </w:pPr>
            <w:r>
              <w:pict>
                <v:shape id="_x0000_i1026" type="#_x0000_t75" style="width:3.75pt;height:3.7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9E038E">
            <w:pPr>
              <w:pStyle w:val="xDokTypNr"/>
            </w:pPr>
            <w:r>
              <w:t xml:space="preserve">BETÄNKANDE nr </w:t>
            </w:r>
            <w:r w:rsidR="009E038E">
              <w:t>15</w:t>
            </w:r>
            <w:r>
              <w:t>/20</w:t>
            </w:r>
            <w:r w:rsidR="00723B93">
              <w:t>1</w:t>
            </w:r>
            <w:r w:rsidR="0028660F">
              <w:t>7</w:t>
            </w:r>
            <w:r w:rsidR="0015337C">
              <w:t>-20</w:t>
            </w:r>
            <w:r w:rsidR="009F7CE2">
              <w:t>1</w:t>
            </w:r>
            <w:r w:rsidR="0028660F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28660F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F90A79">
            <w:pPr>
              <w:pStyle w:val="xDatum1"/>
            </w:pPr>
            <w:r>
              <w:t>20</w:t>
            </w:r>
            <w:r w:rsidR="00B32E91">
              <w:t>1</w:t>
            </w:r>
            <w:r w:rsidR="0028660F">
              <w:t>8-0</w:t>
            </w:r>
            <w:r w:rsidR="008F11A4">
              <w:t>6</w:t>
            </w:r>
            <w:r w:rsidR="0028660F">
              <w:t>-</w:t>
            </w:r>
            <w:r w:rsidR="00F90A79">
              <w:t>07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28660F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28660F" w:rsidP="0028660F">
      <w:pPr>
        <w:pStyle w:val="ArendeRubrik"/>
        <w:ind w:right="-1248"/>
      </w:pPr>
      <w:r>
        <w:t>REDOGÖRELSE ÖVER ÅRSREDOVISNING PER 31.12.2017</w:t>
      </w:r>
    </w:p>
    <w:p w:rsidR="002401D0" w:rsidRDefault="00CA7FC0">
      <w:pPr>
        <w:pStyle w:val="ArendeUnderRubrik"/>
      </w:pPr>
      <w:hyperlink r:id="rId12" w:history="1">
        <w:r w:rsidR="0028660F" w:rsidRPr="00CA7FC0">
          <w:rPr>
            <w:rStyle w:val="Hyperlnk"/>
          </w:rPr>
          <w:t>Landskapsregeringens redogörelse RS 2/2017-2018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DC7A0C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16128714" w:history="1">
        <w:r w:rsidR="00DC7A0C" w:rsidRPr="00D42715">
          <w:rPr>
            <w:rStyle w:val="Hyperlnk"/>
          </w:rPr>
          <w:t>Sammanfattning</w:t>
        </w:r>
        <w:r w:rsidR="00DC7A0C">
          <w:rPr>
            <w:webHidden/>
          </w:rPr>
          <w:tab/>
        </w:r>
        <w:r w:rsidR="00DC7A0C">
          <w:rPr>
            <w:webHidden/>
          </w:rPr>
          <w:fldChar w:fldCharType="begin"/>
        </w:r>
        <w:r w:rsidR="00DC7A0C">
          <w:rPr>
            <w:webHidden/>
          </w:rPr>
          <w:instrText xml:space="preserve"> PAGEREF _Toc516128714 \h </w:instrText>
        </w:r>
        <w:r w:rsidR="00DC7A0C">
          <w:rPr>
            <w:webHidden/>
          </w:rPr>
        </w:r>
        <w:r w:rsidR="00DC7A0C">
          <w:rPr>
            <w:webHidden/>
          </w:rPr>
          <w:fldChar w:fldCharType="separate"/>
        </w:r>
        <w:r w:rsidR="00DC7A0C">
          <w:rPr>
            <w:webHidden/>
          </w:rPr>
          <w:t>1</w:t>
        </w:r>
        <w:r w:rsidR="00DC7A0C">
          <w:rPr>
            <w:webHidden/>
          </w:rPr>
          <w:fldChar w:fldCharType="end"/>
        </w:r>
      </w:hyperlink>
    </w:p>
    <w:p w:rsidR="00DC7A0C" w:rsidRDefault="00CA7FC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6128715" w:history="1">
        <w:r w:rsidR="00DC7A0C" w:rsidRPr="00D42715">
          <w:rPr>
            <w:rStyle w:val="Hyperlnk"/>
          </w:rPr>
          <w:t>Landskapsregeringens förslag</w:t>
        </w:r>
        <w:r w:rsidR="00DC7A0C">
          <w:rPr>
            <w:webHidden/>
          </w:rPr>
          <w:tab/>
        </w:r>
        <w:r w:rsidR="00DC7A0C">
          <w:rPr>
            <w:webHidden/>
          </w:rPr>
          <w:fldChar w:fldCharType="begin"/>
        </w:r>
        <w:r w:rsidR="00DC7A0C">
          <w:rPr>
            <w:webHidden/>
          </w:rPr>
          <w:instrText xml:space="preserve"> PAGEREF _Toc516128715 \h </w:instrText>
        </w:r>
        <w:r w:rsidR="00DC7A0C">
          <w:rPr>
            <w:webHidden/>
          </w:rPr>
        </w:r>
        <w:r w:rsidR="00DC7A0C">
          <w:rPr>
            <w:webHidden/>
          </w:rPr>
          <w:fldChar w:fldCharType="separate"/>
        </w:r>
        <w:r w:rsidR="00DC7A0C">
          <w:rPr>
            <w:webHidden/>
          </w:rPr>
          <w:t>1</w:t>
        </w:r>
        <w:r w:rsidR="00DC7A0C">
          <w:rPr>
            <w:webHidden/>
          </w:rPr>
          <w:fldChar w:fldCharType="end"/>
        </w:r>
      </w:hyperlink>
    </w:p>
    <w:p w:rsidR="00DC7A0C" w:rsidRDefault="00CA7FC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6128716" w:history="1">
        <w:r w:rsidR="00DC7A0C" w:rsidRPr="00D42715">
          <w:rPr>
            <w:rStyle w:val="Hyperlnk"/>
          </w:rPr>
          <w:t>Utskottets förslag</w:t>
        </w:r>
        <w:r w:rsidR="00DC7A0C">
          <w:rPr>
            <w:webHidden/>
          </w:rPr>
          <w:tab/>
        </w:r>
        <w:r w:rsidR="00DC7A0C">
          <w:rPr>
            <w:webHidden/>
          </w:rPr>
          <w:fldChar w:fldCharType="begin"/>
        </w:r>
        <w:r w:rsidR="00DC7A0C">
          <w:rPr>
            <w:webHidden/>
          </w:rPr>
          <w:instrText xml:space="preserve"> PAGEREF _Toc516128716 \h </w:instrText>
        </w:r>
        <w:r w:rsidR="00DC7A0C">
          <w:rPr>
            <w:webHidden/>
          </w:rPr>
        </w:r>
        <w:r w:rsidR="00DC7A0C">
          <w:rPr>
            <w:webHidden/>
          </w:rPr>
          <w:fldChar w:fldCharType="separate"/>
        </w:r>
        <w:r w:rsidR="00DC7A0C">
          <w:rPr>
            <w:webHidden/>
          </w:rPr>
          <w:t>1</w:t>
        </w:r>
        <w:r w:rsidR="00DC7A0C">
          <w:rPr>
            <w:webHidden/>
          </w:rPr>
          <w:fldChar w:fldCharType="end"/>
        </w:r>
      </w:hyperlink>
    </w:p>
    <w:p w:rsidR="00DC7A0C" w:rsidRDefault="00CA7FC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6128717" w:history="1">
        <w:r w:rsidR="00DC7A0C" w:rsidRPr="00D42715">
          <w:rPr>
            <w:rStyle w:val="Hyperlnk"/>
          </w:rPr>
          <w:t>Utskottets synpunkter</w:t>
        </w:r>
        <w:r w:rsidR="00DC7A0C">
          <w:rPr>
            <w:webHidden/>
          </w:rPr>
          <w:tab/>
        </w:r>
        <w:r w:rsidR="00DC7A0C">
          <w:rPr>
            <w:webHidden/>
          </w:rPr>
          <w:fldChar w:fldCharType="begin"/>
        </w:r>
        <w:r w:rsidR="00DC7A0C">
          <w:rPr>
            <w:webHidden/>
          </w:rPr>
          <w:instrText xml:space="preserve"> PAGEREF _Toc516128717 \h </w:instrText>
        </w:r>
        <w:r w:rsidR="00DC7A0C">
          <w:rPr>
            <w:webHidden/>
          </w:rPr>
        </w:r>
        <w:r w:rsidR="00DC7A0C">
          <w:rPr>
            <w:webHidden/>
          </w:rPr>
          <w:fldChar w:fldCharType="separate"/>
        </w:r>
        <w:r w:rsidR="00DC7A0C">
          <w:rPr>
            <w:webHidden/>
          </w:rPr>
          <w:t>1</w:t>
        </w:r>
        <w:r w:rsidR="00DC7A0C">
          <w:rPr>
            <w:webHidden/>
          </w:rPr>
          <w:fldChar w:fldCharType="end"/>
        </w:r>
      </w:hyperlink>
    </w:p>
    <w:p w:rsidR="00DC7A0C" w:rsidRDefault="00CA7FC0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6128718" w:history="1">
        <w:r w:rsidR="00DC7A0C" w:rsidRPr="00D42715">
          <w:rPr>
            <w:rStyle w:val="Hyperlnk"/>
          </w:rPr>
          <w:t>Personalkostnader</w:t>
        </w:r>
        <w:r w:rsidR="00DC7A0C">
          <w:rPr>
            <w:webHidden/>
          </w:rPr>
          <w:tab/>
        </w:r>
        <w:r w:rsidR="00DC7A0C">
          <w:rPr>
            <w:webHidden/>
          </w:rPr>
          <w:fldChar w:fldCharType="begin"/>
        </w:r>
        <w:r w:rsidR="00DC7A0C">
          <w:rPr>
            <w:webHidden/>
          </w:rPr>
          <w:instrText xml:space="preserve"> PAGEREF _Toc516128718 \h </w:instrText>
        </w:r>
        <w:r w:rsidR="00DC7A0C">
          <w:rPr>
            <w:webHidden/>
          </w:rPr>
        </w:r>
        <w:r w:rsidR="00DC7A0C">
          <w:rPr>
            <w:webHidden/>
          </w:rPr>
          <w:fldChar w:fldCharType="separate"/>
        </w:r>
        <w:r w:rsidR="00DC7A0C">
          <w:rPr>
            <w:webHidden/>
          </w:rPr>
          <w:t>2</w:t>
        </w:r>
        <w:r w:rsidR="00DC7A0C">
          <w:rPr>
            <w:webHidden/>
          </w:rPr>
          <w:fldChar w:fldCharType="end"/>
        </w:r>
      </w:hyperlink>
    </w:p>
    <w:p w:rsidR="00DC7A0C" w:rsidRDefault="00CA7FC0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6128719" w:history="1">
        <w:r w:rsidR="00DC7A0C" w:rsidRPr="00D42715">
          <w:rPr>
            <w:rStyle w:val="Hyperlnk"/>
          </w:rPr>
          <w:t>Köptjänster</w:t>
        </w:r>
        <w:r w:rsidR="00DC7A0C">
          <w:rPr>
            <w:webHidden/>
          </w:rPr>
          <w:tab/>
        </w:r>
        <w:r w:rsidR="00DC7A0C">
          <w:rPr>
            <w:webHidden/>
          </w:rPr>
          <w:fldChar w:fldCharType="begin"/>
        </w:r>
        <w:r w:rsidR="00DC7A0C">
          <w:rPr>
            <w:webHidden/>
          </w:rPr>
          <w:instrText xml:space="preserve"> PAGEREF _Toc516128719 \h </w:instrText>
        </w:r>
        <w:r w:rsidR="00DC7A0C">
          <w:rPr>
            <w:webHidden/>
          </w:rPr>
        </w:r>
        <w:r w:rsidR="00DC7A0C">
          <w:rPr>
            <w:webHidden/>
          </w:rPr>
          <w:fldChar w:fldCharType="separate"/>
        </w:r>
        <w:r w:rsidR="00DC7A0C">
          <w:rPr>
            <w:webHidden/>
          </w:rPr>
          <w:t>2</w:t>
        </w:r>
        <w:r w:rsidR="00DC7A0C">
          <w:rPr>
            <w:webHidden/>
          </w:rPr>
          <w:fldChar w:fldCharType="end"/>
        </w:r>
      </w:hyperlink>
    </w:p>
    <w:p w:rsidR="00DC7A0C" w:rsidRDefault="00CA7FC0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6128720" w:history="1">
        <w:r w:rsidR="00DC7A0C" w:rsidRPr="00D42715">
          <w:rPr>
            <w:rStyle w:val="Hyperlnk"/>
          </w:rPr>
          <w:t>Resultat och likviditet</w:t>
        </w:r>
        <w:r w:rsidR="00DC7A0C">
          <w:rPr>
            <w:webHidden/>
          </w:rPr>
          <w:tab/>
        </w:r>
        <w:r w:rsidR="00DC7A0C">
          <w:rPr>
            <w:webHidden/>
          </w:rPr>
          <w:fldChar w:fldCharType="begin"/>
        </w:r>
        <w:r w:rsidR="00DC7A0C">
          <w:rPr>
            <w:webHidden/>
          </w:rPr>
          <w:instrText xml:space="preserve"> PAGEREF _Toc516128720 \h </w:instrText>
        </w:r>
        <w:r w:rsidR="00DC7A0C">
          <w:rPr>
            <w:webHidden/>
          </w:rPr>
        </w:r>
        <w:r w:rsidR="00DC7A0C">
          <w:rPr>
            <w:webHidden/>
          </w:rPr>
          <w:fldChar w:fldCharType="separate"/>
        </w:r>
        <w:r w:rsidR="00DC7A0C">
          <w:rPr>
            <w:webHidden/>
          </w:rPr>
          <w:t>2</w:t>
        </w:r>
        <w:r w:rsidR="00DC7A0C">
          <w:rPr>
            <w:webHidden/>
          </w:rPr>
          <w:fldChar w:fldCharType="end"/>
        </w:r>
      </w:hyperlink>
    </w:p>
    <w:p w:rsidR="00DC7A0C" w:rsidRDefault="00CA7FC0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6128721" w:history="1">
        <w:r w:rsidR="00DC7A0C" w:rsidRPr="00D42715">
          <w:rPr>
            <w:rStyle w:val="Hyperlnk"/>
          </w:rPr>
          <w:t>Lönesystemet</w:t>
        </w:r>
        <w:r w:rsidR="00DC7A0C">
          <w:rPr>
            <w:webHidden/>
          </w:rPr>
          <w:tab/>
        </w:r>
        <w:r w:rsidR="00DC7A0C">
          <w:rPr>
            <w:webHidden/>
          </w:rPr>
          <w:fldChar w:fldCharType="begin"/>
        </w:r>
        <w:r w:rsidR="00DC7A0C">
          <w:rPr>
            <w:webHidden/>
          </w:rPr>
          <w:instrText xml:space="preserve"> PAGEREF _Toc516128721 \h </w:instrText>
        </w:r>
        <w:r w:rsidR="00DC7A0C">
          <w:rPr>
            <w:webHidden/>
          </w:rPr>
        </w:r>
        <w:r w:rsidR="00DC7A0C">
          <w:rPr>
            <w:webHidden/>
          </w:rPr>
          <w:fldChar w:fldCharType="separate"/>
        </w:r>
        <w:r w:rsidR="00DC7A0C">
          <w:rPr>
            <w:webHidden/>
          </w:rPr>
          <w:t>2</w:t>
        </w:r>
        <w:r w:rsidR="00DC7A0C">
          <w:rPr>
            <w:webHidden/>
          </w:rPr>
          <w:fldChar w:fldCharType="end"/>
        </w:r>
      </w:hyperlink>
    </w:p>
    <w:p w:rsidR="00DC7A0C" w:rsidRDefault="00CA7FC0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6128722" w:history="1">
        <w:r w:rsidR="00DC7A0C" w:rsidRPr="00D42715">
          <w:rPr>
            <w:rStyle w:val="Hyperlnk"/>
          </w:rPr>
          <w:t>Övriga påpekanden</w:t>
        </w:r>
        <w:r w:rsidR="00DC7A0C">
          <w:rPr>
            <w:webHidden/>
          </w:rPr>
          <w:tab/>
        </w:r>
        <w:r w:rsidR="00DC7A0C">
          <w:rPr>
            <w:webHidden/>
          </w:rPr>
          <w:fldChar w:fldCharType="begin"/>
        </w:r>
        <w:r w:rsidR="00DC7A0C">
          <w:rPr>
            <w:webHidden/>
          </w:rPr>
          <w:instrText xml:space="preserve"> PAGEREF _Toc516128722 \h </w:instrText>
        </w:r>
        <w:r w:rsidR="00DC7A0C">
          <w:rPr>
            <w:webHidden/>
          </w:rPr>
        </w:r>
        <w:r w:rsidR="00DC7A0C">
          <w:rPr>
            <w:webHidden/>
          </w:rPr>
          <w:fldChar w:fldCharType="separate"/>
        </w:r>
        <w:r w:rsidR="00DC7A0C">
          <w:rPr>
            <w:webHidden/>
          </w:rPr>
          <w:t>3</w:t>
        </w:r>
        <w:r w:rsidR="00DC7A0C">
          <w:rPr>
            <w:webHidden/>
          </w:rPr>
          <w:fldChar w:fldCharType="end"/>
        </w:r>
      </w:hyperlink>
    </w:p>
    <w:p w:rsidR="00DC7A0C" w:rsidRDefault="00CA7FC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6128723" w:history="1">
        <w:r w:rsidR="00DC7A0C" w:rsidRPr="00D42715">
          <w:rPr>
            <w:rStyle w:val="Hyperlnk"/>
          </w:rPr>
          <w:t>Ärendets behandling</w:t>
        </w:r>
        <w:r w:rsidR="00DC7A0C">
          <w:rPr>
            <w:webHidden/>
          </w:rPr>
          <w:tab/>
        </w:r>
        <w:r w:rsidR="00DC7A0C">
          <w:rPr>
            <w:webHidden/>
          </w:rPr>
          <w:fldChar w:fldCharType="begin"/>
        </w:r>
        <w:r w:rsidR="00DC7A0C">
          <w:rPr>
            <w:webHidden/>
          </w:rPr>
          <w:instrText xml:space="preserve"> PAGEREF _Toc516128723 \h </w:instrText>
        </w:r>
        <w:r w:rsidR="00DC7A0C">
          <w:rPr>
            <w:webHidden/>
          </w:rPr>
        </w:r>
        <w:r w:rsidR="00DC7A0C">
          <w:rPr>
            <w:webHidden/>
          </w:rPr>
          <w:fldChar w:fldCharType="separate"/>
        </w:r>
        <w:r w:rsidR="00DC7A0C">
          <w:rPr>
            <w:webHidden/>
          </w:rPr>
          <w:t>3</w:t>
        </w:r>
        <w:r w:rsidR="00DC7A0C">
          <w:rPr>
            <w:webHidden/>
          </w:rPr>
          <w:fldChar w:fldCharType="end"/>
        </w:r>
      </w:hyperlink>
    </w:p>
    <w:p w:rsidR="00DC7A0C" w:rsidRDefault="00CA7FC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6128724" w:history="1">
        <w:r w:rsidR="00DC7A0C" w:rsidRPr="00D42715">
          <w:rPr>
            <w:rStyle w:val="Hyperlnk"/>
          </w:rPr>
          <w:t>Utskottets förslag</w:t>
        </w:r>
        <w:r w:rsidR="00DC7A0C">
          <w:rPr>
            <w:webHidden/>
          </w:rPr>
          <w:tab/>
        </w:r>
        <w:r w:rsidR="00DC7A0C">
          <w:rPr>
            <w:webHidden/>
          </w:rPr>
          <w:fldChar w:fldCharType="begin"/>
        </w:r>
        <w:r w:rsidR="00DC7A0C">
          <w:rPr>
            <w:webHidden/>
          </w:rPr>
          <w:instrText xml:space="preserve"> PAGEREF _Toc516128724 \h </w:instrText>
        </w:r>
        <w:r w:rsidR="00DC7A0C">
          <w:rPr>
            <w:webHidden/>
          </w:rPr>
        </w:r>
        <w:r w:rsidR="00DC7A0C">
          <w:rPr>
            <w:webHidden/>
          </w:rPr>
          <w:fldChar w:fldCharType="separate"/>
        </w:r>
        <w:r w:rsidR="00DC7A0C">
          <w:rPr>
            <w:webHidden/>
          </w:rPr>
          <w:t>3</w:t>
        </w:r>
        <w:r w:rsidR="00DC7A0C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16128714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28660F">
      <w:pPr>
        <w:pStyle w:val="RubrikB"/>
      </w:pPr>
      <w:bookmarkStart w:id="4" w:name="_Toc529800933"/>
      <w:bookmarkStart w:id="5" w:name="_Toc516128715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28660F" w:rsidRDefault="0028660F" w:rsidP="0028660F">
      <w:pPr>
        <w:pStyle w:val="ANormal"/>
      </w:pPr>
      <w:r>
        <w:t xml:space="preserve">Landskapsregeringen </w:t>
      </w:r>
      <w:r w:rsidR="00C772BB">
        <w:t xml:space="preserve">har </w:t>
      </w:r>
      <w:r>
        <w:t>överlämna</w:t>
      </w:r>
      <w:r w:rsidR="00C772BB">
        <w:t>t</w:t>
      </w:r>
      <w:r>
        <w:t xml:space="preserve"> årsredovisning</w:t>
      </w:r>
      <w:r w:rsidR="00C772BB">
        <w:t>en</w:t>
      </w:r>
      <w:r>
        <w:t xml:space="preserve"> för landskapet Åland </w:t>
      </w:r>
      <w:r w:rsidR="00384C67">
        <w:t>gällande</w:t>
      </w:r>
      <w:r w:rsidR="00C772BB">
        <w:t xml:space="preserve"> år </w:t>
      </w:r>
      <w:r>
        <w:t xml:space="preserve">2017 till lagtinget såsom redogörelse </w:t>
      </w:r>
      <w:r w:rsidRPr="00484D4E">
        <w:t xml:space="preserve">nr </w:t>
      </w:r>
      <w:r>
        <w:t>2</w:t>
      </w:r>
      <w:r w:rsidRPr="00484D4E">
        <w:t>/201</w:t>
      </w:r>
      <w:r>
        <w:t>7</w:t>
      </w:r>
      <w:r w:rsidRPr="00484D4E">
        <w:t>-201</w:t>
      </w:r>
      <w:r>
        <w:t>8</w:t>
      </w:r>
      <w:r w:rsidRPr="00484D4E">
        <w:t xml:space="preserve"> </w:t>
      </w:r>
      <w:r>
        <w:t xml:space="preserve">i enlighet </w:t>
      </w:r>
      <w:r w:rsidRPr="00DE775B">
        <w:t xml:space="preserve">med § </w:t>
      </w:r>
      <w:r w:rsidR="0000155F">
        <w:t>25</w:t>
      </w:r>
      <w:r w:rsidRPr="00DE775B">
        <w:t xml:space="preserve"> </w:t>
      </w:r>
      <w:r w:rsidR="0000155F">
        <w:t>landskapslagen (1971</w:t>
      </w:r>
      <w:r w:rsidRPr="00DE775B">
        <w:t>:</w:t>
      </w:r>
      <w:r w:rsidR="0000155F">
        <w:t>42</w:t>
      </w:r>
      <w:r w:rsidRPr="00DE775B">
        <w:t xml:space="preserve">) om </w:t>
      </w:r>
      <w:r w:rsidR="0000155F">
        <w:t>Ålands landskapsregering.</w:t>
      </w:r>
      <w:r w:rsidR="00023409">
        <w:tab/>
      </w:r>
      <w:r w:rsidR="00C772BB">
        <w:t>Årsredovisningen inkluderar dessutom bokslutet för Landskapets fasti</w:t>
      </w:r>
      <w:r w:rsidR="00C772BB">
        <w:t>g</w:t>
      </w:r>
      <w:r w:rsidR="00C772BB">
        <w:t>hetsverk per 31.12.2017 och Landskapsrevisionens revisionsberättelse för finansåret 2017.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516128716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023409">
      <w:pPr>
        <w:pStyle w:val="ANormal"/>
      </w:pPr>
      <w:r>
        <w:t>Utskottet föreslår att årsredovisningen för 2017 antecknas för kännedom och att utskottets synpunkter bringas landskapsregeringen till kännedom.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516128717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074652" w:rsidRPr="00074652" w:rsidRDefault="00074652" w:rsidP="00074652">
      <w:pPr>
        <w:pStyle w:val="ANormal"/>
        <w:rPr>
          <w:color w:val="808080" w:themeColor="background1" w:themeShade="80"/>
        </w:rPr>
      </w:pPr>
      <w:r>
        <w:t>Utskottet konstaterar att utöver årsredovisningen för landskapet Ålands förvaltning och ekonomi har separata verksamhetsberättelser jämte bokslut upprättats för Ålands hälso- och sjukvård (ÅHS), Landskapets pension</w:t>
      </w:r>
      <w:r>
        <w:t>s</w:t>
      </w:r>
      <w:r>
        <w:t>fond och Landskapets fastighetsverk. Av dessa är endast ÅHS konsoliderat i huvudbokslutet. Fastighetsverkets sifferbokslut jämte noter är detta år i</w:t>
      </w:r>
      <w:r>
        <w:t>n</w:t>
      </w:r>
      <w:r>
        <w:t xml:space="preserve">taget som en bilaga i årsredovisningen. </w:t>
      </w:r>
      <w:r>
        <w:tab/>
      </w:r>
    </w:p>
    <w:p w:rsidR="00C25CBC" w:rsidRDefault="00074652" w:rsidP="00074652">
      <w:pPr>
        <w:pStyle w:val="ANormal"/>
      </w:pPr>
      <w:r w:rsidRPr="00074652">
        <w:rPr>
          <w:color w:val="808080" w:themeColor="background1" w:themeShade="80"/>
        </w:rPr>
        <w:t xml:space="preserve">   </w:t>
      </w:r>
      <w:r w:rsidRPr="00074652">
        <w:rPr>
          <w:color w:val="808080" w:themeColor="background1" w:themeShade="80"/>
        </w:rPr>
        <w:tab/>
      </w:r>
      <w:r w:rsidRPr="001D2A05">
        <w:t>Verksamhetsbidraget, som utgörs av verksamhetens intäkter och kos</w:t>
      </w:r>
      <w:r w:rsidRPr="001D2A05">
        <w:t>t</w:t>
      </w:r>
      <w:r w:rsidRPr="001D2A05">
        <w:t>nader, pensionsintäkter och -kostnader samt överföringsekonomins intäkter och kostnader, uppgick till -2</w:t>
      </w:r>
      <w:r w:rsidR="001D2A05" w:rsidRPr="001D2A05">
        <w:t>64,1</w:t>
      </w:r>
      <w:r w:rsidRPr="001D2A05">
        <w:t xml:space="preserve"> (2015= -265,8) miljoner euro.  </w:t>
      </w:r>
    </w:p>
    <w:p w:rsidR="00C25CBC" w:rsidRDefault="00C25CBC" w:rsidP="00074652">
      <w:pPr>
        <w:pStyle w:val="ANormal"/>
      </w:pPr>
      <w:r>
        <w:tab/>
      </w:r>
      <w:r w:rsidR="00074652" w:rsidRPr="001D2A05">
        <w:t>Årsbidraget som utgörs av verksamhetsbidraget, skatteinkomster och f</w:t>
      </w:r>
      <w:r w:rsidR="00074652" w:rsidRPr="001D2A05">
        <w:t>i</w:t>
      </w:r>
      <w:r w:rsidR="00074652" w:rsidRPr="001D2A05">
        <w:t xml:space="preserve">nansiella poster uppgick till </w:t>
      </w:r>
      <w:r w:rsidR="001D2A05" w:rsidRPr="001D2A05">
        <w:t>28</w:t>
      </w:r>
      <w:r w:rsidR="00074652" w:rsidRPr="001D2A05">
        <w:t>,</w:t>
      </w:r>
      <w:r w:rsidR="001D2A05" w:rsidRPr="001D2A05">
        <w:t>5</w:t>
      </w:r>
      <w:r w:rsidR="00074652" w:rsidRPr="001D2A05">
        <w:t xml:space="preserve"> (</w:t>
      </w:r>
      <w:r w:rsidR="001D2A05" w:rsidRPr="001D2A05">
        <w:t>-3,8</w:t>
      </w:r>
      <w:r w:rsidR="00074652" w:rsidRPr="001D2A05">
        <w:t xml:space="preserve">) miljoner euro. </w:t>
      </w:r>
    </w:p>
    <w:p w:rsidR="00C25CBC" w:rsidRDefault="00C25CBC" w:rsidP="00074652">
      <w:pPr>
        <w:pStyle w:val="ANormal"/>
      </w:pPr>
      <w:r>
        <w:tab/>
      </w:r>
      <w:r w:rsidR="00EC68F1">
        <w:t>O</w:t>
      </w:r>
      <w:r w:rsidR="00EC68F1" w:rsidRPr="001D2A05">
        <w:t>m man bortser från bokslutets extraordinära kostnads- och intäktspo</w:t>
      </w:r>
      <w:r w:rsidR="00EC68F1" w:rsidRPr="001D2A05">
        <w:t>s</w:t>
      </w:r>
      <w:r w:rsidR="00EC68F1" w:rsidRPr="001D2A05">
        <w:t xml:space="preserve">ter </w:t>
      </w:r>
      <w:r w:rsidR="00B45252">
        <w:t>blir</w:t>
      </w:r>
      <w:r w:rsidR="00EC68F1">
        <w:t xml:space="preserve"> r</w:t>
      </w:r>
      <w:r w:rsidR="00074652" w:rsidRPr="001D2A05">
        <w:t xml:space="preserve">äkenskapsperiodens resultat </w:t>
      </w:r>
      <w:r w:rsidR="001D2A05" w:rsidRPr="001D2A05">
        <w:t>16</w:t>
      </w:r>
      <w:r w:rsidR="00074652" w:rsidRPr="001D2A05">
        <w:t>,</w:t>
      </w:r>
      <w:r w:rsidR="00EC68F1">
        <w:t>8</w:t>
      </w:r>
      <w:r w:rsidR="00074652" w:rsidRPr="001D2A05">
        <w:t xml:space="preserve"> miljoner euro</w:t>
      </w:r>
      <w:r w:rsidR="00B45252">
        <w:t xml:space="preserve">, vilket är </w:t>
      </w:r>
      <w:r w:rsidR="001D2A05" w:rsidRPr="001D2A05">
        <w:t xml:space="preserve">väsentligt bättre än </w:t>
      </w:r>
      <w:r w:rsidR="00B45252">
        <w:t xml:space="preserve">motsvarande </w:t>
      </w:r>
      <w:r w:rsidR="001D2A05" w:rsidRPr="001D2A05">
        <w:t>resultat</w:t>
      </w:r>
      <w:r w:rsidR="00B45252">
        <w:t xml:space="preserve"> för</w:t>
      </w:r>
      <w:r w:rsidR="001D2A05" w:rsidRPr="001D2A05">
        <w:t xml:space="preserve"> år 2016 som var -15,5 miljoner euro</w:t>
      </w:r>
      <w:r w:rsidR="00EC68F1">
        <w:t xml:space="preserve">. År </w:t>
      </w:r>
      <w:r w:rsidR="001D2A05" w:rsidRPr="001D2A05">
        <w:t>2016 ingick</w:t>
      </w:r>
      <w:r w:rsidR="00074652" w:rsidRPr="001D2A05">
        <w:t xml:space="preserve"> en extraordinär intäkt om 57,</w:t>
      </w:r>
      <w:r w:rsidR="001D2A05">
        <w:t>6</w:t>
      </w:r>
      <w:r w:rsidR="00074652" w:rsidRPr="001D2A05">
        <w:t xml:space="preserve"> miljoner euro som härrör från </w:t>
      </w:r>
      <w:r w:rsidR="00074652" w:rsidRPr="001D2A05">
        <w:lastRenderedPageBreak/>
        <w:t>uppvärderingen av de fastigheter som överfördes till Fastighetsverket</w:t>
      </w:r>
      <w:r w:rsidR="00B45252">
        <w:t>, vi</w:t>
      </w:r>
      <w:r w:rsidR="00B45252">
        <w:t>l</w:t>
      </w:r>
      <w:r w:rsidR="00B45252">
        <w:t xml:space="preserve">ket var orsaken till att det synliga resultatet </w:t>
      </w:r>
      <w:r w:rsidR="009E7FCC" w:rsidRPr="00984B19">
        <w:t xml:space="preserve">år 2016 </w:t>
      </w:r>
      <w:r w:rsidR="00B45252" w:rsidRPr="00984B19">
        <w:t>var</w:t>
      </w:r>
      <w:r w:rsidR="00B45252">
        <w:t xml:space="preserve"> 42,0 miljoner euro</w:t>
      </w:r>
      <w:r w:rsidR="00074652" w:rsidRPr="009E038E">
        <w:t xml:space="preserve">. </w:t>
      </w:r>
    </w:p>
    <w:p w:rsidR="004A43C6" w:rsidRPr="00DC7A0C" w:rsidRDefault="00C25CBC" w:rsidP="00074652">
      <w:pPr>
        <w:pStyle w:val="ANormal"/>
      </w:pPr>
      <w:r>
        <w:tab/>
      </w:r>
      <w:r w:rsidR="009E038E" w:rsidRPr="009E038E">
        <w:t xml:space="preserve">Det förbättrade resultatet kan till stor del förklaras med en ökning av skattegottgörelsen </w:t>
      </w:r>
      <w:r>
        <w:t>om</w:t>
      </w:r>
      <w:r w:rsidR="009E038E" w:rsidRPr="009E038E">
        <w:t xml:space="preserve"> 14,4 miljoner euro jämfört med året innan</w:t>
      </w:r>
      <w:r w:rsidR="009E038E" w:rsidRPr="00DC7A0C">
        <w:t>.</w:t>
      </w:r>
      <w:r w:rsidR="00DC7A0C">
        <w:t xml:space="preserve"> </w:t>
      </w:r>
      <w:r w:rsidR="00431F72" w:rsidRPr="00DC7A0C">
        <w:t>Skatt</w:t>
      </w:r>
      <w:r w:rsidR="00431F72" w:rsidRPr="00DC7A0C">
        <w:t>e</w:t>
      </w:r>
      <w:r w:rsidR="00431F72" w:rsidRPr="00DC7A0C">
        <w:t>gottgörelse betalas om landskapets andel av debiteringen av inkomst- och förmögenhetsskatt i Finland överstiger 0,5 procent. Skattegottgörelsens b</w:t>
      </w:r>
      <w:r w:rsidR="00431F72" w:rsidRPr="00DC7A0C">
        <w:t>e</w:t>
      </w:r>
      <w:r w:rsidR="00431F72" w:rsidRPr="00DC7A0C">
        <w:t xml:space="preserve">tydelse beräknas minska kommande år eftersom den finländska ekonomin har börjat gå bättre, vilket förväntas minska landskapets relativa andel av de totala skatteintäkterna. En minskad intäkt från skattegottgörelsen </w:t>
      </w:r>
      <w:r w:rsidR="001B131E" w:rsidRPr="00DC7A0C">
        <w:t>på grund av högre skatteinkomster i Finland k</w:t>
      </w:r>
      <w:r w:rsidR="00F21901" w:rsidRPr="00DC7A0C">
        <w:t>an</w:t>
      </w:r>
      <w:r w:rsidR="001B131E" w:rsidRPr="00DC7A0C">
        <w:t xml:space="preserve"> </w:t>
      </w:r>
      <w:r w:rsidR="00984B19" w:rsidRPr="00DC7A0C">
        <w:t xml:space="preserve">sannolikt </w:t>
      </w:r>
      <w:r w:rsidR="001B131E" w:rsidRPr="00DC7A0C">
        <w:t>kompenseras av ett högre avräkningsbelopp.</w:t>
      </w:r>
    </w:p>
    <w:p w:rsidR="006219B7" w:rsidRDefault="006219B7" w:rsidP="00074652">
      <w:pPr>
        <w:pStyle w:val="ANormal"/>
        <w:rPr>
          <w:color w:val="FF0000"/>
        </w:rPr>
      </w:pPr>
    </w:p>
    <w:p w:rsidR="00F21901" w:rsidRDefault="006219B7" w:rsidP="006219B7">
      <w:pPr>
        <w:pStyle w:val="RubrikC"/>
      </w:pPr>
      <w:bookmarkStart w:id="10" w:name="_Toc516128718"/>
      <w:r>
        <w:t>Personalkostnader</w:t>
      </w:r>
      <w:bookmarkEnd w:id="10"/>
    </w:p>
    <w:p w:rsidR="006219B7" w:rsidRPr="006219B7" w:rsidRDefault="006219B7" w:rsidP="006219B7">
      <w:pPr>
        <w:pStyle w:val="Rubrikmellanrum"/>
        <w:rPr>
          <w:highlight w:val="yellow"/>
        </w:rPr>
      </w:pPr>
    </w:p>
    <w:p w:rsidR="00F21901" w:rsidRPr="00DC7A0C" w:rsidRDefault="004A43C6" w:rsidP="00074652">
      <w:pPr>
        <w:pStyle w:val="ANormal"/>
      </w:pPr>
      <w:r>
        <w:rPr>
          <w:color w:val="FF0000"/>
        </w:rPr>
        <w:tab/>
      </w:r>
      <w:r w:rsidR="00831E23" w:rsidRPr="00DC7A0C">
        <w:t xml:space="preserve">Utskottet konstaterar </w:t>
      </w:r>
      <w:r w:rsidR="00C324A1" w:rsidRPr="00DC7A0C">
        <w:t>i likhet med landskapsrevisorn</w:t>
      </w:r>
      <w:r w:rsidRPr="00DC7A0C">
        <w:t xml:space="preserve"> </w:t>
      </w:r>
      <w:r w:rsidR="00831E23" w:rsidRPr="00DC7A0C">
        <w:t xml:space="preserve">att </w:t>
      </w:r>
      <w:r w:rsidR="00F21901" w:rsidRPr="00DC7A0C">
        <w:t xml:space="preserve">det så kallade konkurrenskraftsavtalet har bidragit till att </w:t>
      </w:r>
      <w:r w:rsidRPr="00DC7A0C">
        <w:t>personal</w:t>
      </w:r>
      <w:r w:rsidR="00831E23" w:rsidRPr="00DC7A0C">
        <w:t>kostnaderna minskat med 1,7 miljoner euro.</w:t>
      </w:r>
    </w:p>
    <w:p w:rsidR="00F21901" w:rsidRPr="00DC7A0C" w:rsidRDefault="00140161" w:rsidP="00074652">
      <w:pPr>
        <w:pStyle w:val="ANormal"/>
      </w:pPr>
      <w:r w:rsidRPr="00DC7A0C">
        <w:tab/>
      </w:r>
      <w:r w:rsidR="004A43C6" w:rsidRPr="00DC7A0C">
        <w:t xml:space="preserve">I personalkostnaderna ingår en reservering om 2 miljoner euro avsedd att användas för </w:t>
      </w:r>
      <w:r w:rsidR="00963E35" w:rsidRPr="00DC7A0C">
        <w:t xml:space="preserve">de </w:t>
      </w:r>
      <w:r w:rsidR="004A43C6" w:rsidRPr="00DC7A0C">
        <w:t xml:space="preserve">lönekompensationer </w:t>
      </w:r>
      <w:r w:rsidR="0066595E" w:rsidRPr="00DC7A0C">
        <w:t xml:space="preserve">som </w:t>
      </w:r>
      <w:r w:rsidR="00963E35" w:rsidRPr="00DC7A0C">
        <w:t>blev en följd av</w:t>
      </w:r>
      <w:r w:rsidR="004A43C6" w:rsidRPr="00DC7A0C">
        <w:t xml:space="preserve"> </w:t>
      </w:r>
      <w:r w:rsidR="0066595E" w:rsidRPr="00DC7A0C">
        <w:t>det tjänsteko</w:t>
      </w:r>
      <w:r w:rsidR="0066595E" w:rsidRPr="00DC7A0C">
        <w:t>l</w:t>
      </w:r>
      <w:r w:rsidR="0066595E" w:rsidRPr="00DC7A0C">
        <w:t xml:space="preserve">lektivavtal gällande </w:t>
      </w:r>
      <w:r w:rsidR="004A43C6" w:rsidRPr="00DC7A0C">
        <w:t xml:space="preserve">arbetsvärdering som </w:t>
      </w:r>
      <w:r w:rsidR="0066595E" w:rsidRPr="00DC7A0C">
        <w:t>ingicks</w:t>
      </w:r>
      <w:r w:rsidR="004A43C6" w:rsidRPr="00DC7A0C">
        <w:t xml:space="preserve"> i maj 2018.</w:t>
      </w:r>
      <w:r w:rsidR="00963E35" w:rsidRPr="00DC7A0C">
        <w:tab/>
      </w:r>
    </w:p>
    <w:p w:rsidR="00F21901" w:rsidRPr="00DC7A0C" w:rsidRDefault="00F21901" w:rsidP="00F21901">
      <w:pPr>
        <w:pStyle w:val="ANormal"/>
      </w:pPr>
      <w:r w:rsidRPr="00DC7A0C">
        <w:tab/>
        <w:t>Utskottet noterar dock att de budgeterade personalkostnaderna unde</w:t>
      </w:r>
      <w:r w:rsidRPr="00DC7A0C">
        <w:t>r</w:t>
      </w:r>
      <w:r w:rsidRPr="00DC7A0C">
        <w:t>skrids med 2,6 miljoner euro.</w:t>
      </w:r>
    </w:p>
    <w:p w:rsidR="00F318FD" w:rsidRPr="00DC7A0C" w:rsidRDefault="00F21901" w:rsidP="00074652">
      <w:pPr>
        <w:pStyle w:val="ANormal"/>
      </w:pPr>
      <w:r w:rsidRPr="00DC7A0C">
        <w:tab/>
      </w:r>
      <w:r w:rsidR="00963E35" w:rsidRPr="00DC7A0C">
        <w:t xml:space="preserve">Utskottet konstaterar att när konkurrenskraftsavtalet löper ut </w:t>
      </w:r>
      <w:r w:rsidR="00F318FD" w:rsidRPr="00DC7A0C">
        <w:t>efter år 2019 kommer lönekostnaderna att öka ige</w:t>
      </w:r>
      <w:r w:rsidR="00963E35" w:rsidRPr="00DC7A0C">
        <w:t>n</w:t>
      </w:r>
      <w:r w:rsidR="00DD200A" w:rsidRPr="00DC7A0C">
        <w:t>, eftersom den avtalade sän</w:t>
      </w:r>
      <w:r w:rsidR="00DD200A" w:rsidRPr="00DC7A0C">
        <w:t>k</w:t>
      </w:r>
      <w:r w:rsidR="00DD200A" w:rsidRPr="00DC7A0C">
        <w:t>ningen av semesterpenningen upphör</w:t>
      </w:r>
      <w:r w:rsidR="00F318FD" w:rsidRPr="00DC7A0C">
        <w:t>.</w:t>
      </w:r>
    </w:p>
    <w:p w:rsidR="006219B7" w:rsidRDefault="006219B7" w:rsidP="00074652">
      <w:pPr>
        <w:pStyle w:val="ANormal"/>
        <w:rPr>
          <w:color w:val="FF0000"/>
        </w:rPr>
      </w:pPr>
    </w:p>
    <w:p w:rsidR="00F21901" w:rsidRDefault="006219B7" w:rsidP="006219B7">
      <w:pPr>
        <w:pStyle w:val="RubrikC"/>
      </w:pPr>
      <w:bookmarkStart w:id="11" w:name="_Toc516128719"/>
      <w:r>
        <w:t>Köptjänster</w:t>
      </w:r>
      <w:bookmarkEnd w:id="11"/>
    </w:p>
    <w:p w:rsidR="006219B7" w:rsidRPr="006219B7" w:rsidRDefault="006219B7" w:rsidP="006219B7">
      <w:pPr>
        <w:pStyle w:val="Rubrikmellanrum"/>
      </w:pPr>
    </w:p>
    <w:p w:rsidR="006219B7" w:rsidRPr="00DC7A0C" w:rsidRDefault="006219B7" w:rsidP="00074652">
      <w:pPr>
        <w:pStyle w:val="ANormal"/>
      </w:pPr>
      <w:r w:rsidRPr="00DC7A0C">
        <w:t xml:space="preserve">Utskottet konstaterar att köp av tjänster har ökat med 1,2 miljoner euro och </w:t>
      </w:r>
      <w:proofErr w:type="gramStart"/>
      <w:r w:rsidRPr="00DC7A0C">
        <w:t>erfar</w:t>
      </w:r>
      <w:proofErr w:type="gramEnd"/>
      <w:r w:rsidRPr="00DC7A0C">
        <w:t xml:space="preserve"> att landskapsregeringen har för avsikt att analysera förhållandet me</w:t>
      </w:r>
      <w:r w:rsidRPr="00DC7A0C">
        <w:t>l</w:t>
      </w:r>
      <w:r w:rsidRPr="00DC7A0C">
        <w:t>lan personalkostnader och köp av tjänster.</w:t>
      </w:r>
      <w:r w:rsidR="007C1486" w:rsidRPr="00DC7A0C">
        <w:t xml:space="preserve"> Utskottet betonar vikten av att detta genomförs och ser fram emot resultatet av analysen.</w:t>
      </w:r>
    </w:p>
    <w:p w:rsidR="007C1486" w:rsidRDefault="007C1486" w:rsidP="00074652">
      <w:pPr>
        <w:pStyle w:val="ANormal"/>
        <w:rPr>
          <w:color w:val="FF0000"/>
        </w:rPr>
      </w:pPr>
    </w:p>
    <w:p w:rsidR="007C1486" w:rsidRDefault="007C1486" w:rsidP="007C1486">
      <w:pPr>
        <w:pStyle w:val="RubrikC"/>
      </w:pPr>
      <w:bookmarkStart w:id="12" w:name="_Toc516128720"/>
      <w:r>
        <w:t>Resultat och likviditet</w:t>
      </w:r>
      <w:bookmarkEnd w:id="12"/>
    </w:p>
    <w:p w:rsidR="007C1486" w:rsidRPr="007C1486" w:rsidRDefault="007C1486" w:rsidP="007C1486">
      <w:pPr>
        <w:pStyle w:val="Rubrikmellanrum"/>
      </w:pPr>
    </w:p>
    <w:p w:rsidR="00A855FB" w:rsidRDefault="00A855FB" w:rsidP="00074652">
      <w:pPr>
        <w:pStyle w:val="ANormal"/>
        <w:rPr>
          <w:color w:val="808080" w:themeColor="background1" w:themeShade="80"/>
        </w:rPr>
      </w:pPr>
      <w:r>
        <w:t>Vid en jämförelse av resultaträkningen</w:t>
      </w:r>
      <w:r w:rsidR="00074652" w:rsidRPr="00C6611C">
        <w:t xml:space="preserve"> med budgeten, då man exkludera</w:t>
      </w:r>
      <w:r>
        <w:t>r</w:t>
      </w:r>
      <w:r w:rsidR="00074652" w:rsidRPr="00C6611C">
        <w:t xml:space="preserve"> de extraordinära posterna, kan man konstatera att verksamhetsbidraget är </w:t>
      </w:r>
      <w:r w:rsidR="00EC68F1" w:rsidRPr="00C6611C">
        <w:t>23</w:t>
      </w:r>
      <w:r w:rsidR="001D2A05" w:rsidRPr="00C6611C">
        <w:t>,</w:t>
      </w:r>
      <w:r w:rsidR="00EC68F1" w:rsidRPr="00C6611C">
        <w:t>0</w:t>
      </w:r>
      <w:r w:rsidR="001D2A05" w:rsidRPr="00C6611C">
        <w:t xml:space="preserve"> </w:t>
      </w:r>
      <w:r w:rsidR="00074652" w:rsidRPr="00C6611C">
        <w:t xml:space="preserve">miljoner euro bättre än </w:t>
      </w:r>
      <w:r>
        <w:t xml:space="preserve">det </w:t>
      </w:r>
      <w:r w:rsidR="00074652" w:rsidRPr="00C6611C">
        <w:t>budget</w:t>
      </w:r>
      <w:r>
        <w:t>erade beloppet</w:t>
      </w:r>
      <w:r w:rsidR="00074652" w:rsidRPr="00C6611C">
        <w:t xml:space="preserve">, årsbidraget </w:t>
      </w:r>
      <w:r w:rsidR="007115B4" w:rsidRPr="00C6611C">
        <w:t>13,1</w:t>
      </w:r>
      <w:r w:rsidR="00074652" w:rsidRPr="00C6611C">
        <w:t xml:space="preserve"> mi</w:t>
      </w:r>
      <w:r w:rsidR="00074652" w:rsidRPr="00C6611C">
        <w:t>l</w:t>
      </w:r>
      <w:r w:rsidR="00074652" w:rsidRPr="00C6611C">
        <w:t xml:space="preserve">joner euro bättre än budget och årets resultat </w:t>
      </w:r>
      <w:r w:rsidR="007115B4" w:rsidRPr="00C6611C">
        <w:t>13</w:t>
      </w:r>
      <w:r w:rsidR="00074652" w:rsidRPr="00C6611C">
        <w:t>,</w:t>
      </w:r>
      <w:r w:rsidR="007115B4" w:rsidRPr="00C6611C">
        <w:t>6</w:t>
      </w:r>
      <w:r w:rsidR="00074652" w:rsidRPr="00C6611C">
        <w:t xml:space="preserve"> miljoner euro bättre än budget.</w:t>
      </w:r>
      <w:r w:rsidR="00074652" w:rsidRPr="00074652">
        <w:rPr>
          <w:color w:val="808080" w:themeColor="background1" w:themeShade="80"/>
        </w:rPr>
        <w:tab/>
      </w:r>
    </w:p>
    <w:p w:rsidR="00B94710" w:rsidRDefault="00A855FB" w:rsidP="00074652">
      <w:pPr>
        <w:pStyle w:val="ANormal"/>
      </w:pPr>
      <w:r>
        <w:rPr>
          <w:color w:val="808080" w:themeColor="background1" w:themeShade="80"/>
        </w:rPr>
        <w:tab/>
      </w:r>
      <w:r w:rsidR="00074652" w:rsidRPr="00857757">
        <w:t>Landskapets likviditet i form av banktillgodohavanden och kortfristiga placeringar uppgick 31.12.201</w:t>
      </w:r>
      <w:r w:rsidR="009335E1" w:rsidRPr="00857757">
        <w:t>7</w:t>
      </w:r>
      <w:r w:rsidR="00074652" w:rsidRPr="00857757">
        <w:t xml:space="preserve"> till </w:t>
      </w:r>
      <w:r w:rsidR="009335E1" w:rsidRPr="00857757">
        <w:t>6</w:t>
      </w:r>
      <w:r w:rsidRPr="00857757">
        <w:t>5</w:t>
      </w:r>
      <w:r w:rsidR="009335E1" w:rsidRPr="00857757">
        <w:t>,</w:t>
      </w:r>
      <w:r w:rsidRPr="00857757">
        <w:t>6</w:t>
      </w:r>
      <w:r w:rsidR="00074652" w:rsidRPr="00857757">
        <w:t xml:space="preserve"> miljoner euro, vilket ska jämföras med föregående år då likviditeten var </w:t>
      </w:r>
      <w:r w:rsidRPr="00857757">
        <w:t>49</w:t>
      </w:r>
      <w:r w:rsidR="00074652" w:rsidRPr="00857757">
        <w:t>,</w:t>
      </w:r>
      <w:r w:rsidRPr="00857757">
        <w:t>5</w:t>
      </w:r>
      <w:r w:rsidR="00074652" w:rsidRPr="00857757">
        <w:t xml:space="preserve"> miljoner euro. </w:t>
      </w:r>
      <w:r w:rsidRPr="00857757">
        <w:t>I dessa siffror i</w:t>
      </w:r>
      <w:r w:rsidRPr="00857757">
        <w:t>n</w:t>
      </w:r>
      <w:r w:rsidRPr="00857757">
        <w:t xml:space="preserve">går också likviditeten i fastighetsverket och ÅHS. Eftersom </w:t>
      </w:r>
      <w:r w:rsidR="00857757" w:rsidRPr="00857757">
        <w:t>en del av pe</w:t>
      </w:r>
      <w:r w:rsidR="00857757" w:rsidRPr="00857757">
        <w:t>n</w:t>
      </w:r>
      <w:r w:rsidR="00857757" w:rsidRPr="00857757">
        <w:t xml:space="preserve">ningmedlen är låsta i stipendiefonder och liknande utgör de medel som är operativt tillgängliga för landskapets verksamhet ett lägre belopp än vad som framkommer i bokslutet. </w:t>
      </w:r>
      <w:r w:rsidR="00857757">
        <w:t xml:space="preserve">Utskottet har </w:t>
      </w:r>
      <w:proofErr w:type="gramStart"/>
      <w:r w:rsidR="00857757">
        <w:t>erfarit</w:t>
      </w:r>
      <w:proofErr w:type="gramEnd"/>
      <w:r w:rsidR="00857757">
        <w:t xml:space="preserve"> att </w:t>
      </w:r>
      <w:r w:rsidR="00857757" w:rsidRPr="00857757">
        <w:t>den operativa likvid</w:t>
      </w:r>
      <w:r w:rsidR="00857757" w:rsidRPr="00857757">
        <w:t>i</w:t>
      </w:r>
      <w:r w:rsidR="00857757" w:rsidRPr="00857757">
        <w:t xml:space="preserve">teten </w:t>
      </w:r>
      <w:r w:rsidR="00857757">
        <w:t xml:space="preserve">uppgick </w:t>
      </w:r>
      <w:r w:rsidR="00857757" w:rsidRPr="00857757">
        <w:t>till cirka 61,5 miljoner euro</w:t>
      </w:r>
      <w:r w:rsidR="00857757">
        <w:t xml:space="preserve"> v</w:t>
      </w:r>
      <w:r w:rsidR="00857757" w:rsidRPr="00857757">
        <w:t>id årsskiftet 2017/2018.</w:t>
      </w:r>
    </w:p>
    <w:p w:rsidR="007C1486" w:rsidRDefault="007C1486" w:rsidP="00074652">
      <w:pPr>
        <w:pStyle w:val="ANormal"/>
      </w:pPr>
    </w:p>
    <w:p w:rsidR="007C1486" w:rsidRDefault="007C1486" w:rsidP="007C1486">
      <w:pPr>
        <w:pStyle w:val="RubrikC"/>
      </w:pPr>
      <w:bookmarkStart w:id="13" w:name="_Toc516128721"/>
      <w:r>
        <w:t>Lönesystemet</w:t>
      </w:r>
      <w:bookmarkEnd w:id="13"/>
    </w:p>
    <w:p w:rsidR="007C1486" w:rsidRPr="007C1486" w:rsidRDefault="007C1486" w:rsidP="007C1486">
      <w:pPr>
        <w:pStyle w:val="Rubrikmellanrum"/>
      </w:pPr>
    </w:p>
    <w:p w:rsidR="00074652" w:rsidRDefault="00B94710" w:rsidP="00074652">
      <w:pPr>
        <w:pStyle w:val="ANormal"/>
      </w:pPr>
      <w:r w:rsidRPr="00B94710">
        <w:t>U</w:t>
      </w:r>
      <w:r w:rsidR="00074652" w:rsidRPr="00B94710">
        <w:t xml:space="preserve">tskottet </w:t>
      </w:r>
      <w:r w:rsidRPr="00B94710">
        <w:t xml:space="preserve">konstaterar </w:t>
      </w:r>
      <w:r w:rsidR="00074652" w:rsidRPr="00B94710">
        <w:t>fortsättningsvis</w:t>
      </w:r>
      <w:r w:rsidR="00857757">
        <w:t>,</w:t>
      </w:r>
      <w:r w:rsidR="00074652" w:rsidRPr="00B94710">
        <w:t xml:space="preserve"> i enlighet med vad man tidigare framfört</w:t>
      </w:r>
      <w:r w:rsidR="00857757">
        <w:t>,</w:t>
      </w:r>
      <w:r w:rsidR="00074652" w:rsidRPr="00B94710">
        <w:t xml:space="preserve"> att det är av största vikt att det nya lönesystemets personaladm</w:t>
      </w:r>
      <w:r w:rsidR="00074652" w:rsidRPr="00B94710">
        <w:t>i</w:t>
      </w:r>
      <w:r w:rsidR="00074652" w:rsidRPr="00B94710">
        <w:t>nistrativa delar sätts igång så fort det är möjligt för att få fram mer kvalif</w:t>
      </w:r>
      <w:r w:rsidR="00074652" w:rsidRPr="00B94710">
        <w:t>i</w:t>
      </w:r>
      <w:r w:rsidR="00074652" w:rsidRPr="00B94710">
        <w:t xml:space="preserve">cerad personalstatistik än vad som är fallet idag. Utskottet har </w:t>
      </w:r>
      <w:r w:rsidRPr="00B94710">
        <w:t xml:space="preserve">dock </w:t>
      </w:r>
      <w:proofErr w:type="gramStart"/>
      <w:r w:rsidR="00074652" w:rsidRPr="00B94710">
        <w:t>erfarit</w:t>
      </w:r>
      <w:proofErr w:type="gramEnd"/>
      <w:r w:rsidR="00074652" w:rsidRPr="00B94710">
        <w:t xml:space="preserve"> att </w:t>
      </w:r>
      <w:r w:rsidRPr="00B94710">
        <w:t xml:space="preserve">leveransen och igångsättandet av </w:t>
      </w:r>
      <w:r w:rsidR="00074652" w:rsidRPr="00B94710">
        <w:t xml:space="preserve">nya lönesystemet </w:t>
      </w:r>
      <w:r w:rsidRPr="00B94710">
        <w:t>har varit</w:t>
      </w:r>
      <w:r w:rsidR="00C324A1">
        <w:t xml:space="preserve"> och är</w:t>
      </w:r>
      <w:r w:rsidRPr="00B94710">
        <w:t xml:space="preserve"> fö</w:t>
      </w:r>
      <w:r w:rsidRPr="00B94710">
        <w:t>r</w:t>
      </w:r>
      <w:r w:rsidRPr="00B94710">
        <w:t>knippat med stora problem</w:t>
      </w:r>
      <w:r w:rsidR="00074652" w:rsidRPr="00B94710">
        <w:t>.</w:t>
      </w:r>
      <w:r w:rsidR="00831E23">
        <w:t xml:space="preserve"> </w:t>
      </w:r>
    </w:p>
    <w:p w:rsidR="007C1486" w:rsidRDefault="007C1486" w:rsidP="00074652">
      <w:pPr>
        <w:pStyle w:val="ANormal"/>
      </w:pPr>
    </w:p>
    <w:p w:rsidR="007C1486" w:rsidRDefault="007C1486" w:rsidP="007C1486">
      <w:pPr>
        <w:pStyle w:val="RubrikC"/>
      </w:pPr>
      <w:bookmarkStart w:id="14" w:name="_Toc516128722"/>
      <w:r>
        <w:lastRenderedPageBreak/>
        <w:t>Övriga påpekanden</w:t>
      </w:r>
      <w:bookmarkEnd w:id="14"/>
    </w:p>
    <w:p w:rsidR="007C1486" w:rsidRPr="007C1486" w:rsidRDefault="007C1486" w:rsidP="007C1486">
      <w:pPr>
        <w:pStyle w:val="Rubrikmellanrum"/>
      </w:pPr>
    </w:p>
    <w:p w:rsidR="00074652" w:rsidRPr="00B96D48" w:rsidRDefault="00074652" w:rsidP="00074652">
      <w:pPr>
        <w:pStyle w:val="ANormal"/>
      </w:pPr>
      <w:r w:rsidRPr="00074652">
        <w:rPr>
          <w:color w:val="808080" w:themeColor="background1" w:themeShade="80"/>
        </w:rPr>
        <w:tab/>
      </w:r>
      <w:r w:rsidR="00B94710" w:rsidRPr="00B96D48">
        <w:t xml:space="preserve">Utskottet framhöll i sitt betänkande över årsredovisningen för 2016 att </w:t>
      </w:r>
      <w:r w:rsidRPr="00B96D48">
        <w:t xml:space="preserve">den så kallade PAF-snurran, där man budgeterar och återför PAF-medel som intäkter respektive kostnader, snarast borde överges. </w:t>
      </w:r>
      <w:r w:rsidR="00B94710" w:rsidRPr="00B96D48">
        <w:t xml:space="preserve">Utskottet har </w:t>
      </w:r>
      <w:proofErr w:type="gramStart"/>
      <w:r w:rsidR="00B94710" w:rsidRPr="00B96D48">
        <w:t>e</w:t>
      </w:r>
      <w:r w:rsidR="00B94710" w:rsidRPr="00B96D48">
        <w:t>r</w:t>
      </w:r>
      <w:r w:rsidR="00B94710" w:rsidRPr="00B96D48">
        <w:t>farit</w:t>
      </w:r>
      <w:proofErr w:type="gramEnd"/>
      <w:r w:rsidR="00B94710" w:rsidRPr="00B96D48">
        <w:t xml:space="preserve"> att avsikten är att upphöra med förfarandet under 2018, vilket är til</w:t>
      </w:r>
      <w:r w:rsidR="00B94710" w:rsidRPr="00B96D48">
        <w:t>l</w:t>
      </w:r>
      <w:r w:rsidR="00B94710" w:rsidRPr="00B96D48">
        <w:t>fredsställande.</w:t>
      </w:r>
      <w:r w:rsidRPr="00B96D48">
        <w:tab/>
        <w:t xml:space="preserve">Utskottet noterar avslutningsvis att driftreserveringen om en miljon euro för ÅHS verksamhet </w:t>
      </w:r>
      <w:r w:rsidR="00B94710" w:rsidRPr="00B96D48">
        <w:t xml:space="preserve">fortfarande </w:t>
      </w:r>
      <w:r w:rsidRPr="00B96D48">
        <w:t xml:space="preserve">är kvar i bokslutet </w:t>
      </w:r>
      <w:r w:rsidR="00B94710" w:rsidRPr="00B96D48">
        <w:t>i strid mot god bokföringssed, vilket utskottet påpekade i sitt betänkande för 2016.</w:t>
      </w:r>
    </w:p>
    <w:p w:rsidR="002401D0" w:rsidRPr="00506820" w:rsidRDefault="00D255C3">
      <w:pPr>
        <w:pStyle w:val="ANormal"/>
      </w:pPr>
      <w:r w:rsidRPr="00D255C3">
        <w:rPr>
          <w:i/>
        </w:rPr>
        <w:tab/>
      </w:r>
      <w:r w:rsidR="009C3ECD" w:rsidRPr="00506820">
        <w:t xml:space="preserve">Utskottet lyfte i fjolårets betänkande upp </w:t>
      </w:r>
      <w:r w:rsidR="00F23C7C" w:rsidRPr="00506820">
        <w:t>frågan om att landskapsreg</w:t>
      </w:r>
      <w:r w:rsidR="00F23C7C" w:rsidRPr="00506820">
        <w:t>e</w:t>
      </w:r>
      <w:r w:rsidR="00F23C7C" w:rsidRPr="00506820">
        <w:t xml:space="preserve">ringen bör </w:t>
      </w:r>
      <w:r w:rsidR="009C3ECD" w:rsidRPr="00506820">
        <w:t xml:space="preserve">överväga </w:t>
      </w:r>
      <w:r w:rsidR="00F23C7C" w:rsidRPr="00506820">
        <w:t>a</w:t>
      </w:r>
      <w:r w:rsidR="009C3ECD" w:rsidRPr="00506820">
        <w:t xml:space="preserve">tt </w:t>
      </w:r>
      <w:r w:rsidR="00F23C7C" w:rsidRPr="00506820">
        <w:t>uppgöra</w:t>
      </w:r>
      <w:r w:rsidR="009C3ECD" w:rsidRPr="00506820">
        <w:t xml:space="preserve"> koncernbokslut. Utskottet </w:t>
      </w:r>
      <w:proofErr w:type="gramStart"/>
      <w:r w:rsidR="009C3ECD" w:rsidRPr="00506820">
        <w:t>erfar</w:t>
      </w:r>
      <w:proofErr w:type="gramEnd"/>
      <w:r w:rsidR="009C3ECD" w:rsidRPr="00506820">
        <w:t xml:space="preserve"> att det n</w:t>
      </w:r>
      <w:r w:rsidR="009C3ECD" w:rsidRPr="00506820">
        <w:t>u</w:t>
      </w:r>
      <w:r w:rsidR="009C3ECD" w:rsidRPr="00506820">
        <w:t>varande ekonomisystemet inte stöder uppgörandet av ett koncernbokslut, men att det på sikt kan bli nödvändigt i och med att allt större enheter ve</w:t>
      </w:r>
      <w:r w:rsidR="009C3ECD" w:rsidRPr="00506820">
        <w:t>r</w:t>
      </w:r>
      <w:r w:rsidR="009C3ECD" w:rsidRPr="00506820">
        <w:t>kar utanför budgetekonomin och den nuvarande resultat- och balansrä</w:t>
      </w:r>
      <w:r w:rsidR="009C3ECD" w:rsidRPr="00506820">
        <w:t>k</w:t>
      </w:r>
      <w:r w:rsidR="009C3ECD" w:rsidRPr="00506820">
        <w:t>ningen.</w:t>
      </w:r>
      <w:r w:rsidR="00930631" w:rsidRPr="00506820">
        <w:t xml:space="preserve"> Förutom Landskapets fastighetsverk äger landskapet </w:t>
      </w:r>
      <w:r w:rsidR="00366A7E" w:rsidRPr="00506820">
        <w:t>50 %</w:t>
      </w:r>
      <w:r w:rsidR="007C1486" w:rsidRPr="00506820">
        <w:t xml:space="preserve"> eller mer</w:t>
      </w:r>
      <w:r w:rsidR="00366A7E" w:rsidRPr="00506820">
        <w:t xml:space="preserve"> i </w:t>
      </w:r>
      <w:r w:rsidR="00930631" w:rsidRPr="00506820">
        <w:t xml:space="preserve">följande bolag som </w:t>
      </w:r>
      <w:r w:rsidR="004A0E23" w:rsidRPr="00506820">
        <w:t xml:space="preserve">högst sannolikt </w:t>
      </w:r>
      <w:r w:rsidR="00930631" w:rsidRPr="00506820">
        <w:t>skulle ingå i ett koncernbokslut: Kraftnät Åland ab, Långnäs Hamn ab, Ålands Fastighets ab, Posten Åland ab,</w:t>
      </w:r>
      <w:r w:rsidR="009E7FCC" w:rsidRPr="00506820">
        <w:t xml:space="preserve"> </w:t>
      </w:r>
      <w:r w:rsidR="00930631" w:rsidRPr="00506820">
        <w:t xml:space="preserve">Ålands Radio </w:t>
      </w:r>
      <w:r w:rsidR="00366A7E" w:rsidRPr="00506820">
        <w:t>&amp; TV Ab, Ålands Utvecklings Ab</w:t>
      </w:r>
      <w:r w:rsidR="004A0E23" w:rsidRPr="00506820">
        <w:t xml:space="preserve"> och</w:t>
      </w:r>
      <w:r w:rsidR="00366A7E" w:rsidRPr="00506820">
        <w:t xml:space="preserve"> Åda Ab</w:t>
      </w:r>
      <w:r w:rsidR="004A0E23" w:rsidRPr="00506820">
        <w:t>.</w:t>
      </w:r>
      <w:r w:rsidR="00366A7E" w:rsidRPr="00506820">
        <w:t xml:space="preserve">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5" w:name="_Toc529800936"/>
      <w:bookmarkStart w:id="16" w:name="_Toc516128723"/>
      <w:r>
        <w:t>Ärendets behandling</w:t>
      </w:r>
      <w:bookmarkEnd w:id="15"/>
      <w:bookmarkEnd w:id="16"/>
    </w:p>
    <w:p w:rsidR="002401D0" w:rsidRDefault="002401D0">
      <w:pPr>
        <w:pStyle w:val="Rubrikmellanrum"/>
      </w:pPr>
    </w:p>
    <w:p w:rsidR="0028660F" w:rsidRDefault="0028660F" w:rsidP="0028660F">
      <w:pPr>
        <w:pStyle w:val="ANormal"/>
      </w:pPr>
      <w:r>
        <w:rPr>
          <w:szCs w:val="22"/>
        </w:rPr>
        <w:t>Lagtinget har den 2</w:t>
      </w:r>
      <w:r w:rsidR="00C772BB">
        <w:rPr>
          <w:szCs w:val="22"/>
        </w:rPr>
        <w:t>8</w:t>
      </w:r>
      <w:r>
        <w:rPr>
          <w:szCs w:val="22"/>
        </w:rPr>
        <w:t xml:space="preserve"> april 2018 </w:t>
      </w:r>
      <w:proofErr w:type="spellStart"/>
      <w:r>
        <w:rPr>
          <w:szCs w:val="22"/>
        </w:rPr>
        <w:t>inbegärt</w:t>
      </w:r>
      <w:proofErr w:type="spellEnd"/>
      <w:r>
        <w:rPr>
          <w:szCs w:val="22"/>
        </w:rPr>
        <w:t xml:space="preserve"> finans- och näringsutskottets yt</w:t>
      </w:r>
      <w:r>
        <w:rPr>
          <w:szCs w:val="22"/>
        </w:rPr>
        <w:t>t</w:t>
      </w:r>
      <w:r>
        <w:rPr>
          <w:szCs w:val="22"/>
        </w:rPr>
        <w:t>rande över budgetförslaget.</w:t>
      </w:r>
    </w:p>
    <w:p w:rsidR="0028660F" w:rsidRDefault="0028660F" w:rsidP="0028660F">
      <w:pPr>
        <w:pStyle w:val="ANormal"/>
      </w:pPr>
      <w:r w:rsidRPr="0004644E">
        <w:tab/>
      </w:r>
      <w:r>
        <w:t>Utskottet har i ärendet hört</w:t>
      </w:r>
      <w:r w:rsidR="00C772BB">
        <w:t xml:space="preserve"> ministern Mats </w:t>
      </w:r>
      <w:proofErr w:type="spellStart"/>
      <w:r w:rsidR="00AB6B1C">
        <w:t>P</w:t>
      </w:r>
      <w:r w:rsidR="00C772BB">
        <w:t>erämaa</w:t>
      </w:r>
      <w:proofErr w:type="spellEnd"/>
      <w:r w:rsidR="00C772BB">
        <w:t>, finanschefen Conny Nyholm, redovisningschefen Susanna Mattsson</w:t>
      </w:r>
      <w:r w:rsidR="00A629BF">
        <w:t>, landskapsrevisorn Dan Bergman, hälso- och sjukvårdsdirektören Jeanette Pajunen och t.f. ekonomichefen Joachim Eriksson vid ÅHS</w:t>
      </w:r>
      <w:r w:rsidR="00B96D48">
        <w:t xml:space="preserve"> samt</w:t>
      </w:r>
      <w:r w:rsidR="00A629BF">
        <w:t xml:space="preserve"> pers</w:t>
      </w:r>
      <w:r w:rsidR="00B96D48">
        <w:t xml:space="preserve">onalchefen Pia </w:t>
      </w:r>
      <w:proofErr w:type="spellStart"/>
      <w:r w:rsidR="00B96D48">
        <w:t>Hollstén</w:t>
      </w:r>
      <w:proofErr w:type="spellEnd"/>
      <w:r w:rsidR="00B96D48">
        <w:t>-Friman vid regeringskansliet.</w:t>
      </w:r>
    </w:p>
    <w:p w:rsidR="0028660F" w:rsidRDefault="0028660F" w:rsidP="0028660F">
      <w:pPr>
        <w:pStyle w:val="ANormal"/>
      </w:pPr>
      <w:r>
        <w:tab/>
      </w:r>
      <w:r w:rsidRPr="00445762">
        <w:t>I ärendets a</w:t>
      </w:r>
      <w:r>
        <w:t>vgörande behandling deltog</w:t>
      </w:r>
      <w:r w:rsidRPr="00445762">
        <w:t xml:space="preserve"> </w:t>
      </w:r>
      <w:r>
        <w:t xml:space="preserve">ordföranden Petri Carlsson, vice ordförande Göte </w:t>
      </w:r>
      <w:proofErr w:type="spellStart"/>
      <w:r>
        <w:t>Winé</w:t>
      </w:r>
      <w:proofErr w:type="spellEnd"/>
      <w:r w:rsidRPr="00DB5ECA">
        <w:t xml:space="preserve"> </w:t>
      </w:r>
      <w:r>
        <w:t>samt</w:t>
      </w:r>
      <w:r w:rsidRPr="00DB5ECA">
        <w:t xml:space="preserve"> ledamöterna John Holmberg,</w:t>
      </w:r>
      <w:r>
        <w:t xml:space="preserve"> Lars Häggblom, Stephan Toivonen</w:t>
      </w:r>
      <w:r w:rsidR="00506820">
        <w:t xml:space="preserve"> samt ersättaren Mikael </w:t>
      </w:r>
      <w:proofErr w:type="spellStart"/>
      <w:r w:rsidR="00506820">
        <w:t>Staffas</w:t>
      </w:r>
      <w:proofErr w:type="spellEnd"/>
      <w:r>
        <w:t>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7" w:name="_Toc529800937"/>
      <w:bookmarkStart w:id="18" w:name="_Toc516128724"/>
      <w:r>
        <w:t>Utskottets förslag</w:t>
      </w:r>
      <w:bookmarkEnd w:id="17"/>
      <w:bookmarkEnd w:id="18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7730AE" w:rsidRDefault="002401D0" w:rsidP="0028660F">
      <w:pPr>
        <w:pStyle w:val="Klam"/>
      </w:pPr>
      <w:r>
        <w:t>att lagtinget</w:t>
      </w:r>
      <w:r w:rsidR="0028660F">
        <w:rPr>
          <w:szCs w:val="22"/>
        </w:rPr>
        <w:t xml:space="preserve"> </w:t>
      </w:r>
      <w:r w:rsidR="0028660F" w:rsidRPr="00700244">
        <w:t>antecknar sig landskapsregeringens redogörelse över årsredovisningen per den 31.12.201</w:t>
      </w:r>
      <w:r w:rsidR="0028660F">
        <w:t xml:space="preserve">7 jämte </w:t>
      </w:r>
      <w:r w:rsidR="0028660F" w:rsidRPr="00700244">
        <w:t xml:space="preserve">landskapsrevisionens berättelse </w:t>
      </w:r>
      <w:r w:rsidR="0028660F">
        <w:t xml:space="preserve">för kännedom </w:t>
      </w:r>
      <w:r w:rsidR="0028660F" w:rsidRPr="00700244">
        <w:t xml:space="preserve">samt </w:t>
      </w:r>
    </w:p>
    <w:p w:rsidR="004F27E9" w:rsidRPr="004F27E9" w:rsidRDefault="004F27E9" w:rsidP="004F27E9">
      <w:pPr>
        <w:pStyle w:val="ANormal"/>
      </w:pPr>
    </w:p>
    <w:p w:rsidR="0028660F" w:rsidRPr="00700244" w:rsidRDefault="0028660F" w:rsidP="0028660F">
      <w:pPr>
        <w:pStyle w:val="Klam"/>
      </w:pPr>
      <w:proofErr w:type="gramStart"/>
      <w:r w:rsidRPr="00700244">
        <w:t>att utskottets betänkande bringas till landskapsregeringens känn</w:t>
      </w:r>
      <w:r w:rsidRPr="00700244">
        <w:t>e</w:t>
      </w:r>
      <w:r w:rsidRPr="00700244">
        <w:t>dom.</w:t>
      </w:r>
      <w:proofErr w:type="gramEnd"/>
    </w:p>
    <w:p w:rsidR="002401D0" w:rsidRDefault="002401D0">
      <w:pPr>
        <w:pStyle w:val="Klam"/>
      </w:pPr>
    </w:p>
    <w:p w:rsidR="002401D0" w:rsidRDefault="00CA7FC0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F90A79">
            <w:pPr>
              <w:pStyle w:val="ANormal"/>
              <w:keepNext/>
            </w:pPr>
            <w:r>
              <w:t xml:space="preserve">Mariehamn den </w:t>
            </w:r>
            <w:r w:rsidR="00F90A79">
              <w:t>7</w:t>
            </w:r>
            <w:r w:rsidR="0028660F">
              <w:t xml:space="preserve"> </w:t>
            </w:r>
            <w:r w:rsidR="00CD704E">
              <w:t>juni</w:t>
            </w:r>
            <w:r w:rsidR="0028660F">
              <w:t xml:space="preserve">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8660F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8660F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72" w:rsidRDefault="00431F72">
      <w:r>
        <w:separator/>
      </w:r>
    </w:p>
  </w:endnote>
  <w:endnote w:type="continuationSeparator" w:id="0">
    <w:p w:rsidR="00431F72" w:rsidRDefault="0043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72" w:rsidRDefault="00431F7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72" w:rsidRDefault="00431F7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145DC">
      <w:rPr>
        <w:noProof/>
        <w:lang w:val="fi-FI"/>
      </w:rPr>
      <w:t>FNU1520172018.docx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72" w:rsidRDefault="00431F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72" w:rsidRDefault="00431F72">
      <w:r>
        <w:separator/>
      </w:r>
    </w:p>
  </w:footnote>
  <w:footnote w:type="continuationSeparator" w:id="0">
    <w:p w:rsidR="00431F72" w:rsidRDefault="0043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72" w:rsidRDefault="00431F7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A7FC0">
      <w:rPr>
        <w:rStyle w:val="Sidnummer"/>
        <w:noProof/>
      </w:rPr>
      <w:t>2</w:t>
    </w:r>
    <w:r>
      <w:rPr>
        <w:rStyle w:val="Sidnummer"/>
      </w:rPr>
      <w:fldChar w:fldCharType="end"/>
    </w:r>
  </w:p>
  <w:p w:rsidR="00431F72" w:rsidRDefault="00431F7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72" w:rsidRDefault="00431F7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A7FC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C85"/>
    <w:rsid w:val="0000155F"/>
    <w:rsid w:val="00015E9C"/>
    <w:rsid w:val="00023409"/>
    <w:rsid w:val="00051556"/>
    <w:rsid w:val="00074652"/>
    <w:rsid w:val="000B2DC9"/>
    <w:rsid w:val="000F7417"/>
    <w:rsid w:val="00104E9F"/>
    <w:rsid w:val="00140161"/>
    <w:rsid w:val="0015337C"/>
    <w:rsid w:val="001B131E"/>
    <w:rsid w:val="001D2A05"/>
    <w:rsid w:val="002401D0"/>
    <w:rsid w:val="0028660F"/>
    <w:rsid w:val="003145DC"/>
    <w:rsid w:val="0036359C"/>
    <w:rsid w:val="00366A7E"/>
    <w:rsid w:val="00384C67"/>
    <w:rsid w:val="00396C85"/>
    <w:rsid w:val="00431F72"/>
    <w:rsid w:val="004A0E23"/>
    <w:rsid w:val="004A43C6"/>
    <w:rsid w:val="004F27E9"/>
    <w:rsid w:val="00506820"/>
    <w:rsid w:val="0053343B"/>
    <w:rsid w:val="006219B7"/>
    <w:rsid w:val="0066595E"/>
    <w:rsid w:val="006B2E9E"/>
    <w:rsid w:val="00702060"/>
    <w:rsid w:val="007115B4"/>
    <w:rsid w:val="00723B93"/>
    <w:rsid w:val="00752D7B"/>
    <w:rsid w:val="007730AE"/>
    <w:rsid w:val="007C1486"/>
    <w:rsid w:val="00811D50"/>
    <w:rsid w:val="00817B04"/>
    <w:rsid w:val="00830A55"/>
    <w:rsid w:val="00831E23"/>
    <w:rsid w:val="00857757"/>
    <w:rsid w:val="008F11A4"/>
    <w:rsid w:val="00930631"/>
    <w:rsid w:val="009335E1"/>
    <w:rsid w:val="00957C36"/>
    <w:rsid w:val="00963E35"/>
    <w:rsid w:val="00984B19"/>
    <w:rsid w:val="009B418F"/>
    <w:rsid w:val="009C3ECD"/>
    <w:rsid w:val="009D73B2"/>
    <w:rsid w:val="009E038E"/>
    <w:rsid w:val="009E7FCC"/>
    <w:rsid w:val="009F7CE2"/>
    <w:rsid w:val="00A629BF"/>
    <w:rsid w:val="00A855FB"/>
    <w:rsid w:val="00AB6B1C"/>
    <w:rsid w:val="00B266EA"/>
    <w:rsid w:val="00B32E91"/>
    <w:rsid w:val="00B36A8F"/>
    <w:rsid w:val="00B45252"/>
    <w:rsid w:val="00B90DEC"/>
    <w:rsid w:val="00B94710"/>
    <w:rsid w:val="00B96D48"/>
    <w:rsid w:val="00C25CBC"/>
    <w:rsid w:val="00C324A1"/>
    <w:rsid w:val="00C6611C"/>
    <w:rsid w:val="00C772BB"/>
    <w:rsid w:val="00CA7FC0"/>
    <w:rsid w:val="00CB087E"/>
    <w:rsid w:val="00CD704E"/>
    <w:rsid w:val="00CE5256"/>
    <w:rsid w:val="00CF700E"/>
    <w:rsid w:val="00D255C3"/>
    <w:rsid w:val="00DC45B2"/>
    <w:rsid w:val="00DC7A0C"/>
    <w:rsid w:val="00DD200A"/>
    <w:rsid w:val="00E45CFC"/>
    <w:rsid w:val="00E855FF"/>
    <w:rsid w:val="00EC68F1"/>
    <w:rsid w:val="00F21901"/>
    <w:rsid w:val="00F23C7C"/>
    <w:rsid w:val="00F318FD"/>
    <w:rsid w:val="00F77544"/>
    <w:rsid w:val="00F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28660F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B266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66EA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s02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3</Pages>
  <Words>1323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15/2017-2018</vt:lpstr>
    </vt:vector>
  </TitlesOfParts>
  <Company>Ålands lagting</Company>
  <LinksUpToDate>false</LinksUpToDate>
  <CharactersWithSpaces>8324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15/2017-2018</dc:title>
  <dc:creator>Jessica Laaksonen</dc:creator>
  <cp:lastModifiedBy>Jessica Laaksonen</cp:lastModifiedBy>
  <cp:revision>3</cp:revision>
  <cp:lastPrinted>2018-06-06T09:33:00Z</cp:lastPrinted>
  <dcterms:created xsi:type="dcterms:W3CDTF">2018-06-07T08:32:00Z</dcterms:created>
  <dcterms:modified xsi:type="dcterms:W3CDTF">2018-06-07T09:08:00Z</dcterms:modified>
</cp:coreProperties>
</file>