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B7170" w:rsidRPr="000B7170" w:rsidTr="00864FA6">
        <w:trPr>
          <w:cantSplit/>
          <w:trHeight w:val="20"/>
        </w:trPr>
        <w:tc>
          <w:tcPr>
            <w:tcW w:w="858" w:type="dxa"/>
          </w:tcPr>
          <w:p w:rsidR="000E14E2" w:rsidRPr="000B7170" w:rsidRDefault="000E14E2">
            <w:pPr>
              <w:pStyle w:val="xLedtext"/>
              <w:keepNext/>
              <w:rPr>
                <w:noProof/>
              </w:rPr>
            </w:pPr>
          </w:p>
        </w:tc>
        <w:tc>
          <w:tcPr>
            <w:tcW w:w="8723" w:type="dxa"/>
            <w:gridSpan w:val="3"/>
            <w:vAlign w:val="bottom"/>
          </w:tcPr>
          <w:p w:rsidR="000E14E2" w:rsidRPr="000B7170" w:rsidRDefault="006F687A">
            <w:pPr>
              <w:pStyle w:val="xMellanrum"/>
            </w:pPr>
            <w:r w:rsidRPr="000B7170">
              <w:rPr>
                <w:noProof/>
                <w:lang w:val="sv-FI" w:eastAsia="sv-FI"/>
              </w:rPr>
              <w:drawing>
                <wp:inline distT="0" distB="0" distL="0" distR="0" wp14:anchorId="5DCC465B" wp14:editId="00B3FAC9">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7170" w:rsidRPr="000B7170" w:rsidTr="000E14E2">
        <w:trPr>
          <w:cantSplit/>
          <w:trHeight w:val="299"/>
        </w:trPr>
        <w:tc>
          <w:tcPr>
            <w:tcW w:w="5300" w:type="dxa"/>
            <w:gridSpan w:val="2"/>
            <w:vMerge w:val="restart"/>
          </w:tcPr>
          <w:p w:rsidR="00864FA6" w:rsidRPr="000B7170" w:rsidRDefault="006F687A">
            <w:pPr>
              <w:pStyle w:val="xAvsandare1"/>
            </w:pPr>
            <w:r w:rsidRPr="000B7170">
              <w:rPr>
                <w:noProof/>
                <w:lang w:val="sv-FI" w:eastAsia="sv-FI"/>
              </w:rPr>
              <w:drawing>
                <wp:inline distT="0" distB="0" distL="0" distR="0" wp14:anchorId="13A8AFD0" wp14:editId="496D7A48">
                  <wp:extent cx="1809115" cy="468630"/>
                  <wp:effectExtent l="0" t="0" r="0" b="0"/>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115" cy="468630"/>
                          </a:xfrm>
                          <a:prstGeom prst="rect">
                            <a:avLst/>
                          </a:prstGeom>
                          <a:noFill/>
                          <a:ln>
                            <a:noFill/>
                          </a:ln>
                        </pic:spPr>
                      </pic:pic>
                    </a:graphicData>
                  </a:graphic>
                </wp:inline>
              </w:drawing>
            </w:r>
          </w:p>
        </w:tc>
        <w:tc>
          <w:tcPr>
            <w:tcW w:w="4288" w:type="dxa"/>
            <w:gridSpan w:val="2"/>
            <w:vAlign w:val="bottom"/>
          </w:tcPr>
          <w:p w:rsidR="00864FA6" w:rsidRPr="000B7170" w:rsidRDefault="00B17433" w:rsidP="009A4355">
            <w:pPr>
              <w:pStyle w:val="xDokTypNr"/>
            </w:pPr>
            <w:r w:rsidRPr="000B7170">
              <w:t>REDOGÖ</w:t>
            </w:r>
            <w:r w:rsidR="009A4355" w:rsidRPr="000B7170">
              <w:t>RELSE nr 1/201</w:t>
            </w:r>
            <w:r w:rsidR="00D81F90" w:rsidRPr="000B7170">
              <w:t>7</w:t>
            </w:r>
            <w:r w:rsidR="00864FA6" w:rsidRPr="000B7170">
              <w:t>-201</w:t>
            </w:r>
            <w:r w:rsidR="00D81F90" w:rsidRPr="000B7170">
              <w:t>8</w:t>
            </w:r>
          </w:p>
        </w:tc>
      </w:tr>
      <w:tr w:rsidR="000B7170" w:rsidRPr="000B7170" w:rsidTr="00864FA6">
        <w:trPr>
          <w:cantSplit/>
          <w:trHeight w:val="238"/>
        </w:trPr>
        <w:tc>
          <w:tcPr>
            <w:tcW w:w="5296" w:type="dxa"/>
            <w:gridSpan w:val="2"/>
            <w:vMerge/>
          </w:tcPr>
          <w:p w:rsidR="00864FA6" w:rsidRPr="000B7170" w:rsidRDefault="00864FA6">
            <w:pPr>
              <w:pStyle w:val="xLedtext"/>
            </w:pPr>
          </w:p>
        </w:tc>
        <w:tc>
          <w:tcPr>
            <w:tcW w:w="1721" w:type="dxa"/>
            <w:vAlign w:val="bottom"/>
          </w:tcPr>
          <w:p w:rsidR="00864FA6" w:rsidRPr="000B7170" w:rsidRDefault="00864FA6">
            <w:pPr>
              <w:pStyle w:val="xLedtext"/>
            </w:pPr>
            <w:r w:rsidRPr="000B7170">
              <w:t>Datum</w:t>
            </w:r>
          </w:p>
        </w:tc>
        <w:tc>
          <w:tcPr>
            <w:tcW w:w="2564" w:type="dxa"/>
            <w:vAlign w:val="bottom"/>
          </w:tcPr>
          <w:p w:rsidR="00864FA6" w:rsidRPr="000B7170" w:rsidRDefault="00864FA6" w:rsidP="00F343BD">
            <w:pPr>
              <w:pStyle w:val="xLedtext"/>
            </w:pPr>
          </w:p>
        </w:tc>
      </w:tr>
      <w:tr w:rsidR="000B7170" w:rsidRPr="000B7170" w:rsidTr="00864FA6">
        <w:trPr>
          <w:cantSplit/>
          <w:trHeight w:val="238"/>
        </w:trPr>
        <w:tc>
          <w:tcPr>
            <w:tcW w:w="5296" w:type="dxa"/>
            <w:gridSpan w:val="2"/>
            <w:vMerge/>
          </w:tcPr>
          <w:p w:rsidR="00864FA6" w:rsidRPr="000B7170" w:rsidRDefault="00864FA6">
            <w:pPr>
              <w:pStyle w:val="xAvsandare2"/>
            </w:pPr>
          </w:p>
        </w:tc>
        <w:tc>
          <w:tcPr>
            <w:tcW w:w="1721" w:type="dxa"/>
            <w:vAlign w:val="center"/>
          </w:tcPr>
          <w:p w:rsidR="00864FA6" w:rsidRPr="000B7170" w:rsidRDefault="00D81F90" w:rsidP="00850D2A">
            <w:pPr>
              <w:pStyle w:val="xDatum1"/>
            </w:pPr>
            <w:r w:rsidRPr="000B7170">
              <w:t>2018-</w:t>
            </w:r>
            <w:r w:rsidR="000B7170" w:rsidRPr="000B7170">
              <w:t>03-08</w:t>
            </w:r>
          </w:p>
        </w:tc>
        <w:tc>
          <w:tcPr>
            <w:tcW w:w="2564" w:type="dxa"/>
            <w:vAlign w:val="center"/>
          </w:tcPr>
          <w:p w:rsidR="00864FA6" w:rsidRPr="000B7170" w:rsidRDefault="00864FA6">
            <w:pPr>
              <w:pStyle w:val="xBeteckning1"/>
            </w:pPr>
          </w:p>
        </w:tc>
      </w:tr>
      <w:tr w:rsidR="000B7170" w:rsidRPr="000B7170" w:rsidTr="00864FA6">
        <w:trPr>
          <w:cantSplit/>
          <w:trHeight w:val="238"/>
        </w:trPr>
        <w:tc>
          <w:tcPr>
            <w:tcW w:w="5296" w:type="dxa"/>
            <w:gridSpan w:val="2"/>
          </w:tcPr>
          <w:p w:rsidR="00850D2A" w:rsidRPr="000B7170" w:rsidRDefault="00850D2A">
            <w:pPr>
              <w:pStyle w:val="xLedtext"/>
            </w:pPr>
          </w:p>
        </w:tc>
        <w:tc>
          <w:tcPr>
            <w:tcW w:w="1721" w:type="dxa"/>
            <w:vAlign w:val="bottom"/>
          </w:tcPr>
          <w:p w:rsidR="00850D2A" w:rsidRPr="000B7170" w:rsidRDefault="00850D2A">
            <w:pPr>
              <w:pStyle w:val="xLedtext"/>
            </w:pPr>
          </w:p>
        </w:tc>
        <w:tc>
          <w:tcPr>
            <w:tcW w:w="2564" w:type="dxa"/>
            <w:vAlign w:val="bottom"/>
          </w:tcPr>
          <w:p w:rsidR="00850D2A" w:rsidRPr="000B7170" w:rsidRDefault="00850D2A">
            <w:pPr>
              <w:pStyle w:val="xLedtext"/>
            </w:pPr>
          </w:p>
        </w:tc>
      </w:tr>
      <w:tr w:rsidR="000B7170" w:rsidRPr="000B7170" w:rsidTr="00864FA6">
        <w:trPr>
          <w:cantSplit/>
          <w:trHeight w:val="238"/>
        </w:trPr>
        <w:tc>
          <w:tcPr>
            <w:tcW w:w="5296" w:type="dxa"/>
            <w:gridSpan w:val="2"/>
            <w:tcBorders>
              <w:bottom w:val="single" w:sz="4" w:space="0" w:color="auto"/>
            </w:tcBorders>
          </w:tcPr>
          <w:p w:rsidR="00850D2A" w:rsidRPr="000B7170" w:rsidRDefault="00850D2A">
            <w:pPr>
              <w:pStyle w:val="xAvsandare3"/>
            </w:pPr>
          </w:p>
        </w:tc>
        <w:tc>
          <w:tcPr>
            <w:tcW w:w="1721" w:type="dxa"/>
            <w:tcBorders>
              <w:bottom w:val="single" w:sz="4" w:space="0" w:color="auto"/>
            </w:tcBorders>
            <w:vAlign w:val="center"/>
          </w:tcPr>
          <w:p w:rsidR="00850D2A" w:rsidRPr="000B7170" w:rsidRDefault="00850D2A">
            <w:pPr>
              <w:pStyle w:val="xDatum2"/>
            </w:pPr>
          </w:p>
        </w:tc>
        <w:tc>
          <w:tcPr>
            <w:tcW w:w="2564" w:type="dxa"/>
            <w:tcBorders>
              <w:bottom w:val="single" w:sz="4" w:space="0" w:color="auto"/>
            </w:tcBorders>
            <w:vAlign w:val="center"/>
          </w:tcPr>
          <w:p w:rsidR="00850D2A" w:rsidRPr="000B7170" w:rsidRDefault="00850D2A">
            <w:pPr>
              <w:pStyle w:val="xBeteckning2"/>
            </w:pPr>
          </w:p>
        </w:tc>
      </w:tr>
      <w:tr w:rsidR="000B7170" w:rsidRPr="000B7170" w:rsidTr="00864FA6">
        <w:trPr>
          <w:cantSplit/>
          <w:trHeight w:val="238"/>
        </w:trPr>
        <w:tc>
          <w:tcPr>
            <w:tcW w:w="858" w:type="dxa"/>
            <w:tcBorders>
              <w:top w:val="single" w:sz="4" w:space="0" w:color="auto"/>
            </w:tcBorders>
            <w:vAlign w:val="bottom"/>
          </w:tcPr>
          <w:p w:rsidR="000E14E2" w:rsidRPr="000B7170" w:rsidRDefault="000E14E2">
            <w:pPr>
              <w:pStyle w:val="xLedtext"/>
            </w:pPr>
          </w:p>
        </w:tc>
        <w:tc>
          <w:tcPr>
            <w:tcW w:w="4438" w:type="dxa"/>
            <w:tcBorders>
              <w:top w:val="single" w:sz="4" w:space="0" w:color="auto"/>
            </w:tcBorders>
            <w:vAlign w:val="bottom"/>
          </w:tcPr>
          <w:p w:rsidR="000E14E2" w:rsidRPr="000B7170" w:rsidRDefault="000E14E2">
            <w:pPr>
              <w:pStyle w:val="xLedtext"/>
            </w:pPr>
          </w:p>
        </w:tc>
        <w:tc>
          <w:tcPr>
            <w:tcW w:w="4285" w:type="dxa"/>
            <w:gridSpan w:val="2"/>
            <w:tcBorders>
              <w:top w:val="single" w:sz="4" w:space="0" w:color="auto"/>
            </w:tcBorders>
            <w:vAlign w:val="bottom"/>
          </w:tcPr>
          <w:p w:rsidR="000E14E2" w:rsidRPr="000B7170" w:rsidRDefault="000E14E2">
            <w:pPr>
              <w:pStyle w:val="xLedtext"/>
            </w:pPr>
          </w:p>
        </w:tc>
      </w:tr>
      <w:tr w:rsidR="000B7170" w:rsidRPr="000B7170" w:rsidTr="00864FA6">
        <w:trPr>
          <w:cantSplit/>
          <w:trHeight w:val="238"/>
        </w:trPr>
        <w:tc>
          <w:tcPr>
            <w:tcW w:w="858" w:type="dxa"/>
          </w:tcPr>
          <w:p w:rsidR="000E14E2" w:rsidRPr="000B7170" w:rsidRDefault="000E14E2">
            <w:pPr>
              <w:pStyle w:val="xCelltext"/>
            </w:pPr>
          </w:p>
        </w:tc>
        <w:tc>
          <w:tcPr>
            <w:tcW w:w="4438" w:type="dxa"/>
            <w:vMerge w:val="restart"/>
          </w:tcPr>
          <w:p w:rsidR="000E14E2" w:rsidRPr="000B7170" w:rsidRDefault="000E14E2">
            <w:pPr>
              <w:pStyle w:val="xMottagare1"/>
            </w:pPr>
            <w:r w:rsidRPr="000B7170">
              <w:t>Till Ålands lagting</w:t>
            </w:r>
          </w:p>
        </w:tc>
        <w:tc>
          <w:tcPr>
            <w:tcW w:w="4285" w:type="dxa"/>
            <w:gridSpan w:val="2"/>
            <w:vMerge w:val="restart"/>
          </w:tcPr>
          <w:p w:rsidR="000E14E2" w:rsidRPr="000B7170" w:rsidRDefault="000E14E2">
            <w:pPr>
              <w:pStyle w:val="xMottagare1"/>
              <w:tabs>
                <w:tab w:val="left" w:pos="2349"/>
              </w:tabs>
              <w:rPr>
                <w:lang w:val="sv-FI"/>
              </w:rPr>
            </w:pPr>
          </w:p>
        </w:tc>
      </w:tr>
      <w:tr w:rsidR="000B7170" w:rsidRPr="000B7170" w:rsidTr="00864FA6">
        <w:trPr>
          <w:cantSplit/>
          <w:trHeight w:val="238"/>
        </w:trPr>
        <w:tc>
          <w:tcPr>
            <w:tcW w:w="858" w:type="dxa"/>
          </w:tcPr>
          <w:p w:rsidR="000E14E2" w:rsidRPr="000B7170" w:rsidRDefault="000E14E2">
            <w:pPr>
              <w:pStyle w:val="xCelltext"/>
            </w:pPr>
          </w:p>
        </w:tc>
        <w:tc>
          <w:tcPr>
            <w:tcW w:w="4438" w:type="dxa"/>
            <w:vMerge/>
            <w:vAlign w:val="center"/>
          </w:tcPr>
          <w:p w:rsidR="000E14E2" w:rsidRPr="000B7170" w:rsidRDefault="000E14E2">
            <w:pPr>
              <w:pStyle w:val="xCelltext"/>
            </w:pPr>
          </w:p>
        </w:tc>
        <w:tc>
          <w:tcPr>
            <w:tcW w:w="4285" w:type="dxa"/>
            <w:gridSpan w:val="2"/>
            <w:vMerge/>
            <w:vAlign w:val="center"/>
          </w:tcPr>
          <w:p w:rsidR="000E14E2" w:rsidRPr="000B7170" w:rsidRDefault="000E14E2">
            <w:pPr>
              <w:pStyle w:val="xCelltext"/>
            </w:pPr>
          </w:p>
        </w:tc>
      </w:tr>
      <w:tr w:rsidR="000B7170" w:rsidRPr="000B7170" w:rsidTr="00864FA6">
        <w:trPr>
          <w:cantSplit/>
          <w:trHeight w:val="238"/>
        </w:trPr>
        <w:tc>
          <w:tcPr>
            <w:tcW w:w="858" w:type="dxa"/>
          </w:tcPr>
          <w:p w:rsidR="000E14E2" w:rsidRPr="000B7170" w:rsidRDefault="000E14E2">
            <w:pPr>
              <w:pStyle w:val="xCelltext"/>
            </w:pPr>
          </w:p>
        </w:tc>
        <w:tc>
          <w:tcPr>
            <w:tcW w:w="4438" w:type="dxa"/>
            <w:vMerge/>
            <w:vAlign w:val="center"/>
          </w:tcPr>
          <w:p w:rsidR="000E14E2" w:rsidRPr="000B7170" w:rsidRDefault="000E14E2">
            <w:pPr>
              <w:pStyle w:val="xCelltext"/>
            </w:pPr>
          </w:p>
        </w:tc>
        <w:tc>
          <w:tcPr>
            <w:tcW w:w="4285" w:type="dxa"/>
            <w:gridSpan w:val="2"/>
            <w:vMerge/>
            <w:vAlign w:val="center"/>
          </w:tcPr>
          <w:p w:rsidR="000E14E2" w:rsidRPr="000B7170" w:rsidRDefault="000E14E2">
            <w:pPr>
              <w:pStyle w:val="xCelltext"/>
            </w:pPr>
          </w:p>
        </w:tc>
      </w:tr>
      <w:tr w:rsidR="000B7170" w:rsidRPr="000B7170" w:rsidTr="00864FA6">
        <w:trPr>
          <w:cantSplit/>
          <w:trHeight w:val="238"/>
        </w:trPr>
        <w:tc>
          <w:tcPr>
            <w:tcW w:w="858" w:type="dxa"/>
          </w:tcPr>
          <w:p w:rsidR="000E14E2" w:rsidRPr="000B7170" w:rsidRDefault="000E14E2">
            <w:pPr>
              <w:pStyle w:val="xCelltext"/>
            </w:pPr>
          </w:p>
        </w:tc>
        <w:tc>
          <w:tcPr>
            <w:tcW w:w="4438" w:type="dxa"/>
            <w:vMerge/>
            <w:vAlign w:val="center"/>
          </w:tcPr>
          <w:p w:rsidR="000E14E2" w:rsidRPr="000B7170" w:rsidRDefault="000E14E2">
            <w:pPr>
              <w:pStyle w:val="xCelltext"/>
            </w:pPr>
          </w:p>
        </w:tc>
        <w:tc>
          <w:tcPr>
            <w:tcW w:w="4285" w:type="dxa"/>
            <w:gridSpan w:val="2"/>
            <w:vMerge/>
            <w:vAlign w:val="center"/>
          </w:tcPr>
          <w:p w:rsidR="000E14E2" w:rsidRPr="000B7170" w:rsidRDefault="000E14E2">
            <w:pPr>
              <w:pStyle w:val="xCelltext"/>
            </w:pPr>
          </w:p>
        </w:tc>
      </w:tr>
      <w:tr w:rsidR="000B7170" w:rsidRPr="000B7170" w:rsidTr="00864FA6">
        <w:trPr>
          <w:cantSplit/>
          <w:trHeight w:val="238"/>
        </w:trPr>
        <w:tc>
          <w:tcPr>
            <w:tcW w:w="858" w:type="dxa"/>
          </w:tcPr>
          <w:p w:rsidR="000E14E2" w:rsidRPr="000B7170" w:rsidRDefault="000E14E2">
            <w:pPr>
              <w:pStyle w:val="xCelltext"/>
            </w:pPr>
          </w:p>
        </w:tc>
        <w:tc>
          <w:tcPr>
            <w:tcW w:w="4438" w:type="dxa"/>
            <w:vMerge/>
            <w:vAlign w:val="center"/>
          </w:tcPr>
          <w:p w:rsidR="000E14E2" w:rsidRPr="000B7170" w:rsidRDefault="000E14E2">
            <w:pPr>
              <w:pStyle w:val="xCelltext"/>
            </w:pPr>
          </w:p>
        </w:tc>
        <w:tc>
          <w:tcPr>
            <w:tcW w:w="4285" w:type="dxa"/>
            <w:gridSpan w:val="2"/>
            <w:vMerge/>
            <w:vAlign w:val="center"/>
          </w:tcPr>
          <w:p w:rsidR="000E14E2" w:rsidRPr="000B7170" w:rsidRDefault="000E14E2">
            <w:pPr>
              <w:pStyle w:val="xCelltext"/>
            </w:pPr>
          </w:p>
        </w:tc>
      </w:tr>
    </w:tbl>
    <w:p w:rsidR="000E14E2" w:rsidRPr="000B7170" w:rsidRDefault="000E14E2">
      <w:pPr>
        <w:rPr>
          <w:b/>
          <w:bCs/>
        </w:rPr>
        <w:sectPr w:rsidR="000E14E2" w:rsidRPr="000B7170">
          <w:footerReference w:type="even" r:id="rId11"/>
          <w:footerReference w:type="default" r:id="rId12"/>
          <w:pgSz w:w="11906" w:h="16838" w:code="9"/>
          <w:pgMar w:top="567" w:right="1134" w:bottom="1134" w:left="1191" w:header="624" w:footer="851" w:gutter="0"/>
          <w:cols w:space="708"/>
          <w:docGrid w:linePitch="360"/>
        </w:sectPr>
      </w:pPr>
    </w:p>
    <w:p w:rsidR="000D4EC1" w:rsidRPr="000B7170" w:rsidRDefault="000D4EC1" w:rsidP="000D4EC1">
      <w:pPr>
        <w:pStyle w:val="ArendeRubrik"/>
      </w:pPr>
      <w:r w:rsidRPr="000B7170">
        <w:lastRenderedPageBreak/>
        <w:t>REDOGÖRELSE ÖVER SJÄLVST</w:t>
      </w:r>
      <w:r w:rsidR="00735091" w:rsidRPr="000B7170">
        <w:t>YRELSEPOLITISKA FRÅGOR ENLIGT 36</w:t>
      </w:r>
      <w:r w:rsidRPr="000B7170">
        <w:t xml:space="preserve"> § ARBETSORDNINGEN FÖR ÅLANDS LAGTING.</w:t>
      </w:r>
    </w:p>
    <w:p w:rsidR="000E14E2" w:rsidRPr="000B7170" w:rsidRDefault="000E14E2">
      <w:pPr>
        <w:pStyle w:val="ArendeRubrik"/>
      </w:pPr>
    </w:p>
    <w:p w:rsidR="000D4EC1" w:rsidRPr="000B7170" w:rsidRDefault="000D4EC1" w:rsidP="000D4EC1">
      <w:pPr>
        <w:pStyle w:val="ANormal"/>
      </w:pPr>
      <w:r w:rsidRPr="000B7170">
        <w:t>Landskapsregeringen överlämnar härmed den i 3</w:t>
      </w:r>
      <w:r w:rsidR="00821BFE" w:rsidRPr="000B7170">
        <w:t>6</w:t>
      </w:r>
      <w:r w:rsidRPr="000B7170">
        <w:t xml:space="preserve"> § arbetsordningen för Ålands lagting föreskriva redogörelse över självstyrelsepolitiska frågor av väsentlig natur. Redogör</w:t>
      </w:r>
      <w:r w:rsidR="00912A83" w:rsidRPr="000B7170">
        <w:t xml:space="preserve">elsen avser tiden från </w:t>
      </w:r>
      <w:r w:rsidR="005C6BE0" w:rsidRPr="000B7170">
        <w:t>18</w:t>
      </w:r>
      <w:r w:rsidR="00912A83" w:rsidRPr="000B7170">
        <w:t xml:space="preserve"> mars 201</w:t>
      </w:r>
      <w:r w:rsidR="00D81F90" w:rsidRPr="000B7170">
        <w:t>7</w:t>
      </w:r>
      <w:r w:rsidR="00AF5E6A" w:rsidRPr="000B7170">
        <w:t xml:space="preserve"> </w:t>
      </w:r>
      <w:r w:rsidRPr="000B7170">
        <w:t>fram till ti</w:t>
      </w:r>
      <w:r w:rsidR="00084D5E" w:rsidRPr="000B7170">
        <w:t>d</w:t>
      </w:r>
      <w:r w:rsidRPr="000B7170">
        <w:t>punkten för överlämnandet.</w:t>
      </w:r>
    </w:p>
    <w:p w:rsidR="000D4EC1" w:rsidRPr="000B7170" w:rsidRDefault="000D4EC1" w:rsidP="000D4EC1">
      <w:pPr>
        <w:pStyle w:val="ANormal"/>
      </w:pPr>
    </w:p>
    <w:p w:rsidR="000D4EC1" w:rsidRPr="000B7170" w:rsidRDefault="000D4EC1" w:rsidP="000D4EC1">
      <w:pPr>
        <w:pStyle w:val="ANormal"/>
      </w:pPr>
      <w:r w:rsidRPr="000B7170">
        <w:t xml:space="preserve">Mariehamn den </w:t>
      </w:r>
      <w:r w:rsidR="000B7170" w:rsidRPr="000B7170">
        <w:t>8</w:t>
      </w:r>
      <w:r w:rsidRPr="000B7170">
        <w:t xml:space="preserve"> mars 201</w:t>
      </w:r>
      <w:r w:rsidR="00D81F90" w:rsidRPr="000B7170">
        <w:t>8</w:t>
      </w:r>
      <w:r w:rsidRPr="000B7170">
        <w:t>.</w:t>
      </w:r>
    </w:p>
    <w:p w:rsidR="000D4EC1" w:rsidRPr="000B7170" w:rsidRDefault="000D4EC1" w:rsidP="000D4EC1">
      <w:pPr>
        <w:pStyle w:val="ANormal"/>
      </w:pPr>
    </w:p>
    <w:p w:rsidR="000D4EC1" w:rsidRPr="000B7170" w:rsidRDefault="000D4EC1" w:rsidP="000D4EC1">
      <w:pPr>
        <w:pStyle w:val="ANormal"/>
      </w:pPr>
    </w:p>
    <w:p w:rsidR="000D4EC1" w:rsidRPr="000B7170" w:rsidRDefault="000D4EC1" w:rsidP="000D4EC1">
      <w:pPr>
        <w:pStyle w:val="ANormal"/>
      </w:pPr>
    </w:p>
    <w:p w:rsidR="000D4EC1" w:rsidRPr="000B7170" w:rsidRDefault="000B7170" w:rsidP="000D4EC1">
      <w:pPr>
        <w:pStyle w:val="ANormal"/>
      </w:pPr>
      <w:r w:rsidRPr="000B7170">
        <w:t>Vicelantråd</w:t>
      </w:r>
      <w:r w:rsidR="000D4EC1" w:rsidRPr="000B7170">
        <w:tab/>
      </w:r>
      <w:r w:rsidR="000D4EC1" w:rsidRPr="000B7170">
        <w:tab/>
      </w:r>
      <w:r w:rsidRPr="000B7170">
        <w:t>Camilla Gunell</w:t>
      </w:r>
    </w:p>
    <w:p w:rsidR="000D4EC1" w:rsidRPr="000B7170" w:rsidRDefault="000D4EC1" w:rsidP="000D4EC1">
      <w:pPr>
        <w:pStyle w:val="ANormal"/>
      </w:pPr>
    </w:p>
    <w:p w:rsidR="000D4EC1" w:rsidRPr="000B7170" w:rsidRDefault="000D4EC1" w:rsidP="000D4EC1">
      <w:pPr>
        <w:pStyle w:val="ANormal"/>
      </w:pPr>
    </w:p>
    <w:p w:rsidR="000D4EC1" w:rsidRPr="000B7170" w:rsidRDefault="000D4EC1" w:rsidP="000D4EC1">
      <w:pPr>
        <w:pStyle w:val="ANormal"/>
      </w:pPr>
    </w:p>
    <w:p w:rsidR="000D4EC1" w:rsidRPr="000B7170" w:rsidRDefault="00251F53" w:rsidP="000D4EC1">
      <w:pPr>
        <w:pStyle w:val="ANormal"/>
      </w:pPr>
      <w:r w:rsidRPr="000B7170">
        <w:t>Minister</w:t>
      </w:r>
      <w:r w:rsidRPr="000B7170">
        <w:tab/>
      </w:r>
      <w:r w:rsidRPr="000B7170">
        <w:tab/>
      </w:r>
      <w:r w:rsidRPr="000B7170">
        <w:tab/>
        <w:t>Mats Perämaa</w:t>
      </w:r>
    </w:p>
    <w:p w:rsidR="000D4EC1" w:rsidRPr="000B7170" w:rsidRDefault="000D4EC1"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C61E8" w:rsidRPr="000B7170" w:rsidRDefault="000C61E8" w:rsidP="000D4EC1">
      <w:pPr>
        <w:pStyle w:val="ArendeUnderRubrik"/>
        <w:numPr>
          <w:ilvl w:val="0"/>
          <w:numId w:val="0"/>
        </w:numPr>
        <w:ind w:left="283" w:hanging="283"/>
      </w:pPr>
    </w:p>
    <w:p w:rsidR="000E14E2" w:rsidRPr="000B7170" w:rsidRDefault="000E14E2">
      <w:pPr>
        <w:pStyle w:val="ANormal"/>
      </w:pPr>
    </w:p>
    <w:p w:rsidR="000E14E2" w:rsidRPr="000B7170" w:rsidRDefault="000E14E2">
      <w:pPr>
        <w:pStyle w:val="Innehll1"/>
      </w:pPr>
      <w:r w:rsidRPr="000B7170">
        <w:lastRenderedPageBreak/>
        <w:t>INNEHÅLL</w:t>
      </w:r>
    </w:p>
    <w:p w:rsidR="000B7170" w:rsidRDefault="000E14E2">
      <w:pPr>
        <w:pStyle w:val="Innehll1"/>
        <w:rPr>
          <w:rFonts w:asciiTheme="minorHAnsi" w:eastAsiaTheme="minorEastAsia" w:hAnsiTheme="minorHAnsi" w:cstheme="minorBidi"/>
          <w:sz w:val="22"/>
          <w:szCs w:val="22"/>
          <w:lang w:val="sv-FI" w:eastAsia="sv-FI"/>
        </w:rPr>
      </w:pPr>
      <w:r w:rsidRPr="000B7170">
        <w:fldChar w:fldCharType="begin"/>
      </w:r>
      <w:r w:rsidRPr="000B7170">
        <w:instrText xml:space="preserve"> TOC \o "1-3" \h \z </w:instrText>
      </w:r>
      <w:r w:rsidRPr="000B7170">
        <w:fldChar w:fldCharType="separate"/>
      </w:r>
      <w:hyperlink w:anchor="_Toc508270986" w:history="1">
        <w:r w:rsidR="000B7170" w:rsidRPr="00410A44">
          <w:rPr>
            <w:rStyle w:val="Hyperlnk"/>
            <w:lang w:val="sv-FI" w:eastAsia="sv-FI"/>
          </w:rPr>
          <w:t>1. Självstyrelsesystemet</w:t>
        </w:r>
        <w:r w:rsidR="000B7170">
          <w:rPr>
            <w:webHidden/>
          </w:rPr>
          <w:tab/>
        </w:r>
        <w:r w:rsidR="000B7170">
          <w:rPr>
            <w:webHidden/>
          </w:rPr>
          <w:fldChar w:fldCharType="begin"/>
        </w:r>
        <w:r w:rsidR="000B7170">
          <w:rPr>
            <w:webHidden/>
          </w:rPr>
          <w:instrText xml:space="preserve"> PAGEREF _Toc508270986 \h </w:instrText>
        </w:r>
        <w:r w:rsidR="000B7170">
          <w:rPr>
            <w:webHidden/>
          </w:rPr>
        </w:r>
        <w:r w:rsidR="000B7170">
          <w:rPr>
            <w:webHidden/>
          </w:rPr>
          <w:fldChar w:fldCharType="separate"/>
        </w:r>
        <w:r w:rsidR="000B7170">
          <w:rPr>
            <w:webHidden/>
          </w:rPr>
          <w:t>3</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0987" w:history="1">
        <w:r w:rsidR="000B7170" w:rsidRPr="00410A44">
          <w:rPr>
            <w:rStyle w:val="Hyperlnk"/>
            <w:lang w:val="sv-FI" w:eastAsia="sv-FI"/>
          </w:rPr>
          <w:t>1.1 Reformering av självstyrelsesystemet</w:t>
        </w:r>
        <w:r w:rsidR="000B7170">
          <w:rPr>
            <w:webHidden/>
          </w:rPr>
          <w:tab/>
        </w:r>
        <w:r w:rsidR="000B7170">
          <w:rPr>
            <w:webHidden/>
          </w:rPr>
          <w:fldChar w:fldCharType="begin"/>
        </w:r>
        <w:r w:rsidR="000B7170">
          <w:rPr>
            <w:webHidden/>
          </w:rPr>
          <w:instrText xml:space="preserve"> PAGEREF _Toc508270987 \h </w:instrText>
        </w:r>
        <w:r w:rsidR="000B7170">
          <w:rPr>
            <w:webHidden/>
          </w:rPr>
        </w:r>
        <w:r w:rsidR="000B7170">
          <w:rPr>
            <w:webHidden/>
          </w:rPr>
          <w:fldChar w:fldCharType="separate"/>
        </w:r>
        <w:r w:rsidR="000B7170">
          <w:rPr>
            <w:webHidden/>
          </w:rPr>
          <w:t>3</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0988" w:history="1">
        <w:r w:rsidR="000B7170" w:rsidRPr="00410A44">
          <w:rPr>
            <w:rStyle w:val="Hyperlnk"/>
          </w:rPr>
          <w:t>1.2. Relationerna riket-Åland</w:t>
        </w:r>
        <w:r w:rsidR="000B7170">
          <w:rPr>
            <w:webHidden/>
          </w:rPr>
          <w:tab/>
        </w:r>
        <w:r w:rsidR="000B7170">
          <w:rPr>
            <w:webHidden/>
          </w:rPr>
          <w:fldChar w:fldCharType="begin"/>
        </w:r>
        <w:r w:rsidR="000B7170">
          <w:rPr>
            <w:webHidden/>
          </w:rPr>
          <w:instrText xml:space="preserve"> PAGEREF _Toc508270988 \h </w:instrText>
        </w:r>
        <w:r w:rsidR="000B7170">
          <w:rPr>
            <w:webHidden/>
          </w:rPr>
        </w:r>
        <w:r w:rsidR="000B7170">
          <w:rPr>
            <w:webHidden/>
          </w:rPr>
          <w:fldChar w:fldCharType="separate"/>
        </w:r>
        <w:r w:rsidR="000B7170">
          <w:rPr>
            <w:webHidden/>
          </w:rPr>
          <w:t>3</w:t>
        </w:r>
        <w:r w:rsidR="000B7170">
          <w:rPr>
            <w:webHidden/>
          </w:rPr>
          <w:fldChar w:fldCharType="end"/>
        </w:r>
      </w:hyperlink>
    </w:p>
    <w:p w:rsidR="000B7170" w:rsidRDefault="006B0ABB">
      <w:pPr>
        <w:pStyle w:val="Innehll1"/>
        <w:rPr>
          <w:rFonts w:asciiTheme="minorHAnsi" w:eastAsiaTheme="minorEastAsia" w:hAnsiTheme="minorHAnsi" w:cstheme="minorBidi"/>
          <w:sz w:val="22"/>
          <w:szCs w:val="22"/>
          <w:lang w:val="sv-FI" w:eastAsia="sv-FI"/>
        </w:rPr>
      </w:pPr>
      <w:hyperlink w:anchor="_Toc508270989" w:history="1">
        <w:r w:rsidR="000B7170" w:rsidRPr="00410A44">
          <w:rPr>
            <w:rStyle w:val="Hyperlnk"/>
          </w:rPr>
          <w:t>2. Svenska språket</w:t>
        </w:r>
        <w:r w:rsidR="000B7170">
          <w:rPr>
            <w:webHidden/>
          </w:rPr>
          <w:tab/>
        </w:r>
        <w:r w:rsidR="000B7170">
          <w:rPr>
            <w:webHidden/>
          </w:rPr>
          <w:fldChar w:fldCharType="begin"/>
        </w:r>
        <w:r w:rsidR="000B7170">
          <w:rPr>
            <w:webHidden/>
          </w:rPr>
          <w:instrText xml:space="preserve"> PAGEREF _Toc508270989 \h </w:instrText>
        </w:r>
        <w:r w:rsidR="000B7170">
          <w:rPr>
            <w:webHidden/>
          </w:rPr>
        </w:r>
        <w:r w:rsidR="000B7170">
          <w:rPr>
            <w:webHidden/>
          </w:rPr>
          <w:fldChar w:fldCharType="separate"/>
        </w:r>
        <w:r w:rsidR="000B7170">
          <w:rPr>
            <w:webHidden/>
          </w:rPr>
          <w:t>4</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0990" w:history="1">
        <w:r w:rsidR="000B7170" w:rsidRPr="00410A44">
          <w:rPr>
            <w:rStyle w:val="Hyperlnk"/>
            <w:rFonts w:eastAsia="Arial Unicode MS"/>
          </w:rPr>
          <w:t>2.1. Språket, allmänt</w:t>
        </w:r>
        <w:r w:rsidR="000B7170">
          <w:rPr>
            <w:webHidden/>
          </w:rPr>
          <w:tab/>
        </w:r>
        <w:r w:rsidR="000B7170">
          <w:rPr>
            <w:webHidden/>
          </w:rPr>
          <w:fldChar w:fldCharType="begin"/>
        </w:r>
        <w:r w:rsidR="000B7170">
          <w:rPr>
            <w:webHidden/>
          </w:rPr>
          <w:instrText xml:space="preserve"> PAGEREF _Toc508270990 \h </w:instrText>
        </w:r>
        <w:r w:rsidR="000B7170">
          <w:rPr>
            <w:webHidden/>
          </w:rPr>
        </w:r>
        <w:r w:rsidR="000B7170">
          <w:rPr>
            <w:webHidden/>
          </w:rPr>
          <w:fldChar w:fldCharType="separate"/>
        </w:r>
        <w:r w:rsidR="000B7170">
          <w:rPr>
            <w:webHidden/>
          </w:rPr>
          <w:t>4</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0991" w:history="1">
        <w:r w:rsidR="000B7170" w:rsidRPr="00410A44">
          <w:rPr>
            <w:rStyle w:val="Hyperlnk"/>
          </w:rPr>
          <w:t>2.2 Språkrådet</w:t>
        </w:r>
        <w:r w:rsidR="000B7170">
          <w:rPr>
            <w:webHidden/>
          </w:rPr>
          <w:tab/>
        </w:r>
        <w:r w:rsidR="000B7170">
          <w:rPr>
            <w:webHidden/>
          </w:rPr>
          <w:fldChar w:fldCharType="begin"/>
        </w:r>
        <w:r w:rsidR="000B7170">
          <w:rPr>
            <w:webHidden/>
          </w:rPr>
          <w:instrText xml:space="preserve"> PAGEREF _Toc508270991 \h </w:instrText>
        </w:r>
        <w:r w:rsidR="000B7170">
          <w:rPr>
            <w:webHidden/>
          </w:rPr>
        </w:r>
        <w:r w:rsidR="000B7170">
          <w:rPr>
            <w:webHidden/>
          </w:rPr>
          <w:fldChar w:fldCharType="separate"/>
        </w:r>
        <w:r w:rsidR="000B7170">
          <w:rPr>
            <w:webHidden/>
          </w:rPr>
          <w:t>5</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0992" w:history="1">
        <w:r w:rsidR="000B7170" w:rsidRPr="00410A44">
          <w:rPr>
            <w:rStyle w:val="Hyperlnk"/>
            <w:lang w:val="sv-FI" w:eastAsia="sv-FI"/>
          </w:rPr>
          <w:t>2.3 Översättning av God medicinsk praxis och Pharmaca Fennica</w:t>
        </w:r>
        <w:r w:rsidR="000B7170">
          <w:rPr>
            <w:webHidden/>
          </w:rPr>
          <w:tab/>
        </w:r>
        <w:r w:rsidR="000B7170">
          <w:rPr>
            <w:webHidden/>
          </w:rPr>
          <w:fldChar w:fldCharType="begin"/>
        </w:r>
        <w:r w:rsidR="000B7170">
          <w:rPr>
            <w:webHidden/>
          </w:rPr>
          <w:instrText xml:space="preserve"> PAGEREF _Toc508270992 \h </w:instrText>
        </w:r>
        <w:r w:rsidR="000B7170">
          <w:rPr>
            <w:webHidden/>
          </w:rPr>
        </w:r>
        <w:r w:rsidR="000B7170">
          <w:rPr>
            <w:webHidden/>
          </w:rPr>
          <w:fldChar w:fldCharType="separate"/>
        </w:r>
        <w:r w:rsidR="000B7170">
          <w:rPr>
            <w:webHidden/>
          </w:rPr>
          <w:t>5</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0993" w:history="1">
        <w:r w:rsidR="000B7170" w:rsidRPr="00410A44">
          <w:rPr>
            <w:rStyle w:val="Hyperlnk"/>
            <w:lang w:val="sv-FI" w:eastAsia="sv-FI"/>
          </w:rPr>
          <w:t>2.4 Sjukvård på svenska</w:t>
        </w:r>
        <w:r w:rsidR="000B7170">
          <w:rPr>
            <w:webHidden/>
          </w:rPr>
          <w:tab/>
        </w:r>
        <w:r w:rsidR="000B7170">
          <w:rPr>
            <w:webHidden/>
          </w:rPr>
          <w:fldChar w:fldCharType="begin"/>
        </w:r>
        <w:r w:rsidR="000B7170">
          <w:rPr>
            <w:webHidden/>
          </w:rPr>
          <w:instrText xml:space="preserve"> PAGEREF _Toc508270993 \h </w:instrText>
        </w:r>
        <w:r w:rsidR="000B7170">
          <w:rPr>
            <w:webHidden/>
          </w:rPr>
        </w:r>
        <w:r w:rsidR="000B7170">
          <w:rPr>
            <w:webHidden/>
          </w:rPr>
          <w:fldChar w:fldCharType="separate"/>
        </w:r>
        <w:r w:rsidR="000B7170">
          <w:rPr>
            <w:webHidden/>
          </w:rPr>
          <w:t>6</w:t>
        </w:r>
        <w:r w:rsidR="000B7170">
          <w:rPr>
            <w:webHidden/>
          </w:rPr>
          <w:fldChar w:fldCharType="end"/>
        </w:r>
      </w:hyperlink>
    </w:p>
    <w:p w:rsidR="000B7170" w:rsidRDefault="006B0ABB">
      <w:pPr>
        <w:pStyle w:val="Innehll1"/>
        <w:rPr>
          <w:rFonts w:asciiTheme="minorHAnsi" w:eastAsiaTheme="minorEastAsia" w:hAnsiTheme="minorHAnsi" w:cstheme="minorBidi"/>
          <w:sz w:val="22"/>
          <w:szCs w:val="22"/>
          <w:lang w:val="sv-FI" w:eastAsia="sv-FI"/>
        </w:rPr>
      </w:pPr>
      <w:hyperlink w:anchor="_Toc508270994" w:history="1">
        <w:r w:rsidR="000B7170" w:rsidRPr="00410A44">
          <w:rPr>
            <w:rStyle w:val="Hyperlnk"/>
          </w:rPr>
          <w:t>3. Körkortslagen  och straffbestämmelserna</w:t>
        </w:r>
        <w:r w:rsidR="000B7170">
          <w:rPr>
            <w:webHidden/>
          </w:rPr>
          <w:tab/>
        </w:r>
        <w:r w:rsidR="000B7170">
          <w:rPr>
            <w:webHidden/>
          </w:rPr>
          <w:fldChar w:fldCharType="begin"/>
        </w:r>
        <w:r w:rsidR="000B7170">
          <w:rPr>
            <w:webHidden/>
          </w:rPr>
          <w:instrText xml:space="preserve"> PAGEREF _Toc508270994 \h </w:instrText>
        </w:r>
        <w:r w:rsidR="000B7170">
          <w:rPr>
            <w:webHidden/>
          </w:rPr>
        </w:r>
        <w:r w:rsidR="000B7170">
          <w:rPr>
            <w:webHidden/>
          </w:rPr>
          <w:fldChar w:fldCharType="separate"/>
        </w:r>
        <w:r w:rsidR="000B7170">
          <w:rPr>
            <w:webHidden/>
          </w:rPr>
          <w:t>6</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0995" w:history="1">
        <w:r w:rsidR="000B7170" w:rsidRPr="00410A44">
          <w:rPr>
            <w:rStyle w:val="Hyperlnk"/>
          </w:rPr>
          <w:t>3.1 Domstolsbehandling</w:t>
        </w:r>
        <w:r w:rsidR="000B7170">
          <w:rPr>
            <w:webHidden/>
          </w:rPr>
          <w:tab/>
        </w:r>
        <w:r w:rsidR="000B7170">
          <w:rPr>
            <w:webHidden/>
          </w:rPr>
          <w:fldChar w:fldCharType="begin"/>
        </w:r>
        <w:r w:rsidR="000B7170">
          <w:rPr>
            <w:webHidden/>
          </w:rPr>
          <w:instrText xml:space="preserve"> PAGEREF _Toc508270995 \h </w:instrText>
        </w:r>
        <w:r w:rsidR="000B7170">
          <w:rPr>
            <w:webHidden/>
          </w:rPr>
        </w:r>
        <w:r w:rsidR="000B7170">
          <w:rPr>
            <w:webHidden/>
          </w:rPr>
          <w:fldChar w:fldCharType="separate"/>
        </w:r>
        <w:r w:rsidR="000B7170">
          <w:rPr>
            <w:webHidden/>
          </w:rPr>
          <w:t>7</w:t>
        </w:r>
        <w:r w:rsidR="000B7170">
          <w:rPr>
            <w:webHidden/>
          </w:rPr>
          <w:fldChar w:fldCharType="end"/>
        </w:r>
      </w:hyperlink>
    </w:p>
    <w:p w:rsidR="000B7170" w:rsidRDefault="006B0ABB">
      <w:pPr>
        <w:pStyle w:val="Innehll3"/>
        <w:rPr>
          <w:rFonts w:asciiTheme="minorHAnsi" w:eastAsiaTheme="minorEastAsia" w:hAnsiTheme="minorHAnsi" w:cstheme="minorBidi"/>
          <w:sz w:val="22"/>
          <w:szCs w:val="22"/>
          <w:lang w:val="sv-FI" w:eastAsia="sv-FI"/>
        </w:rPr>
      </w:pPr>
      <w:hyperlink w:anchor="_Toc508270996" w:history="1">
        <w:r w:rsidR="000B7170" w:rsidRPr="00410A44">
          <w:rPr>
            <w:rStyle w:val="Hyperlnk"/>
          </w:rPr>
          <w:t>3.1.1 Ålands tingsrätt</w:t>
        </w:r>
        <w:r w:rsidR="000B7170">
          <w:rPr>
            <w:webHidden/>
          </w:rPr>
          <w:tab/>
        </w:r>
        <w:r w:rsidR="000B7170">
          <w:rPr>
            <w:webHidden/>
          </w:rPr>
          <w:fldChar w:fldCharType="begin"/>
        </w:r>
        <w:r w:rsidR="000B7170">
          <w:rPr>
            <w:webHidden/>
          </w:rPr>
          <w:instrText xml:space="preserve"> PAGEREF _Toc508270996 \h </w:instrText>
        </w:r>
        <w:r w:rsidR="000B7170">
          <w:rPr>
            <w:webHidden/>
          </w:rPr>
        </w:r>
        <w:r w:rsidR="000B7170">
          <w:rPr>
            <w:webHidden/>
          </w:rPr>
          <w:fldChar w:fldCharType="separate"/>
        </w:r>
        <w:r w:rsidR="000B7170">
          <w:rPr>
            <w:webHidden/>
          </w:rPr>
          <w:t>7</w:t>
        </w:r>
        <w:r w:rsidR="000B7170">
          <w:rPr>
            <w:webHidden/>
          </w:rPr>
          <w:fldChar w:fldCharType="end"/>
        </w:r>
      </w:hyperlink>
    </w:p>
    <w:p w:rsidR="000B7170" w:rsidRDefault="006B0ABB">
      <w:pPr>
        <w:pStyle w:val="Innehll3"/>
        <w:rPr>
          <w:rFonts w:asciiTheme="minorHAnsi" w:eastAsiaTheme="minorEastAsia" w:hAnsiTheme="minorHAnsi" w:cstheme="minorBidi"/>
          <w:sz w:val="22"/>
          <w:szCs w:val="22"/>
          <w:lang w:val="sv-FI" w:eastAsia="sv-FI"/>
        </w:rPr>
      </w:pPr>
      <w:hyperlink w:anchor="_Toc508270997" w:history="1">
        <w:r w:rsidR="000B7170" w:rsidRPr="00410A44">
          <w:rPr>
            <w:rStyle w:val="Hyperlnk"/>
          </w:rPr>
          <w:t>3.1.2 Åbo hovrätt</w:t>
        </w:r>
        <w:r w:rsidR="000B7170">
          <w:rPr>
            <w:webHidden/>
          </w:rPr>
          <w:tab/>
        </w:r>
        <w:r w:rsidR="000B7170">
          <w:rPr>
            <w:webHidden/>
          </w:rPr>
          <w:fldChar w:fldCharType="begin"/>
        </w:r>
        <w:r w:rsidR="000B7170">
          <w:rPr>
            <w:webHidden/>
          </w:rPr>
          <w:instrText xml:space="preserve"> PAGEREF _Toc508270997 \h </w:instrText>
        </w:r>
        <w:r w:rsidR="000B7170">
          <w:rPr>
            <w:webHidden/>
          </w:rPr>
        </w:r>
        <w:r w:rsidR="000B7170">
          <w:rPr>
            <w:webHidden/>
          </w:rPr>
          <w:fldChar w:fldCharType="separate"/>
        </w:r>
        <w:r w:rsidR="000B7170">
          <w:rPr>
            <w:webHidden/>
          </w:rPr>
          <w:t>7</w:t>
        </w:r>
        <w:r w:rsidR="000B7170">
          <w:rPr>
            <w:webHidden/>
          </w:rPr>
          <w:fldChar w:fldCharType="end"/>
        </w:r>
      </w:hyperlink>
    </w:p>
    <w:p w:rsidR="000B7170" w:rsidRDefault="006B0ABB">
      <w:pPr>
        <w:pStyle w:val="Innehll3"/>
        <w:rPr>
          <w:rFonts w:asciiTheme="minorHAnsi" w:eastAsiaTheme="minorEastAsia" w:hAnsiTheme="minorHAnsi" w:cstheme="minorBidi"/>
          <w:sz w:val="22"/>
          <w:szCs w:val="22"/>
          <w:lang w:val="sv-FI" w:eastAsia="sv-FI"/>
        </w:rPr>
      </w:pPr>
      <w:hyperlink w:anchor="_Toc508270998" w:history="1">
        <w:r w:rsidR="000B7170" w:rsidRPr="00410A44">
          <w:rPr>
            <w:rStyle w:val="Hyperlnk"/>
          </w:rPr>
          <w:t>3.1.3 Högsta domstolen</w:t>
        </w:r>
        <w:r w:rsidR="000B7170">
          <w:rPr>
            <w:webHidden/>
          </w:rPr>
          <w:tab/>
        </w:r>
        <w:r w:rsidR="000B7170">
          <w:rPr>
            <w:webHidden/>
          </w:rPr>
          <w:fldChar w:fldCharType="begin"/>
        </w:r>
        <w:r w:rsidR="000B7170">
          <w:rPr>
            <w:webHidden/>
          </w:rPr>
          <w:instrText xml:space="preserve"> PAGEREF _Toc508270998 \h </w:instrText>
        </w:r>
        <w:r w:rsidR="000B7170">
          <w:rPr>
            <w:webHidden/>
          </w:rPr>
        </w:r>
        <w:r w:rsidR="000B7170">
          <w:rPr>
            <w:webHidden/>
          </w:rPr>
          <w:fldChar w:fldCharType="separate"/>
        </w:r>
        <w:r w:rsidR="000B7170">
          <w:rPr>
            <w:webHidden/>
          </w:rPr>
          <w:t>8</w:t>
        </w:r>
        <w:r w:rsidR="000B7170">
          <w:rPr>
            <w:webHidden/>
          </w:rPr>
          <w:fldChar w:fldCharType="end"/>
        </w:r>
      </w:hyperlink>
    </w:p>
    <w:p w:rsidR="000B7170" w:rsidRDefault="006B0ABB">
      <w:pPr>
        <w:pStyle w:val="Innehll1"/>
        <w:rPr>
          <w:rFonts w:asciiTheme="minorHAnsi" w:eastAsiaTheme="minorEastAsia" w:hAnsiTheme="minorHAnsi" w:cstheme="minorBidi"/>
          <w:sz w:val="22"/>
          <w:szCs w:val="22"/>
          <w:lang w:val="sv-FI" w:eastAsia="sv-FI"/>
        </w:rPr>
      </w:pPr>
      <w:hyperlink w:anchor="_Toc508270999" w:history="1">
        <w:r w:rsidR="000B7170" w:rsidRPr="00410A44">
          <w:rPr>
            <w:rStyle w:val="Hyperlnk"/>
          </w:rPr>
          <w:t>4. Vård- och landskapsreformen i riket</w:t>
        </w:r>
        <w:r w:rsidR="000B7170">
          <w:rPr>
            <w:webHidden/>
          </w:rPr>
          <w:tab/>
        </w:r>
        <w:r w:rsidR="000B7170">
          <w:rPr>
            <w:webHidden/>
          </w:rPr>
          <w:fldChar w:fldCharType="begin"/>
        </w:r>
        <w:r w:rsidR="000B7170">
          <w:rPr>
            <w:webHidden/>
          </w:rPr>
          <w:instrText xml:space="preserve"> PAGEREF _Toc508270999 \h </w:instrText>
        </w:r>
        <w:r w:rsidR="000B7170">
          <w:rPr>
            <w:webHidden/>
          </w:rPr>
        </w:r>
        <w:r w:rsidR="000B7170">
          <w:rPr>
            <w:webHidden/>
          </w:rPr>
          <w:fldChar w:fldCharType="separate"/>
        </w:r>
        <w:r w:rsidR="000B7170">
          <w:rPr>
            <w:webHidden/>
          </w:rPr>
          <w:t>9</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1000" w:history="1">
        <w:r w:rsidR="000B7170" w:rsidRPr="00410A44">
          <w:rPr>
            <w:rStyle w:val="Hyperlnk"/>
          </w:rPr>
          <w:t>4.1. Bakgrund</w:t>
        </w:r>
        <w:r w:rsidR="000B7170">
          <w:rPr>
            <w:webHidden/>
          </w:rPr>
          <w:tab/>
        </w:r>
        <w:r w:rsidR="000B7170">
          <w:rPr>
            <w:webHidden/>
          </w:rPr>
          <w:fldChar w:fldCharType="begin"/>
        </w:r>
        <w:r w:rsidR="000B7170">
          <w:rPr>
            <w:webHidden/>
          </w:rPr>
          <w:instrText xml:space="preserve"> PAGEREF _Toc508271000 \h </w:instrText>
        </w:r>
        <w:r w:rsidR="000B7170">
          <w:rPr>
            <w:webHidden/>
          </w:rPr>
        </w:r>
        <w:r w:rsidR="000B7170">
          <w:rPr>
            <w:webHidden/>
          </w:rPr>
          <w:fldChar w:fldCharType="separate"/>
        </w:r>
        <w:r w:rsidR="000B7170">
          <w:rPr>
            <w:webHidden/>
          </w:rPr>
          <w:t>9</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1001" w:history="1">
        <w:r w:rsidR="000B7170" w:rsidRPr="00410A44">
          <w:rPr>
            <w:rStyle w:val="Hyperlnk"/>
          </w:rPr>
          <w:t>4.2. Reformen och Åland i fråga landskap och beskattning</w:t>
        </w:r>
        <w:r w:rsidR="000B7170">
          <w:rPr>
            <w:webHidden/>
          </w:rPr>
          <w:tab/>
        </w:r>
        <w:r w:rsidR="000B7170">
          <w:rPr>
            <w:webHidden/>
          </w:rPr>
          <w:fldChar w:fldCharType="begin"/>
        </w:r>
        <w:r w:rsidR="000B7170">
          <w:rPr>
            <w:webHidden/>
          </w:rPr>
          <w:instrText xml:space="preserve"> PAGEREF _Toc508271001 \h </w:instrText>
        </w:r>
        <w:r w:rsidR="000B7170">
          <w:rPr>
            <w:webHidden/>
          </w:rPr>
        </w:r>
        <w:r w:rsidR="000B7170">
          <w:rPr>
            <w:webHidden/>
          </w:rPr>
          <w:fldChar w:fldCharType="separate"/>
        </w:r>
        <w:r w:rsidR="000B7170">
          <w:rPr>
            <w:webHidden/>
          </w:rPr>
          <w:t>10</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1002" w:history="1">
        <w:r w:rsidR="000B7170" w:rsidRPr="00410A44">
          <w:rPr>
            <w:rStyle w:val="Hyperlnk"/>
          </w:rPr>
          <w:t>4.3. Reformen och Åland i fråga om valfriheten</w:t>
        </w:r>
        <w:r w:rsidR="000B7170">
          <w:rPr>
            <w:webHidden/>
          </w:rPr>
          <w:tab/>
        </w:r>
        <w:r w:rsidR="000B7170">
          <w:rPr>
            <w:webHidden/>
          </w:rPr>
          <w:fldChar w:fldCharType="begin"/>
        </w:r>
        <w:r w:rsidR="000B7170">
          <w:rPr>
            <w:webHidden/>
          </w:rPr>
          <w:instrText xml:space="preserve"> PAGEREF _Toc508271002 \h </w:instrText>
        </w:r>
        <w:r w:rsidR="000B7170">
          <w:rPr>
            <w:webHidden/>
          </w:rPr>
        </w:r>
        <w:r w:rsidR="000B7170">
          <w:rPr>
            <w:webHidden/>
          </w:rPr>
          <w:fldChar w:fldCharType="separate"/>
        </w:r>
        <w:r w:rsidR="000B7170">
          <w:rPr>
            <w:webHidden/>
          </w:rPr>
          <w:t>12</w:t>
        </w:r>
        <w:r w:rsidR="000B7170">
          <w:rPr>
            <w:webHidden/>
          </w:rPr>
          <w:fldChar w:fldCharType="end"/>
        </w:r>
      </w:hyperlink>
    </w:p>
    <w:p w:rsidR="000B7170" w:rsidRDefault="006B0ABB">
      <w:pPr>
        <w:pStyle w:val="Innehll1"/>
        <w:rPr>
          <w:rFonts w:asciiTheme="minorHAnsi" w:eastAsiaTheme="minorEastAsia" w:hAnsiTheme="minorHAnsi" w:cstheme="minorBidi"/>
          <w:sz w:val="22"/>
          <w:szCs w:val="22"/>
          <w:lang w:val="sv-FI" w:eastAsia="sv-FI"/>
        </w:rPr>
      </w:pPr>
      <w:hyperlink w:anchor="_Toc508271003" w:history="1">
        <w:r w:rsidR="000B7170" w:rsidRPr="00410A44">
          <w:rPr>
            <w:rStyle w:val="Hyperlnk"/>
          </w:rPr>
          <w:t>5. Ålands demilitarisering och neutralisering</w:t>
        </w:r>
        <w:r w:rsidR="000B7170">
          <w:rPr>
            <w:webHidden/>
          </w:rPr>
          <w:tab/>
        </w:r>
        <w:r w:rsidR="000B7170">
          <w:rPr>
            <w:webHidden/>
          </w:rPr>
          <w:fldChar w:fldCharType="begin"/>
        </w:r>
        <w:r w:rsidR="000B7170">
          <w:rPr>
            <w:webHidden/>
          </w:rPr>
          <w:instrText xml:space="preserve"> PAGEREF _Toc508271003 \h </w:instrText>
        </w:r>
        <w:r w:rsidR="000B7170">
          <w:rPr>
            <w:webHidden/>
          </w:rPr>
        </w:r>
        <w:r w:rsidR="000B7170">
          <w:rPr>
            <w:webHidden/>
          </w:rPr>
          <w:fldChar w:fldCharType="separate"/>
        </w:r>
        <w:r w:rsidR="000B7170">
          <w:rPr>
            <w:webHidden/>
          </w:rPr>
          <w:t>13</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1004" w:history="1">
        <w:r w:rsidR="000B7170" w:rsidRPr="00410A44">
          <w:rPr>
            <w:rStyle w:val="Hyperlnk"/>
          </w:rPr>
          <w:t>5.1 Allmänt</w:t>
        </w:r>
        <w:r w:rsidR="000B7170">
          <w:rPr>
            <w:webHidden/>
          </w:rPr>
          <w:tab/>
        </w:r>
        <w:r w:rsidR="000B7170">
          <w:rPr>
            <w:webHidden/>
          </w:rPr>
          <w:fldChar w:fldCharType="begin"/>
        </w:r>
        <w:r w:rsidR="000B7170">
          <w:rPr>
            <w:webHidden/>
          </w:rPr>
          <w:instrText xml:space="preserve"> PAGEREF _Toc508271004 \h </w:instrText>
        </w:r>
        <w:r w:rsidR="000B7170">
          <w:rPr>
            <w:webHidden/>
          </w:rPr>
        </w:r>
        <w:r w:rsidR="000B7170">
          <w:rPr>
            <w:webHidden/>
          </w:rPr>
          <w:fldChar w:fldCharType="separate"/>
        </w:r>
        <w:r w:rsidR="000B7170">
          <w:rPr>
            <w:webHidden/>
          </w:rPr>
          <w:t>13</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1005" w:history="1">
        <w:r w:rsidR="000B7170" w:rsidRPr="00410A44">
          <w:rPr>
            <w:rStyle w:val="Hyperlnk"/>
          </w:rPr>
          <w:t>5.2 Försvarssamarbete Finland-Sverige</w:t>
        </w:r>
        <w:r w:rsidR="000B7170">
          <w:rPr>
            <w:webHidden/>
          </w:rPr>
          <w:tab/>
        </w:r>
        <w:r w:rsidR="000B7170">
          <w:rPr>
            <w:webHidden/>
          </w:rPr>
          <w:fldChar w:fldCharType="begin"/>
        </w:r>
        <w:r w:rsidR="000B7170">
          <w:rPr>
            <w:webHidden/>
          </w:rPr>
          <w:instrText xml:space="preserve"> PAGEREF _Toc508271005 \h </w:instrText>
        </w:r>
        <w:r w:rsidR="000B7170">
          <w:rPr>
            <w:webHidden/>
          </w:rPr>
        </w:r>
        <w:r w:rsidR="000B7170">
          <w:rPr>
            <w:webHidden/>
          </w:rPr>
          <w:fldChar w:fldCharType="separate"/>
        </w:r>
        <w:r w:rsidR="000B7170">
          <w:rPr>
            <w:webHidden/>
          </w:rPr>
          <w:t>14</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1006" w:history="1">
        <w:r w:rsidR="000B7170" w:rsidRPr="00410A44">
          <w:rPr>
            <w:rStyle w:val="Hyperlnk"/>
          </w:rPr>
          <w:t>5.3 Gränsbevakningen</w:t>
        </w:r>
        <w:r w:rsidR="000B7170">
          <w:rPr>
            <w:webHidden/>
          </w:rPr>
          <w:tab/>
        </w:r>
        <w:r w:rsidR="000B7170">
          <w:rPr>
            <w:webHidden/>
          </w:rPr>
          <w:fldChar w:fldCharType="begin"/>
        </w:r>
        <w:r w:rsidR="000B7170">
          <w:rPr>
            <w:webHidden/>
          </w:rPr>
          <w:instrText xml:space="preserve"> PAGEREF _Toc508271006 \h </w:instrText>
        </w:r>
        <w:r w:rsidR="000B7170">
          <w:rPr>
            <w:webHidden/>
          </w:rPr>
        </w:r>
        <w:r w:rsidR="000B7170">
          <w:rPr>
            <w:webHidden/>
          </w:rPr>
          <w:fldChar w:fldCharType="separate"/>
        </w:r>
        <w:r w:rsidR="000B7170">
          <w:rPr>
            <w:webHidden/>
          </w:rPr>
          <w:t>15</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1007" w:history="1">
        <w:r w:rsidR="000B7170" w:rsidRPr="00410A44">
          <w:rPr>
            <w:rStyle w:val="Hyperlnk"/>
          </w:rPr>
          <w:t>5.4 Fartygsbesök och överflygningar</w:t>
        </w:r>
        <w:r w:rsidR="000B7170">
          <w:rPr>
            <w:webHidden/>
          </w:rPr>
          <w:tab/>
        </w:r>
        <w:r w:rsidR="000B7170">
          <w:rPr>
            <w:webHidden/>
          </w:rPr>
          <w:fldChar w:fldCharType="begin"/>
        </w:r>
        <w:r w:rsidR="000B7170">
          <w:rPr>
            <w:webHidden/>
          </w:rPr>
          <w:instrText xml:space="preserve"> PAGEREF _Toc508271007 \h </w:instrText>
        </w:r>
        <w:r w:rsidR="000B7170">
          <w:rPr>
            <w:webHidden/>
          </w:rPr>
        </w:r>
        <w:r w:rsidR="000B7170">
          <w:rPr>
            <w:webHidden/>
          </w:rPr>
          <w:fldChar w:fldCharType="separate"/>
        </w:r>
        <w:r w:rsidR="000B7170">
          <w:rPr>
            <w:webHidden/>
          </w:rPr>
          <w:t>16</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1008" w:history="1">
        <w:r w:rsidR="000B7170" w:rsidRPr="00410A44">
          <w:rPr>
            <w:rStyle w:val="Hyperlnk"/>
          </w:rPr>
          <w:t>5.5 Riktlinjer för handräckning</w:t>
        </w:r>
        <w:r w:rsidR="000B7170">
          <w:rPr>
            <w:webHidden/>
          </w:rPr>
          <w:tab/>
        </w:r>
        <w:r w:rsidR="000B7170">
          <w:rPr>
            <w:webHidden/>
          </w:rPr>
          <w:fldChar w:fldCharType="begin"/>
        </w:r>
        <w:r w:rsidR="000B7170">
          <w:rPr>
            <w:webHidden/>
          </w:rPr>
          <w:instrText xml:space="preserve"> PAGEREF _Toc508271008 \h </w:instrText>
        </w:r>
        <w:r w:rsidR="000B7170">
          <w:rPr>
            <w:webHidden/>
          </w:rPr>
        </w:r>
        <w:r w:rsidR="000B7170">
          <w:rPr>
            <w:webHidden/>
          </w:rPr>
          <w:fldChar w:fldCharType="separate"/>
        </w:r>
        <w:r w:rsidR="000B7170">
          <w:rPr>
            <w:webHidden/>
          </w:rPr>
          <w:t>17</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1009" w:history="1">
        <w:r w:rsidR="000B7170" w:rsidRPr="00410A44">
          <w:rPr>
            <w:rStyle w:val="Hyperlnk"/>
          </w:rPr>
          <w:t>5.6. Handräckning inom oljeskyddet</w:t>
        </w:r>
        <w:r w:rsidR="000B7170">
          <w:rPr>
            <w:webHidden/>
          </w:rPr>
          <w:tab/>
        </w:r>
        <w:r w:rsidR="000B7170">
          <w:rPr>
            <w:webHidden/>
          </w:rPr>
          <w:fldChar w:fldCharType="begin"/>
        </w:r>
        <w:r w:rsidR="000B7170">
          <w:rPr>
            <w:webHidden/>
          </w:rPr>
          <w:instrText xml:space="preserve"> PAGEREF _Toc508271009 \h </w:instrText>
        </w:r>
        <w:r w:rsidR="000B7170">
          <w:rPr>
            <w:webHidden/>
          </w:rPr>
        </w:r>
        <w:r w:rsidR="000B7170">
          <w:rPr>
            <w:webHidden/>
          </w:rPr>
          <w:fldChar w:fldCharType="separate"/>
        </w:r>
        <w:r w:rsidR="000B7170">
          <w:rPr>
            <w:webHidden/>
          </w:rPr>
          <w:t>17</w:t>
        </w:r>
        <w:r w:rsidR="000B7170">
          <w:rPr>
            <w:webHidden/>
          </w:rPr>
          <w:fldChar w:fldCharType="end"/>
        </w:r>
      </w:hyperlink>
    </w:p>
    <w:p w:rsidR="000B7170" w:rsidRDefault="006B0ABB">
      <w:pPr>
        <w:pStyle w:val="Innehll1"/>
        <w:rPr>
          <w:rFonts w:asciiTheme="minorHAnsi" w:eastAsiaTheme="minorEastAsia" w:hAnsiTheme="minorHAnsi" w:cstheme="minorBidi"/>
          <w:sz w:val="22"/>
          <w:szCs w:val="22"/>
          <w:lang w:val="sv-FI" w:eastAsia="sv-FI"/>
        </w:rPr>
      </w:pPr>
      <w:hyperlink w:anchor="_Toc508271010" w:history="1">
        <w:r w:rsidR="000B7170" w:rsidRPr="00410A44">
          <w:rPr>
            <w:rStyle w:val="Hyperlnk"/>
            <w:lang w:eastAsia="en-US"/>
          </w:rPr>
          <w:t>6. Ålandsexemplet</w:t>
        </w:r>
        <w:r w:rsidR="000B7170">
          <w:rPr>
            <w:webHidden/>
          </w:rPr>
          <w:tab/>
        </w:r>
        <w:r w:rsidR="000B7170">
          <w:rPr>
            <w:webHidden/>
          </w:rPr>
          <w:fldChar w:fldCharType="begin"/>
        </w:r>
        <w:r w:rsidR="000B7170">
          <w:rPr>
            <w:webHidden/>
          </w:rPr>
          <w:instrText xml:space="preserve"> PAGEREF _Toc508271010 \h </w:instrText>
        </w:r>
        <w:r w:rsidR="000B7170">
          <w:rPr>
            <w:webHidden/>
          </w:rPr>
        </w:r>
        <w:r w:rsidR="000B7170">
          <w:rPr>
            <w:webHidden/>
          </w:rPr>
          <w:fldChar w:fldCharType="separate"/>
        </w:r>
        <w:r w:rsidR="000B7170">
          <w:rPr>
            <w:webHidden/>
          </w:rPr>
          <w:t>18</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1011" w:history="1">
        <w:r w:rsidR="000B7170" w:rsidRPr="00410A44">
          <w:rPr>
            <w:rStyle w:val="Hyperlnk"/>
            <w:lang w:eastAsia="en-US"/>
          </w:rPr>
          <w:t>6.1 Kontaktgruppen mellan utrikesministeriet och landskapsregeringen</w:t>
        </w:r>
        <w:r w:rsidR="000B7170">
          <w:rPr>
            <w:webHidden/>
          </w:rPr>
          <w:tab/>
        </w:r>
        <w:r w:rsidR="000B7170">
          <w:rPr>
            <w:webHidden/>
          </w:rPr>
          <w:fldChar w:fldCharType="begin"/>
        </w:r>
        <w:r w:rsidR="000B7170">
          <w:rPr>
            <w:webHidden/>
          </w:rPr>
          <w:instrText xml:space="preserve"> PAGEREF _Toc508271011 \h </w:instrText>
        </w:r>
        <w:r w:rsidR="000B7170">
          <w:rPr>
            <w:webHidden/>
          </w:rPr>
        </w:r>
        <w:r w:rsidR="000B7170">
          <w:rPr>
            <w:webHidden/>
          </w:rPr>
          <w:fldChar w:fldCharType="separate"/>
        </w:r>
        <w:r w:rsidR="000B7170">
          <w:rPr>
            <w:webHidden/>
          </w:rPr>
          <w:t>18</w:t>
        </w:r>
        <w:r w:rsidR="000B7170">
          <w:rPr>
            <w:webHidden/>
          </w:rPr>
          <w:fldChar w:fldCharType="end"/>
        </w:r>
      </w:hyperlink>
    </w:p>
    <w:p w:rsidR="000B7170" w:rsidRDefault="006B0ABB">
      <w:pPr>
        <w:pStyle w:val="Innehll1"/>
        <w:rPr>
          <w:rFonts w:asciiTheme="minorHAnsi" w:eastAsiaTheme="minorEastAsia" w:hAnsiTheme="minorHAnsi" w:cstheme="minorBidi"/>
          <w:sz w:val="22"/>
          <w:szCs w:val="22"/>
          <w:lang w:val="sv-FI" w:eastAsia="sv-FI"/>
        </w:rPr>
      </w:pPr>
      <w:hyperlink w:anchor="_Toc508271012" w:history="1">
        <w:r w:rsidR="000B7170" w:rsidRPr="00410A44">
          <w:rPr>
            <w:rStyle w:val="Hyperlnk"/>
          </w:rPr>
          <w:t>7. Det ekonomiska systemet</w:t>
        </w:r>
        <w:r w:rsidR="000B7170">
          <w:rPr>
            <w:webHidden/>
          </w:rPr>
          <w:tab/>
        </w:r>
        <w:r w:rsidR="000B7170">
          <w:rPr>
            <w:webHidden/>
          </w:rPr>
          <w:fldChar w:fldCharType="begin"/>
        </w:r>
        <w:r w:rsidR="000B7170">
          <w:rPr>
            <w:webHidden/>
          </w:rPr>
          <w:instrText xml:space="preserve"> PAGEREF _Toc508271012 \h </w:instrText>
        </w:r>
        <w:r w:rsidR="000B7170">
          <w:rPr>
            <w:webHidden/>
          </w:rPr>
        </w:r>
        <w:r w:rsidR="000B7170">
          <w:rPr>
            <w:webHidden/>
          </w:rPr>
          <w:fldChar w:fldCharType="separate"/>
        </w:r>
        <w:r w:rsidR="000B7170">
          <w:rPr>
            <w:webHidden/>
          </w:rPr>
          <w:t>18</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1013" w:history="1">
        <w:r w:rsidR="000B7170" w:rsidRPr="00410A44">
          <w:rPr>
            <w:rStyle w:val="Hyperlnk"/>
          </w:rPr>
          <w:t>7.1 Avräkningsgrunden</w:t>
        </w:r>
        <w:r w:rsidR="000B7170">
          <w:rPr>
            <w:webHidden/>
          </w:rPr>
          <w:tab/>
        </w:r>
        <w:r w:rsidR="000B7170">
          <w:rPr>
            <w:webHidden/>
          </w:rPr>
          <w:fldChar w:fldCharType="begin"/>
        </w:r>
        <w:r w:rsidR="000B7170">
          <w:rPr>
            <w:webHidden/>
          </w:rPr>
          <w:instrText xml:space="preserve"> PAGEREF _Toc508271013 \h </w:instrText>
        </w:r>
        <w:r w:rsidR="000B7170">
          <w:rPr>
            <w:webHidden/>
          </w:rPr>
        </w:r>
        <w:r w:rsidR="000B7170">
          <w:rPr>
            <w:webHidden/>
          </w:rPr>
          <w:fldChar w:fldCharType="separate"/>
        </w:r>
        <w:r w:rsidR="000B7170">
          <w:rPr>
            <w:webHidden/>
          </w:rPr>
          <w:t>18</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1014" w:history="1">
        <w:r w:rsidR="000B7170" w:rsidRPr="00410A44">
          <w:rPr>
            <w:rStyle w:val="Hyperlnk"/>
          </w:rPr>
          <w:t>7.2.Allmäntjänstgöring för läkare</w:t>
        </w:r>
        <w:r w:rsidR="000B7170">
          <w:rPr>
            <w:webHidden/>
          </w:rPr>
          <w:tab/>
        </w:r>
        <w:r w:rsidR="000B7170">
          <w:rPr>
            <w:webHidden/>
          </w:rPr>
          <w:fldChar w:fldCharType="begin"/>
        </w:r>
        <w:r w:rsidR="000B7170">
          <w:rPr>
            <w:webHidden/>
          </w:rPr>
          <w:instrText xml:space="preserve"> PAGEREF _Toc508271014 \h </w:instrText>
        </w:r>
        <w:r w:rsidR="000B7170">
          <w:rPr>
            <w:webHidden/>
          </w:rPr>
        </w:r>
        <w:r w:rsidR="000B7170">
          <w:rPr>
            <w:webHidden/>
          </w:rPr>
          <w:fldChar w:fldCharType="separate"/>
        </w:r>
        <w:r w:rsidR="000B7170">
          <w:rPr>
            <w:webHidden/>
          </w:rPr>
          <w:t>19</w:t>
        </w:r>
        <w:r w:rsidR="000B7170">
          <w:rPr>
            <w:webHidden/>
          </w:rPr>
          <w:fldChar w:fldCharType="end"/>
        </w:r>
      </w:hyperlink>
    </w:p>
    <w:p w:rsidR="000B7170" w:rsidRDefault="006B0ABB">
      <w:pPr>
        <w:pStyle w:val="Innehll1"/>
        <w:rPr>
          <w:rFonts w:asciiTheme="minorHAnsi" w:eastAsiaTheme="minorEastAsia" w:hAnsiTheme="minorHAnsi" w:cstheme="minorBidi"/>
          <w:sz w:val="22"/>
          <w:szCs w:val="22"/>
          <w:lang w:val="sv-FI" w:eastAsia="sv-FI"/>
        </w:rPr>
      </w:pPr>
      <w:hyperlink w:anchor="_Toc508271015" w:history="1">
        <w:r w:rsidR="000B7170" w:rsidRPr="00410A44">
          <w:rPr>
            <w:rStyle w:val="Hyperlnk"/>
          </w:rPr>
          <w:t>8. Socialpolitik</w:t>
        </w:r>
        <w:r w:rsidR="000B7170">
          <w:rPr>
            <w:webHidden/>
          </w:rPr>
          <w:tab/>
        </w:r>
        <w:r w:rsidR="000B7170">
          <w:rPr>
            <w:webHidden/>
          </w:rPr>
          <w:fldChar w:fldCharType="begin"/>
        </w:r>
        <w:r w:rsidR="000B7170">
          <w:rPr>
            <w:webHidden/>
          </w:rPr>
          <w:instrText xml:space="preserve"> PAGEREF _Toc508271015 \h </w:instrText>
        </w:r>
        <w:r w:rsidR="000B7170">
          <w:rPr>
            <w:webHidden/>
          </w:rPr>
        </w:r>
        <w:r w:rsidR="000B7170">
          <w:rPr>
            <w:webHidden/>
          </w:rPr>
          <w:fldChar w:fldCharType="separate"/>
        </w:r>
        <w:r w:rsidR="000B7170">
          <w:rPr>
            <w:webHidden/>
          </w:rPr>
          <w:t>20</w:t>
        </w:r>
        <w:r w:rsidR="000B7170">
          <w:rPr>
            <w:webHidden/>
          </w:rPr>
          <w:fldChar w:fldCharType="end"/>
        </w:r>
      </w:hyperlink>
    </w:p>
    <w:p w:rsidR="000B7170" w:rsidRDefault="006B0ABB">
      <w:pPr>
        <w:pStyle w:val="Innehll1"/>
        <w:rPr>
          <w:rFonts w:asciiTheme="minorHAnsi" w:eastAsiaTheme="minorEastAsia" w:hAnsiTheme="minorHAnsi" w:cstheme="minorBidi"/>
          <w:sz w:val="22"/>
          <w:szCs w:val="22"/>
          <w:lang w:val="sv-FI" w:eastAsia="sv-FI"/>
        </w:rPr>
      </w:pPr>
      <w:hyperlink w:anchor="_Toc508271016" w:history="1">
        <w:r w:rsidR="000B7170" w:rsidRPr="00410A44">
          <w:rPr>
            <w:rStyle w:val="Hyperlnk"/>
          </w:rPr>
          <w:t>9. Miljö</w:t>
        </w:r>
        <w:r w:rsidR="000B7170">
          <w:rPr>
            <w:webHidden/>
          </w:rPr>
          <w:tab/>
        </w:r>
        <w:r w:rsidR="000B7170">
          <w:rPr>
            <w:webHidden/>
          </w:rPr>
          <w:fldChar w:fldCharType="begin"/>
        </w:r>
        <w:r w:rsidR="000B7170">
          <w:rPr>
            <w:webHidden/>
          </w:rPr>
          <w:instrText xml:space="preserve"> PAGEREF _Toc508271016 \h </w:instrText>
        </w:r>
        <w:r w:rsidR="000B7170">
          <w:rPr>
            <w:webHidden/>
          </w:rPr>
        </w:r>
        <w:r w:rsidR="000B7170">
          <w:rPr>
            <w:webHidden/>
          </w:rPr>
          <w:fldChar w:fldCharType="separate"/>
        </w:r>
        <w:r w:rsidR="000B7170">
          <w:rPr>
            <w:webHidden/>
          </w:rPr>
          <w:t>20</w:t>
        </w:r>
        <w:r w:rsidR="000B7170">
          <w:rPr>
            <w:webHidden/>
          </w:rPr>
          <w:fldChar w:fldCharType="end"/>
        </w:r>
      </w:hyperlink>
    </w:p>
    <w:p w:rsidR="000B7170" w:rsidRDefault="006B0ABB">
      <w:pPr>
        <w:pStyle w:val="Innehll1"/>
        <w:rPr>
          <w:rFonts w:asciiTheme="minorHAnsi" w:eastAsiaTheme="minorEastAsia" w:hAnsiTheme="minorHAnsi" w:cstheme="minorBidi"/>
          <w:sz w:val="22"/>
          <w:szCs w:val="22"/>
          <w:lang w:val="sv-FI" w:eastAsia="sv-FI"/>
        </w:rPr>
      </w:pPr>
      <w:hyperlink w:anchor="_Toc508271017" w:history="1">
        <w:r w:rsidR="000B7170" w:rsidRPr="00410A44">
          <w:rPr>
            <w:rStyle w:val="Hyperlnk"/>
            <w:lang w:eastAsia="en-US"/>
          </w:rPr>
          <w:t>10. Utbildning</w:t>
        </w:r>
        <w:r w:rsidR="000B7170">
          <w:rPr>
            <w:webHidden/>
          </w:rPr>
          <w:tab/>
        </w:r>
        <w:r w:rsidR="000B7170">
          <w:rPr>
            <w:webHidden/>
          </w:rPr>
          <w:fldChar w:fldCharType="begin"/>
        </w:r>
        <w:r w:rsidR="000B7170">
          <w:rPr>
            <w:webHidden/>
          </w:rPr>
          <w:instrText xml:space="preserve"> PAGEREF _Toc508271017 \h </w:instrText>
        </w:r>
        <w:r w:rsidR="000B7170">
          <w:rPr>
            <w:webHidden/>
          </w:rPr>
        </w:r>
        <w:r w:rsidR="000B7170">
          <w:rPr>
            <w:webHidden/>
          </w:rPr>
          <w:fldChar w:fldCharType="separate"/>
        </w:r>
        <w:r w:rsidR="000B7170">
          <w:rPr>
            <w:webHidden/>
          </w:rPr>
          <w:t>21</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1018" w:history="1">
        <w:r w:rsidR="000B7170" w:rsidRPr="00410A44">
          <w:rPr>
            <w:rStyle w:val="Hyperlnk"/>
            <w:lang w:eastAsia="en-US"/>
          </w:rPr>
          <w:t>10.1 Högskolestudier i Sverige</w:t>
        </w:r>
        <w:r w:rsidR="000B7170">
          <w:rPr>
            <w:webHidden/>
          </w:rPr>
          <w:tab/>
        </w:r>
        <w:r w:rsidR="000B7170">
          <w:rPr>
            <w:webHidden/>
          </w:rPr>
          <w:fldChar w:fldCharType="begin"/>
        </w:r>
        <w:r w:rsidR="000B7170">
          <w:rPr>
            <w:webHidden/>
          </w:rPr>
          <w:instrText xml:space="preserve"> PAGEREF _Toc508271018 \h </w:instrText>
        </w:r>
        <w:r w:rsidR="000B7170">
          <w:rPr>
            <w:webHidden/>
          </w:rPr>
        </w:r>
        <w:r w:rsidR="000B7170">
          <w:rPr>
            <w:webHidden/>
          </w:rPr>
          <w:fldChar w:fldCharType="separate"/>
        </w:r>
        <w:r w:rsidR="000B7170">
          <w:rPr>
            <w:webHidden/>
          </w:rPr>
          <w:t>21</w:t>
        </w:r>
        <w:r w:rsidR="000B7170">
          <w:rPr>
            <w:webHidden/>
          </w:rPr>
          <w:fldChar w:fldCharType="end"/>
        </w:r>
      </w:hyperlink>
    </w:p>
    <w:p w:rsidR="000B7170" w:rsidRDefault="006B0ABB">
      <w:pPr>
        <w:pStyle w:val="Innehll1"/>
        <w:rPr>
          <w:rFonts w:asciiTheme="minorHAnsi" w:eastAsiaTheme="minorEastAsia" w:hAnsiTheme="minorHAnsi" w:cstheme="minorBidi"/>
          <w:sz w:val="22"/>
          <w:szCs w:val="22"/>
          <w:lang w:val="sv-FI" w:eastAsia="sv-FI"/>
        </w:rPr>
      </w:pPr>
      <w:hyperlink w:anchor="_Toc508271019" w:history="1">
        <w:r w:rsidR="000B7170" w:rsidRPr="00410A44">
          <w:rPr>
            <w:rStyle w:val="Hyperlnk"/>
            <w:lang w:eastAsia="en-US"/>
          </w:rPr>
          <w:t>11. Kultur</w:t>
        </w:r>
        <w:r w:rsidR="000B7170">
          <w:rPr>
            <w:webHidden/>
          </w:rPr>
          <w:tab/>
        </w:r>
        <w:r w:rsidR="000B7170">
          <w:rPr>
            <w:webHidden/>
          </w:rPr>
          <w:fldChar w:fldCharType="begin"/>
        </w:r>
        <w:r w:rsidR="000B7170">
          <w:rPr>
            <w:webHidden/>
          </w:rPr>
          <w:instrText xml:space="preserve"> PAGEREF _Toc508271019 \h </w:instrText>
        </w:r>
        <w:r w:rsidR="000B7170">
          <w:rPr>
            <w:webHidden/>
          </w:rPr>
        </w:r>
        <w:r w:rsidR="000B7170">
          <w:rPr>
            <w:webHidden/>
          </w:rPr>
          <w:fldChar w:fldCharType="separate"/>
        </w:r>
        <w:r w:rsidR="000B7170">
          <w:rPr>
            <w:webHidden/>
          </w:rPr>
          <w:t>21</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1020" w:history="1">
        <w:r w:rsidR="000B7170" w:rsidRPr="00410A44">
          <w:rPr>
            <w:rStyle w:val="Hyperlnk"/>
          </w:rPr>
          <w:t>11.1 Kulturarv</w:t>
        </w:r>
        <w:r w:rsidR="000B7170">
          <w:rPr>
            <w:webHidden/>
          </w:rPr>
          <w:tab/>
        </w:r>
        <w:r w:rsidR="000B7170">
          <w:rPr>
            <w:webHidden/>
          </w:rPr>
          <w:fldChar w:fldCharType="begin"/>
        </w:r>
        <w:r w:rsidR="000B7170">
          <w:rPr>
            <w:webHidden/>
          </w:rPr>
          <w:instrText xml:space="preserve"> PAGEREF _Toc508271020 \h </w:instrText>
        </w:r>
        <w:r w:rsidR="000B7170">
          <w:rPr>
            <w:webHidden/>
          </w:rPr>
        </w:r>
        <w:r w:rsidR="000B7170">
          <w:rPr>
            <w:webHidden/>
          </w:rPr>
          <w:fldChar w:fldCharType="separate"/>
        </w:r>
        <w:r w:rsidR="000B7170">
          <w:rPr>
            <w:webHidden/>
          </w:rPr>
          <w:t>21</w:t>
        </w:r>
        <w:r w:rsidR="000B7170">
          <w:rPr>
            <w:webHidden/>
          </w:rPr>
          <w:fldChar w:fldCharType="end"/>
        </w:r>
      </w:hyperlink>
    </w:p>
    <w:p w:rsidR="000B7170" w:rsidRDefault="006B0ABB">
      <w:pPr>
        <w:pStyle w:val="Innehll1"/>
        <w:rPr>
          <w:rFonts w:asciiTheme="minorHAnsi" w:eastAsiaTheme="minorEastAsia" w:hAnsiTheme="minorHAnsi" w:cstheme="minorBidi"/>
          <w:sz w:val="22"/>
          <w:szCs w:val="22"/>
          <w:lang w:val="sv-FI" w:eastAsia="sv-FI"/>
        </w:rPr>
      </w:pPr>
      <w:hyperlink w:anchor="_Toc508271021" w:history="1">
        <w:r w:rsidR="000B7170" w:rsidRPr="00410A44">
          <w:rPr>
            <w:rStyle w:val="Hyperlnk"/>
            <w:lang w:eastAsia="en-US"/>
          </w:rPr>
          <w:t>12. Upphovsrättsliga problem</w:t>
        </w:r>
        <w:r w:rsidR="000B7170">
          <w:rPr>
            <w:webHidden/>
          </w:rPr>
          <w:tab/>
        </w:r>
        <w:r w:rsidR="000B7170">
          <w:rPr>
            <w:webHidden/>
          </w:rPr>
          <w:fldChar w:fldCharType="begin"/>
        </w:r>
        <w:r w:rsidR="000B7170">
          <w:rPr>
            <w:webHidden/>
          </w:rPr>
          <w:instrText xml:space="preserve"> PAGEREF _Toc508271021 \h </w:instrText>
        </w:r>
        <w:r w:rsidR="000B7170">
          <w:rPr>
            <w:webHidden/>
          </w:rPr>
        </w:r>
        <w:r w:rsidR="000B7170">
          <w:rPr>
            <w:webHidden/>
          </w:rPr>
          <w:fldChar w:fldCharType="separate"/>
        </w:r>
        <w:r w:rsidR="000B7170">
          <w:rPr>
            <w:webHidden/>
          </w:rPr>
          <w:t>22</w:t>
        </w:r>
        <w:r w:rsidR="000B7170">
          <w:rPr>
            <w:webHidden/>
          </w:rPr>
          <w:fldChar w:fldCharType="end"/>
        </w:r>
      </w:hyperlink>
    </w:p>
    <w:p w:rsidR="000B7170" w:rsidRDefault="006B0ABB">
      <w:pPr>
        <w:pStyle w:val="Innehll1"/>
        <w:rPr>
          <w:rFonts w:asciiTheme="minorHAnsi" w:eastAsiaTheme="minorEastAsia" w:hAnsiTheme="minorHAnsi" w:cstheme="minorBidi"/>
          <w:sz w:val="22"/>
          <w:szCs w:val="22"/>
          <w:lang w:val="sv-FI" w:eastAsia="sv-FI"/>
        </w:rPr>
      </w:pPr>
      <w:hyperlink w:anchor="_Toc508271022" w:history="1">
        <w:r w:rsidR="000B7170" w:rsidRPr="00410A44">
          <w:rPr>
            <w:rStyle w:val="Hyperlnk"/>
            <w:lang w:eastAsia="en-US"/>
          </w:rPr>
          <w:t>13. Arkivväsendet</w:t>
        </w:r>
        <w:r w:rsidR="000B7170">
          <w:rPr>
            <w:webHidden/>
          </w:rPr>
          <w:tab/>
        </w:r>
        <w:r w:rsidR="000B7170">
          <w:rPr>
            <w:webHidden/>
          </w:rPr>
          <w:fldChar w:fldCharType="begin"/>
        </w:r>
        <w:r w:rsidR="000B7170">
          <w:rPr>
            <w:webHidden/>
          </w:rPr>
          <w:instrText xml:space="preserve"> PAGEREF _Toc508271022 \h </w:instrText>
        </w:r>
        <w:r w:rsidR="000B7170">
          <w:rPr>
            <w:webHidden/>
          </w:rPr>
        </w:r>
        <w:r w:rsidR="000B7170">
          <w:rPr>
            <w:webHidden/>
          </w:rPr>
          <w:fldChar w:fldCharType="separate"/>
        </w:r>
        <w:r w:rsidR="000B7170">
          <w:rPr>
            <w:webHidden/>
          </w:rPr>
          <w:t>23</w:t>
        </w:r>
        <w:r w:rsidR="000B7170">
          <w:rPr>
            <w:webHidden/>
          </w:rPr>
          <w:fldChar w:fldCharType="end"/>
        </w:r>
      </w:hyperlink>
    </w:p>
    <w:p w:rsidR="000B7170" w:rsidRDefault="006B0ABB">
      <w:pPr>
        <w:pStyle w:val="Innehll1"/>
        <w:rPr>
          <w:rFonts w:asciiTheme="minorHAnsi" w:eastAsiaTheme="minorEastAsia" w:hAnsiTheme="minorHAnsi" w:cstheme="minorBidi"/>
          <w:sz w:val="22"/>
          <w:szCs w:val="22"/>
          <w:lang w:val="sv-FI" w:eastAsia="sv-FI"/>
        </w:rPr>
      </w:pPr>
      <w:hyperlink w:anchor="_Toc508271023" w:history="1">
        <w:r w:rsidR="000B7170" w:rsidRPr="00410A44">
          <w:rPr>
            <w:rStyle w:val="Hyperlnk"/>
          </w:rPr>
          <w:t>14. Jordbrukspolitik</w:t>
        </w:r>
        <w:r w:rsidR="000B7170">
          <w:rPr>
            <w:webHidden/>
          </w:rPr>
          <w:tab/>
        </w:r>
        <w:r w:rsidR="000B7170">
          <w:rPr>
            <w:webHidden/>
          </w:rPr>
          <w:fldChar w:fldCharType="begin"/>
        </w:r>
        <w:r w:rsidR="000B7170">
          <w:rPr>
            <w:webHidden/>
          </w:rPr>
          <w:instrText xml:space="preserve"> PAGEREF _Toc508271023 \h </w:instrText>
        </w:r>
        <w:r w:rsidR="000B7170">
          <w:rPr>
            <w:webHidden/>
          </w:rPr>
        </w:r>
        <w:r w:rsidR="000B7170">
          <w:rPr>
            <w:webHidden/>
          </w:rPr>
          <w:fldChar w:fldCharType="separate"/>
        </w:r>
        <w:r w:rsidR="000B7170">
          <w:rPr>
            <w:webHidden/>
          </w:rPr>
          <w:t>23</w:t>
        </w:r>
        <w:r w:rsidR="000B7170">
          <w:rPr>
            <w:webHidden/>
          </w:rPr>
          <w:fldChar w:fldCharType="end"/>
        </w:r>
      </w:hyperlink>
    </w:p>
    <w:p w:rsidR="000B7170" w:rsidRDefault="006B0ABB">
      <w:pPr>
        <w:pStyle w:val="Innehll1"/>
        <w:rPr>
          <w:rFonts w:asciiTheme="minorHAnsi" w:eastAsiaTheme="minorEastAsia" w:hAnsiTheme="minorHAnsi" w:cstheme="minorBidi"/>
          <w:sz w:val="22"/>
          <w:szCs w:val="22"/>
          <w:lang w:val="sv-FI" w:eastAsia="sv-FI"/>
        </w:rPr>
      </w:pPr>
      <w:hyperlink w:anchor="_Toc508271024" w:history="1">
        <w:r w:rsidR="000B7170" w:rsidRPr="00410A44">
          <w:rPr>
            <w:rStyle w:val="Hyperlnk"/>
          </w:rPr>
          <w:t>15. Fiskeripolitik</w:t>
        </w:r>
        <w:r w:rsidR="000B7170">
          <w:rPr>
            <w:webHidden/>
          </w:rPr>
          <w:tab/>
        </w:r>
        <w:r w:rsidR="000B7170">
          <w:rPr>
            <w:webHidden/>
          </w:rPr>
          <w:fldChar w:fldCharType="begin"/>
        </w:r>
        <w:r w:rsidR="000B7170">
          <w:rPr>
            <w:webHidden/>
          </w:rPr>
          <w:instrText xml:space="preserve"> PAGEREF _Toc508271024 \h </w:instrText>
        </w:r>
        <w:r w:rsidR="000B7170">
          <w:rPr>
            <w:webHidden/>
          </w:rPr>
        </w:r>
        <w:r w:rsidR="000B7170">
          <w:rPr>
            <w:webHidden/>
          </w:rPr>
          <w:fldChar w:fldCharType="separate"/>
        </w:r>
        <w:r w:rsidR="000B7170">
          <w:rPr>
            <w:webHidden/>
          </w:rPr>
          <w:t>24</w:t>
        </w:r>
        <w:r w:rsidR="000B7170">
          <w:rPr>
            <w:webHidden/>
          </w:rPr>
          <w:fldChar w:fldCharType="end"/>
        </w:r>
      </w:hyperlink>
    </w:p>
    <w:p w:rsidR="000B7170" w:rsidRDefault="006B0ABB">
      <w:pPr>
        <w:pStyle w:val="Innehll1"/>
        <w:rPr>
          <w:rFonts w:asciiTheme="minorHAnsi" w:eastAsiaTheme="minorEastAsia" w:hAnsiTheme="minorHAnsi" w:cstheme="minorBidi"/>
          <w:sz w:val="22"/>
          <w:szCs w:val="22"/>
          <w:lang w:val="sv-FI" w:eastAsia="sv-FI"/>
        </w:rPr>
      </w:pPr>
      <w:hyperlink w:anchor="_Toc508271025" w:history="1">
        <w:r w:rsidR="000B7170" w:rsidRPr="00410A44">
          <w:rPr>
            <w:rStyle w:val="Hyperlnk"/>
          </w:rPr>
          <w:t>16. Flytt av utlänningsärenden från polisen till Migrationsverket</w:t>
        </w:r>
        <w:r w:rsidR="000B7170">
          <w:rPr>
            <w:webHidden/>
          </w:rPr>
          <w:tab/>
        </w:r>
        <w:r w:rsidR="000B7170">
          <w:rPr>
            <w:webHidden/>
          </w:rPr>
          <w:fldChar w:fldCharType="begin"/>
        </w:r>
        <w:r w:rsidR="000B7170">
          <w:rPr>
            <w:webHidden/>
          </w:rPr>
          <w:instrText xml:space="preserve"> PAGEREF _Toc508271025 \h </w:instrText>
        </w:r>
        <w:r w:rsidR="000B7170">
          <w:rPr>
            <w:webHidden/>
          </w:rPr>
        </w:r>
        <w:r w:rsidR="000B7170">
          <w:rPr>
            <w:webHidden/>
          </w:rPr>
          <w:fldChar w:fldCharType="separate"/>
        </w:r>
        <w:r w:rsidR="000B7170">
          <w:rPr>
            <w:webHidden/>
          </w:rPr>
          <w:t>25</w:t>
        </w:r>
        <w:r w:rsidR="000B7170">
          <w:rPr>
            <w:webHidden/>
          </w:rPr>
          <w:fldChar w:fldCharType="end"/>
        </w:r>
      </w:hyperlink>
    </w:p>
    <w:p w:rsidR="000B7170" w:rsidRDefault="006B0ABB">
      <w:pPr>
        <w:pStyle w:val="Innehll1"/>
        <w:rPr>
          <w:rFonts w:asciiTheme="minorHAnsi" w:eastAsiaTheme="minorEastAsia" w:hAnsiTheme="minorHAnsi" w:cstheme="minorBidi"/>
          <w:sz w:val="22"/>
          <w:szCs w:val="22"/>
          <w:lang w:val="sv-FI" w:eastAsia="sv-FI"/>
        </w:rPr>
      </w:pPr>
      <w:hyperlink w:anchor="_Toc508271026" w:history="1">
        <w:r w:rsidR="000B7170" w:rsidRPr="00410A44">
          <w:rPr>
            <w:rStyle w:val="Hyperlnk"/>
            <w:lang w:val="sv-FI"/>
          </w:rPr>
          <w:t>17. El och energi 2017 – 2018</w:t>
        </w:r>
        <w:r w:rsidR="000B7170">
          <w:rPr>
            <w:webHidden/>
          </w:rPr>
          <w:tab/>
        </w:r>
        <w:r w:rsidR="000B7170">
          <w:rPr>
            <w:webHidden/>
          </w:rPr>
          <w:fldChar w:fldCharType="begin"/>
        </w:r>
        <w:r w:rsidR="000B7170">
          <w:rPr>
            <w:webHidden/>
          </w:rPr>
          <w:instrText xml:space="preserve"> PAGEREF _Toc508271026 \h </w:instrText>
        </w:r>
        <w:r w:rsidR="000B7170">
          <w:rPr>
            <w:webHidden/>
          </w:rPr>
        </w:r>
        <w:r w:rsidR="000B7170">
          <w:rPr>
            <w:webHidden/>
          </w:rPr>
          <w:fldChar w:fldCharType="separate"/>
        </w:r>
        <w:r w:rsidR="000B7170">
          <w:rPr>
            <w:webHidden/>
          </w:rPr>
          <w:t>25</w:t>
        </w:r>
        <w:r w:rsidR="000B7170">
          <w:rPr>
            <w:webHidden/>
          </w:rPr>
          <w:fldChar w:fldCharType="end"/>
        </w:r>
      </w:hyperlink>
    </w:p>
    <w:p w:rsidR="000B7170" w:rsidRDefault="006B0ABB">
      <w:pPr>
        <w:pStyle w:val="Innehll2"/>
        <w:rPr>
          <w:rFonts w:asciiTheme="minorHAnsi" w:eastAsiaTheme="minorEastAsia" w:hAnsiTheme="minorHAnsi" w:cstheme="minorBidi"/>
          <w:sz w:val="22"/>
          <w:szCs w:val="22"/>
          <w:lang w:val="sv-FI" w:eastAsia="sv-FI"/>
        </w:rPr>
      </w:pPr>
      <w:hyperlink w:anchor="_Toc508271027" w:history="1">
        <w:r w:rsidR="000B7170" w:rsidRPr="00410A44">
          <w:rPr>
            <w:rStyle w:val="Hyperlnk"/>
            <w:lang w:val="sv-FI"/>
          </w:rPr>
          <w:t>17.1.Åland som innovativ plattform för flexibelt energisystem</w:t>
        </w:r>
        <w:r w:rsidR="000B7170">
          <w:rPr>
            <w:webHidden/>
          </w:rPr>
          <w:tab/>
        </w:r>
        <w:r w:rsidR="000B7170">
          <w:rPr>
            <w:webHidden/>
          </w:rPr>
          <w:fldChar w:fldCharType="begin"/>
        </w:r>
        <w:r w:rsidR="000B7170">
          <w:rPr>
            <w:webHidden/>
          </w:rPr>
          <w:instrText xml:space="preserve"> PAGEREF _Toc508271027 \h </w:instrText>
        </w:r>
        <w:r w:rsidR="000B7170">
          <w:rPr>
            <w:webHidden/>
          </w:rPr>
        </w:r>
        <w:r w:rsidR="000B7170">
          <w:rPr>
            <w:webHidden/>
          </w:rPr>
          <w:fldChar w:fldCharType="separate"/>
        </w:r>
        <w:r w:rsidR="000B7170">
          <w:rPr>
            <w:webHidden/>
          </w:rPr>
          <w:t>26</w:t>
        </w:r>
        <w:r w:rsidR="000B7170">
          <w:rPr>
            <w:webHidden/>
          </w:rPr>
          <w:fldChar w:fldCharType="end"/>
        </w:r>
      </w:hyperlink>
    </w:p>
    <w:p w:rsidR="000E14E2" w:rsidRPr="000B7170" w:rsidRDefault="000E14E2">
      <w:pPr>
        <w:pStyle w:val="ANormal"/>
        <w:rPr>
          <w:noProof/>
        </w:rPr>
      </w:pPr>
      <w:r w:rsidRPr="000B7170">
        <w:rPr>
          <w:noProof/>
        </w:rPr>
        <w:fldChar w:fldCharType="end"/>
      </w:r>
    </w:p>
    <w:p w:rsidR="00850D2A" w:rsidRPr="000B7170" w:rsidRDefault="00850D2A" w:rsidP="00850D2A">
      <w:pPr>
        <w:pStyle w:val="Rubrikmellanrum"/>
        <w:rPr>
          <w:sz w:val="22"/>
        </w:rPr>
      </w:pPr>
    </w:p>
    <w:p w:rsidR="00A16BD2" w:rsidRPr="000B7170" w:rsidRDefault="00A16BD2" w:rsidP="00A16BD2">
      <w:pPr>
        <w:pStyle w:val="ANormal"/>
      </w:pPr>
    </w:p>
    <w:p w:rsidR="00A16BD2" w:rsidRPr="000B7170" w:rsidRDefault="00A16BD2" w:rsidP="00A16BD2">
      <w:pPr>
        <w:pStyle w:val="ANormal"/>
      </w:pPr>
    </w:p>
    <w:p w:rsidR="002A7E86" w:rsidRPr="000B7170" w:rsidRDefault="002A7E86" w:rsidP="00A16BD2">
      <w:pPr>
        <w:pStyle w:val="RubrikA"/>
        <w:rPr>
          <w:lang w:val="sv-FI" w:eastAsia="sv-FI"/>
        </w:rPr>
      </w:pPr>
      <w:bookmarkStart w:id="0" w:name="_Toc444602654"/>
    </w:p>
    <w:p w:rsidR="002A7E86" w:rsidRPr="000B7170" w:rsidRDefault="002A7E86" w:rsidP="00A16BD2">
      <w:pPr>
        <w:pStyle w:val="RubrikA"/>
        <w:rPr>
          <w:lang w:val="sv-FI" w:eastAsia="sv-FI"/>
        </w:rPr>
      </w:pPr>
    </w:p>
    <w:p w:rsidR="002A7E86" w:rsidRPr="000B7170" w:rsidRDefault="002A7E86" w:rsidP="00A16BD2">
      <w:pPr>
        <w:pStyle w:val="RubrikA"/>
        <w:rPr>
          <w:lang w:val="sv-FI" w:eastAsia="sv-FI"/>
        </w:rPr>
      </w:pPr>
    </w:p>
    <w:p w:rsidR="002A7E86" w:rsidRPr="000B7170" w:rsidRDefault="002A7E86" w:rsidP="00A16BD2">
      <w:pPr>
        <w:pStyle w:val="RubrikA"/>
        <w:rPr>
          <w:lang w:val="sv-FI" w:eastAsia="sv-FI"/>
        </w:rPr>
      </w:pPr>
    </w:p>
    <w:p w:rsidR="002A7E86" w:rsidRPr="000B7170" w:rsidRDefault="002A7E86" w:rsidP="00A16BD2">
      <w:pPr>
        <w:pStyle w:val="RubrikA"/>
        <w:rPr>
          <w:lang w:val="sv-FI" w:eastAsia="sv-FI"/>
        </w:rPr>
      </w:pPr>
    </w:p>
    <w:p w:rsidR="002A7E86" w:rsidRPr="000B7170" w:rsidRDefault="002A7E86" w:rsidP="00A16BD2">
      <w:pPr>
        <w:pStyle w:val="RubrikA"/>
        <w:rPr>
          <w:lang w:val="sv-FI" w:eastAsia="sv-FI"/>
        </w:rPr>
      </w:pPr>
    </w:p>
    <w:p w:rsidR="002A7E86" w:rsidRPr="000B7170" w:rsidRDefault="002A7E86" w:rsidP="00A16BD2">
      <w:pPr>
        <w:pStyle w:val="RubrikA"/>
        <w:rPr>
          <w:lang w:val="sv-FI" w:eastAsia="sv-FI"/>
        </w:rPr>
      </w:pPr>
    </w:p>
    <w:p w:rsidR="002A7E86" w:rsidRPr="000B7170" w:rsidRDefault="002A7E86" w:rsidP="00A16BD2">
      <w:pPr>
        <w:pStyle w:val="RubrikA"/>
        <w:rPr>
          <w:lang w:val="sv-FI" w:eastAsia="sv-FI"/>
        </w:rPr>
      </w:pPr>
    </w:p>
    <w:p w:rsidR="002A7E86" w:rsidRPr="000B7170" w:rsidRDefault="002A7E86" w:rsidP="00A16BD2">
      <w:pPr>
        <w:pStyle w:val="RubrikA"/>
        <w:rPr>
          <w:lang w:val="sv-FI" w:eastAsia="sv-FI"/>
        </w:rPr>
      </w:pPr>
    </w:p>
    <w:p w:rsidR="002A7E86" w:rsidRPr="000B7170" w:rsidRDefault="002A7E86" w:rsidP="002A7E86">
      <w:pPr>
        <w:pStyle w:val="Rubrikmellanrum"/>
        <w:rPr>
          <w:lang w:val="sv-FI" w:eastAsia="sv-FI"/>
        </w:rPr>
      </w:pPr>
    </w:p>
    <w:p w:rsidR="002A7E86" w:rsidRPr="000B7170" w:rsidRDefault="002A7E86" w:rsidP="002A7E86">
      <w:pPr>
        <w:pStyle w:val="ANormal"/>
        <w:rPr>
          <w:lang w:val="sv-FI" w:eastAsia="sv-FI"/>
        </w:rPr>
      </w:pPr>
    </w:p>
    <w:p w:rsidR="002A7E86" w:rsidRPr="000B7170" w:rsidRDefault="002A7E86" w:rsidP="00A16BD2">
      <w:pPr>
        <w:pStyle w:val="RubrikA"/>
        <w:rPr>
          <w:lang w:val="sv-FI" w:eastAsia="sv-FI"/>
        </w:rPr>
      </w:pPr>
    </w:p>
    <w:p w:rsidR="002A7E86" w:rsidRPr="000B7170" w:rsidRDefault="002A7E86" w:rsidP="00A16BD2">
      <w:pPr>
        <w:pStyle w:val="RubrikA"/>
        <w:rPr>
          <w:lang w:val="sv-FI" w:eastAsia="sv-FI"/>
        </w:rPr>
      </w:pPr>
    </w:p>
    <w:p w:rsidR="00DF0CD8" w:rsidRPr="000B7170" w:rsidRDefault="00DF0CD8" w:rsidP="00A16BD2">
      <w:pPr>
        <w:pStyle w:val="RubrikA"/>
        <w:rPr>
          <w:lang w:val="sv-FI" w:eastAsia="sv-FI"/>
        </w:rPr>
      </w:pPr>
    </w:p>
    <w:p w:rsidR="004C4F72" w:rsidRPr="000B7170" w:rsidRDefault="004C4F72" w:rsidP="00A16BD2">
      <w:pPr>
        <w:pStyle w:val="RubrikA"/>
        <w:rPr>
          <w:lang w:val="sv-FI" w:eastAsia="sv-FI"/>
        </w:rPr>
      </w:pPr>
    </w:p>
    <w:p w:rsidR="00A16BD2" w:rsidRPr="000B7170" w:rsidRDefault="00A16BD2" w:rsidP="00A16BD2">
      <w:pPr>
        <w:pStyle w:val="RubrikA"/>
        <w:rPr>
          <w:lang w:val="sv-FI" w:eastAsia="sv-FI"/>
        </w:rPr>
      </w:pPr>
      <w:bookmarkStart w:id="1" w:name="_Toc508270986"/>
      <w:r w:rsidRPr="000B7170">
        <w:rPr>
          <w:lang w:val="sv-FI" w:eastAsia="sv-FI"/>
        </w:rPr>
        <w:t>1. Självstyrelsesystemet</w:t>
      </w:r>
      <w:bookmarkEnd w:id="0"/>
      <w:bookmarkEnd w:id="1"/>
    </w:p>
    <w:p w:rsidR="00A16BD2" w:rsidRPr="000B7170" w:rsidRDefault="00A16BD2" w:rsidP="00A16BD2">
      <w:pPr>
        <w:pStyle w:val="RubrikB"/>
        <w:rPr>
          <w:lang w:val="sv-FI" w:eastAsia="sv-FI"/>
        </w:rPr>
      </w:pPr>
      <w:bookmarkStart w:id="2" w:name="_Toc444602655"/>
      <w:bookmarkStart w:id="3" w:name="_Toc508270987"/>
      <w:r w:rsidRPr="000B7170">
        <w:rPr>
          <w:lang w:val="sv-FI" w:eastAsia="sv-FI"/>
        </w:rPr>
        <w:t>1.1 Reformering av självstyrelsesystemet</w:t>
      </w:r>
      <w:bookmarkEnd w:id="2"/>
      <w:bookmarkEnd w:id="3"/>
    </w:p>
    <w:p w:rsidR="0095600A" w:rsidRPr="000B7170" w:rsidRDefault="0095600A" w:rsidP="0095600A">
      <w:pPr>
        <w:pStyle w:val="ANormal"/>
      </w:pPr>
      <w:r w:rsidRPr="000B7170">
        <w:t>Arbetet i den av statsrådet tillsatta parlamentariska kommittén, Åland</w:t>
      </w:r>
      <w:r w:rsidRPr="000B7170">
        <w:t>s</w:t>
      </w:r>
      <w:r w:rsidRPr="000B7170">
        <w:t xml:space="preserve">kommittén 2013 </w:t>
      </w:r>
      <w:r w:rsidR="000323F6" w:rsidRPr="000B7170">
        <w:t>fortsatte</w:t>
      </w:r>
      <w:r w:rsidRPr="000B7170">
        <w:t xml:space="preserve"> under år 2017</w:t>
      </w:r>
      <w:r w:rsidR="000323F6" w:rsidRPr="000B7170">
        <w:t xml:space="preserve"> </w:t>
      </w:r>
      <w:r w:rsidRPr="000B7170">
        <w:t>utgående från kommitténs delb</w:t>
      </w:r>
      <w:r w:rsidRPr="000B7170">
        <w:t>e</w:t>
      </w:r>
      <w:r w:rsidRPr="000B7170">
        <w:t xml:space="preserve">tänkande som överlämnades till justitieminister Anna-Maja Henriksson den 28 januari 2015. Den 16 juni 2017 </w:t>
      </w:r>
      <w:r w:rsidR="000323F6" w:rsidRPr="000B7170">
        <w:t>överlämnade</w:t>
      </w:r>
      <w:r w:rsidRPr="000B7170">
        <w:t xml:space="preserve"> Ålandskommittén sitt slu</w:t>
      </w:r>
      <w:r w:rsidRPr="000B7170">
        <w:t>t</w:t>
      </w:r>
      <w:r w:rsidRPr="000B7170">
        <w:t xml:space="preserve">betänkande </w:t>
      </w:r>
      <w:r w:rsidR="000D74F3" w:rsidRPr="000B7170">
        <w:t>v</w:t>
      </w:r>
      <w:r w:rsidR="000323F6" w:rsidRPr="000B7170">
        <w:t xml:space="preserve">arefter </w:t>
      </w:r>
      <w:r w:rsidRPr="000B7170">
        <w:t>justitieministeriet</w:t>
      </w:r>
      <w:r w:rsidR="000323F6" w:rsidRPr="000B7170">
        <w:t xml:space="preserve"> föranstaltade om en remissrunda</w:t>
      </w:r>
      <w:r w:rsidRPr="000B7170">
        <w:t xml:space="preserve">. Landskapsregeringen avgav, efter diskussioner med självstyrelsepolitiska nämnden sitt utlåtande den 27 september 2017 (ÅLR 2017/4970). Den </w:t>
      </w:r>
      <w:r w:rsidR="00397548" w:rsidRPr="000B7170">
        <w:t>la</w:t>
      </w:r>
      <w:r w:rsidR="00397548" w:rsidRPr="000B7170">
        <w:t>g</w:t>
      </w:r>
      <w:r w:rsidR="00397548" w:rsidRPr="000B7170">
        <w:t xml:space="preserve">beredningsgrupp som verkat </w:t>
      </w:r>
      <w:r w:rsidRPr="000B7170">
        <w:t xml:space="preserve">under Ålandskommittén påbörjade </w:t>
      </w:r>
      <w:r w:rsidR="004537F7" w:rsidRPr="000B7170">
        <w:t>efter r</w:t>
      </w:r>
      <w:r w:rsidR="004537F7" w:rsidRPr="000B7170">
        <w:t>e</w:t>
      </w:r>
      <w:r w:rsidR="004537F7" w:rsidRPr="000B7170">
        <w:t>misstidens utgång</w:t>
      </w:r>
      <w:r w:rsidRPr="000B7170">
        <w:t xml:space="preserve"> ett arbete för att gå igenom de inkomna yttrandena. En politisk dialog </w:t>
      </w:r>
      <w:r w:rsidR="00397548" w:rsidRPr="000B7170">
        <w:t>upprätth</w:t>
      </w:r>
      <w:r w:rsidR="004537F7" w:rsidRPr="000B7170">
        <w:t>ö</w:t>
      </w:r>
      <w:r w:rsidR="00397548" w:rsidRPr="000B7170">
        <w:t>lls</w:t>
      </w:r>
      <w:r w:rsidRPr="000B7170">
        <w:t xml:space="preserve"> parallellt under hösten mellan lantrådet Katrin Sjögren och Ålandsminister Anne Berner. </w:t>
      </w:r>
      <w:r w:rsidR="000804DE" w:rsidRPr="000B7170">
        <w:t>P</w:t>
      </w:r>
      <w:r w:rsidRPr="000B7170">
        <w:t xml:space="preserve">roblemställningarna som lyfts i de inkomna yttrandena visade sig </w:t>
      </w:r>
      <w:r w:rsidR="000804DE" w:rsidRPr="000B7170">
        <w:t xml:space="preserve">dock </w:t>
      </w:r>
      <w:r w:rsidRPr="000B7170">
        <w:t xml:space="preserve">vara av sådan art att det inte var möjligt att lösa dem </w:t>
      </w:r>
      <w:r w:rsidR="000804DE" w:rsidRPr="000B7170">
        <w:t>vare sig</w:t>
      </w:r>
      <w:r w:rsidRPr="000B7170">
        <w:t xml:space="preserve"> i lagberedningsgruppen eller </w:t>
      </w:r>
      <w:r w:rsidR="000804DE" w:rsidRPr="000B7170">
        <w:t>inom den tid som Ålandsministern och lantrådet rimligen kunde avsätta för saken. Justitiem</w:t>
      </w:r>
      <w:r w:rsidR="000804DE" w:rsidRPr="000B7170">
        <w:t>i</w:t>
      </w:r>
      <w:r w:rsidR="000804DE" w:rsidRPr="000B7170">
        <w:t xml:space="preserve">nisteriet och landskapsregeringen kom därför överens om </w:t>
      </w:r>
      <w:r w:rsidRPr="000B7170">
        <w:t xml:space="preserve">att en arbetsgrupp </w:t>
      </w:r>
      <w:r w:rsidR="007E2896" w:rsidRPr="000B7170">
        <w:t xml:space="preserve">på hög nivå </w:t>
      </w:r>
      <w:r w:rsidRPr="000B7170">
        <w:t>under ledning av justitierådet Niilo Jääskinen</w:t>
      </w:r>
      <w:r w:rsidR="000804DE" w:rsidRPr="000B7170">
        <w:t xml:space="preserve"> tillsätts</w:t>
      </w:r>
      <w:r w:rsidR="007E2896" w:rsidRPr="000B7170">
        <w:t xml:space="preserve"> för den fortsatta beredningen</w:t>
      </w:r>
      <w:r w:rsidR="00B7303B" w:rsidRPr="000B7170">
        <w:t>. Arbetsgruppen ska</w:t>
      </w:r>
      <w:r w:rsidR="007E2896" w:rsidRPr="000B7170">
        <w:t xml:space="preserve"> </w:t>
      </w:r>
      <w:r w:rsidR="004537F7" w:rsidRPr="000B7170">
        <w:t xml:space="preserve">enligt tillsättandebeslutet </w:t>
      </w:r>
      <w:r w:rsidR="007E2896" w:rsidRPr="000B7170">
        <w:t>utgå från Ålandskommitténs betänkande och de inkomna remisssvaren</w:t>
      </w:r>
      <w:r w:rsidRPr="000B7170">
        <w:t xml:space="preserve">. </w:t>
      </w:r>
    </w:p>
    <w:p w:rsidR="0095600A" w:rsidRPr="000B7170" w:rsidRDefault="0095600A" w:rsidP="0095600A">
      <w:pPr>
        <w:pStyle w:val="ANormal"/>
      </w:pPr>
      <w:r w:rsidRPr="000B7170">
        <w:tab/>
        <w:t xml:space="preserve">Den </w:t>
      </w:r>
      <w:r w:rsidR="00EF025E" w:rsidRPr="000B7170">
        <w:t>i medlet av december 2017 tillsatta</w:t>
      </w:r>
      <w:r w:rsidRPr="000B7170">
        <w:t xml:space="preserve"> arbetsgruppen består av </w:t>
      </w:r>
      <w:r w:rsidR="00EF025E" w:rsidRPr="000B7170">
        <w:t>viceh</w:t>
      </w:r>
      <w:r w:rsidR="00EF025E" w:rsidRPr="000B7170">
        <w:t>ä</w:t>
      </w:r>
      <w:r w:rsidR="00EF025E" w:rsidRPr="000B7170">
        <w:t>radshövding Kimmo Sasi och kanslichef Päivi Nerg, utsedda av statsrådet</w:t>
      </w:r>
      <w:r w:rsidR="004537F7" w:rsidRPr="000B7170">
        <w:t>,</w:t>
      </w:r>
      <w:r w:rsidR="00EF025E" w:rsidRPr="000B7170">
        <w:t xml:space="preserve"> samt lagtingsdirektör Susanne Eriksson och </w:t>
      </w:r>
      <w:r w:rsidRPr="000B7170">
        <w:t>förvaltnings- och utveckling</w:t>
      </w:r>
      <w:r w:rsidRPr="000B7170">
        <w:t>s</w:t>
      </w:r>
      <w:r w:rsidRPr="000B7170">
        <w:t>chef Dan E Eriksson</w:t>
      </w:r>
      <w:r w:rsidR="00EF025E" w:rsidRPr="000B7170">
        <w:t xml:space="preserve">, </w:t>
      </w:r>
      <w:r w:rsidRPr="000B7170">
        <w:t>utsedda av landskapsregeringen. Arbetsgruppen har till sitt förfogande sakkunniga och sekreterare, utsedda av landskapsreg</w:t>
      </w:r>
      <w:r w:rsidRPr="000B7170">
        <w:t>e</w:t>
      </w:r>
      <w:r w:rsidRPr="000B7170">
        <w:t>ringen och statsrådet. Arbetsgruppens uppdrag är att på basen av tillbak</w:t>
      </w:r>
      <w:r w:rsidRPr="000B7170">
        <w:t>a</w:t>
      </w:r>
      <w:r w:rsidRPr="000B7170">
        <w:t>medlingen i remissvaren över kommittébetänkandet och de diskussioner som redan förts, ringa in sådana temata och sakfrågor som förutsätter for</w:t>
      </w:r>
      <w:r w:rsidRPr="000B7170">
        <w:t>t</w:t>
      </w:r>
      <w:r w:rsidRPr="000B7170">
        <w:t>satt beredning och politiska diskussioner samt ställa förslag om de frågor som förutsätter politiska riktlinjer. I arbetsgruppens riktlinjeförslag ska ingå paragrafförslag. För vinnande av enhetlighet och överskådlighet bör ett la</w:t>
      </w:r>
      <w:r w:rsidRPr="000B7170">
        <w:t>g</w:t>
      </w:r>
      <w:r w:rsidRPr="000B7170">
        <w:t>förslag till Ålands självstyrelselag i sin helhet med detaljmotiveringar ingå i rapporten. Arbetsgruppen ska bedöma hurdana tilläggsutredningar som möjligen krävs i arbetet. Justitieministeriet beslutar om utredningar ska b</w:t>
      </w:r>
      <w:r w:rsidRPr="000B7170">
        <w:t>e</w:t>
      </w:r>
      <w:r w:rsidRPr="000B7170">
        <w:t>ställas. Arbetsgruppen kan höra representanter för Ålands landskaps</w:t>
      </w:r>
      <w:r w:rsidRPr="000B7170">
        <w:softHyphen/>
        <w:t>regering samt representanter för ministerierna, högsta domstolen, högsta förvaltningsdomstolen, Ålandsdelegationen och justitiekanslersämbetet. Arbetsgruppen kan även höra utomstående sakkunniga. Arbetsgruppen kan fungera i sektioner.</w:t>
      </w:r>
      <w:r w:rsidR="007E2896" w:rsidRPr="000B7170">
        <w:t xml:space="preserve"> Arbetsgruppen förväntas avlägga sin rapport inom mars månad 2018</w:t>
      </w:r>
    </w:p>
    <w:p w:rsidR="0095600A" w:rsidRPr="000B7170" w:rsidRDefault="0095600A" w:rsidP="0095600A">
      <w:pPr>
        <w:pStyle w:val="ANormal"/>
      </w:pPr>
      <w:r w:rsidRPr="000B7170">
        <w:tab/>
        <w:t xml:space="preserve">De åländska medlemmarna i arbetsgruppen </w:t>
      </w:r>
      <w:r w:rsidR="007E2896" w:rsidRPr="000B7170">
        <w:t>informerar</w:t>
      </w:r>
      <w:r w:rsidRPr="000B7170">
        <w:t xml:space="preserve"> fortlöpande lan</w:t>
      </w:r>
      <w:r w:rsidRPr="000B7170">
        <w:t>d</w:t>
      </w:r>
      <w:r w:rsidRPr="000B7170">
        <w:t>skapsregeringen och den självstyrelsepolitiska nämnden</w:t>
      </w:r>
      <w:r w:rsidR="007E2896" w:rsidRPr="000B7170">
        <w:t xml:space="preserve"> om arbetet i gru</w:t>
      </w:r>
      <w:r w:rsidR="007E2896" w:rsidRPr="000B7170">
        <w:t>p</w:t>
      </w:r>
      <w:r w:rsidR="007E2896" w:rsidRPr="000B7170">
        <w:t>pen och hur det fortskrider</w:t>
      </w:r>
      <w:r w:rsidRPr="000B7170">
        <w:t>.</w:t>
      </w:r>
    </w:p>
    <w:p w:rsidR="00E42618" w:rsidRPr="000B7170" w:rsidRDefault="00E42618" w:rsidP="00A16BD2">
      <w:pPr>
        <w:pStyle w:val="ANormal"/>
        <w:rPr>
          <w:lang w:val="sv-FI"/>
        </w:rPr>
      </w:pPr>
    </w:p>
    <w:p w:rsidR="00A16BD2" w:rsidRPr="000B7170" w:rsidRDefault="00A16BD2" w:rsidP="000D0A33">
      <w:pPr>
        <w:pStyle w:val="RubrikB"/>
      </w:pPr>
      <w:bookmarkStart w:id="4" w:name="_Toc508270988"/>
      <w:r w:rsidRPr="000B7170">
        <w:t xml:space="preserve">1.2. </w:t>
      </w:r>
      <w:r w:rsidR="000D0A33" w:rsidRPr="000B7170">
        <w:t>Relationerna riket-Åland</w:t>
      </w:r>
      <w:bookmarkEnd w:id="4"/>
    </w:p>
    <w:p w:rsidR="005E276B" w:rsidRPr="000B7170" w:rsidRDefault="005E276B" w:rsidP="005E276B">
      <w:pPr>
        <w:pStyle w:val="ANormal"/>
        <w:rPr>
          <w:lang w:val="sv-FI"/>
        </w:rPr>
      </w:pPr>
      <w:r w:rsidRPr="000B7170">
        <w:rPr>
          <w:lang w:val="sv-FI"/>
        </w:rPr>
        <w:t>Goda relationer mellan landskapet och riksmyndigheterna är en förutsät</w:t>
      </w:r>
      <w:r w:rsidRPr="000B7170">
        <w:rPr>
          <w:lang w:val="sv-FI"/>
        </w:rPr>
        <w:t>t</w:t>
      </w:r>
      <w:r w:rsidRPr="000B7170">
        <w:rPr>
          <w:lang w:val="sv-FI"/>
        </w:rPr>
        <w:t xml:space="preserve">ning för att självstyrelsesystemet ska fungera på ett tillfredsställande sätt. Landskapsregeringen </w:t>
      </w:r>
      <w:r w:rsidR="00625DA2" w:rsidRPr="000B7170">
        <w:rPr>
          <w:lang w:val="sv-FI"/>
        </w:rPr>
        <w:t>framh</w:t>
      </w:r>
      <w:r w:rsidR="002B4942" w:rsidRPr="000B7170">
        <w:rPr>
          <w:lang w:val="sv-FI"/>
        </w:rPr>
        <w:t>ö</w:t>
      </w:r>
      <w:r w:rsidR="00625DA2" w:rsidRPr="000B7170">
        <w:rPr>
          <w:lang w:val="sv-FI"/>
        </w:rPr>
        <w:t>ll i förra redogörelsen till självstyrelsepolitiska nämnden</w:t>
      </w:r>
      <w:r w:rsidRPr="000B7170">
        <w:t xml:space="preserve"> sin oro och uppfattning att relationerna mellan riket och </w:t>
      </w:r>
      <w:r w:rsidRPr="000B7170">
        <w:rPr>
          <w:lang w:val="da-DK"/>
        </w:rPr>
        <w:t>Å</w:t>
      </w:r>
      <w:r w:rsidRPr="000B7170">
        <w:t>land sammantaget utveckla</w:t>
      </w:r>
      <w:r w:rsidR="00625DA2" w:rsidRPr="000B7170">
        <w:t>t</w:t>
      </w:r>
      <w:r w:rsidRPr="000B7170">
        <w:t xml:space="preserve">s i negativ riktning </w:t>
      </w:r>
      <w:r w:rsidR="002B4942" w:rsidRPr="000B7170">
        <w:t xml:space="preserve">och </w:t>
      </w:r>
      <w:r w:rsidRPr="000B7170">
        <w:t>att en grundläggande förän</w:t>
      </w:r>
      <w:r w:rsidRPr="000B7170">
        <w:t>d</w:t>
      </w:r>
      <w:r w:rsidRPr="000B7170">
        <w:lastRenderedPageBreak/>
        <w:t xml:space="preserve">ring i hur man i riket ser på Ålands självstyrelse </w:t>
      </w:r>
      <w:r w:rsidR="002B4942" w:rsidRPr="000B7170">
        <w:t>har skett.</w:t>
      </w:r>
      <w:r w:rsidRPr="000B7170">
        <w:t xml:space="preserve"> Samtidigt finns det vid ministerierna både okunskap och osäkerhet om hur åländska frågor ska hanteras. Landskapsregeringen upplever att ett uttryck för detta är att det är svårare att genom diskussioner lösa uppkomna problem.</w:t>
      </w:r>
    </w:p>
    <w:p w:rsidR="005E276B" w:rsidRPr="000B7170" w:rsidRDefault="005E276B" w:rsidP="005E276B">
      <w:pPr>
        <w:pStyle w:val="ANormal"/>
        <w:rPr>
          <w:lang w:val="sv-FI"/>
        </w:rPr>
      </w:pPr>
      <w:r w:rsidRPr="000B7170">
        <w:rPr>
          <w:lang w:val="sv-FI"/>
        </w:rPr>
        <w:tab/>
        <w:t>Landskapsregeringen har under året arbetat aktivt för att förbättra ko</w:t>
      </w:r>
      <w:r w:rsidRPr="000B7170">
        <w:rPr>
          <w:lang w:val="sv-FI"/>
        </w:rPr>
        <w:t>n</w:t>
      </w:r>
      <w:r w:rsidRPr="000B7170">
        <w:rPr>
          <w:lang w:val="sv-FI"/>
        </w:rPr>
        <w:t xml:space="preserve">takterna med riksmyndigheterna i syfte att skapa goda </w:t>
      </w:r>
      <w:r w:rsidR="00EF025E" w:rsidRPr="000B7170">
        <w:rPr>
          <w:lang w:val="sv-FI"/>
        </w:rPr>
        <w:t xml:space="preserve">och </w:t>
      </w:r>
      <w:r w:rsidRPr="000B7170">
        <w:rPr>
          <w:lang w:val="sv-FI"/>
        </w:rPr>
        <w:t xml:space="preserve">välfungerande relationer samt öka kunskapen om Åland vid ministerierna. </w:t>
      </w:r>
      <w:r w:rsidR="00033B77" w:rsidRPr="000B7170">
        <w:rPr>
          <w:lang w:val="sv-FI"/>
        </w:rPr>
        <w:t xml:space="preserve">Det besök av ministeriernas kanslichefer som ägde rum i början av maj i fjol, </w:t>
      </w:r>
      <w:r w:rsidR="00031214" w:rsidRPr="000B7170">
        <w:rPr>
          <w:lang w:val="sv-FI"/>
        </w:rPr>
        <w:t>vilket b</w:t>
      </w:r>
      <w:r w:rsidR="00031214" w:rsidRPr="000B7170">
        <w:rPr>
          <w:lang w:val="sv-FI"/>
        </w:rPr>
        <w:t>e</w:t>
      </w:r>
      <w:r w:rsidR="00031214" w:rsidRPr="000B7170">
        <w:rPr>
          <w:lang w:val="sv-FI"/>
        </w:rPr>
        <w:t>sök</w:t>
      </w:r>
      <w:r w:rsidR="00033B77" w:rsidRPr="000B7170">
        <w:rPr>
          <w:lang w:val="sv-FI"/>
        </w:rPr>
        <w:t xml:space="preserve"> även noterade</w:t>
      </w:r>
      <w:r w:rsidR="00EF025E" w:rsidRPr="000B7170">
        <w:rPr>
          <w:lang w:val="sv-FI"/>
        </w:rPr>
        <w:t>s</w:t>
      </w:r>
      <w:r w:rsidR="00033B77" w:rsidRPr="000B7170">
        <w:rPr>
          <w:lang w:val="sv-FI"/>
        </w:rPr>
        <w:t xml:space="preserve"> i nämndens betänkande (nr 1/2016-2107), var ett sätt att skapa en grund för förbättrat samarbete. </w:t>
      </w:r>
      <w:r w:rsidRPr="000B7170">
        <w:rPr>
          <w:lang w:val="sv-FI"/>
        </w:rPr>
        <w:t xml:space="preserve">Som </w:t>
      </w:r>
      <w:r w:rsidR="00EF025E" w:rsidRPr="000B7170">
        <w:rPr>
          <w:lang w:val="sv-FI"/>
        </w:rPr>
        <w:t>följande</w:t>
      </w:r>
      <w:r w:rsidRPr="000B7170">
        <w:rPr>
          <w:lang w:val="sv-FI"/>
        </w:rPr>
        <w:t xml:space="preserve"> led i detta arbete bjöds </w:t>
      </w:r>
      <w:r w:rsidR="00033B77" w:rsidRPr="000B7170">
        <w:rPr>
          <w:lang w:val="sv-FI"/>
        </w:rPr>
        <w:t xml:space="preserve">därefter </w:t>
      </w:r>
      <w:r w:rsidRPr="000B7170">
        <w:rPr>
          <w:lang w:val="sv-FI"/>
        </w:rPr>
        <w:t xml:space="preserve">alla ministeriernas Ålandsansvariga till Åland </w:t>
      </w:r>
      <w:r w:rsidR="00033B77" w:rsidRPr="000B7170">
        <w:rPr>
          <w:lang w:val="sv-FI"/>
        </w:rPr>
        <w:t>21 – 22 se</w:t>
      </w:r>
      <w:r w:rsidR="00033B77" w:rsidRPr="000B7170">
        <w:rPr>
          <w:lang w:val="sv-FI"/>
        </w:rPr>
        <w:t>p</w:t>
      </w:r>
      <w:r w:rsidR="00033B77" w:rsidRPr="000B7170">
        <w:rPr>
          <w:lang w:val="sv-FI"/>
        </w:rPr>
        <w:t>tember</w:t>
      </w:r>
      <w:r w:rsidRPr="000B7170">
        <w:rPr>
          <w:lang w:val="sv-FI"/>
        </w:rPr>
        <w:t xml:space="preserve"> 2017.  </w:t>
      </w:r>
      <w:r w:rsidR="00A95CD3" w:rsidRPr="000B7170">
        <w:rPr>
          <w:lang w:val="sv-FI"/>
        </w:rPr>
        <w:t>Programmet för besöket innehöll mångsidig information om det åländska samhället och självstyrelsen samt intressanta studiebesök</w:t>
      </w:r>
      <w:r w:rsidR="00E00C21" w:rsidRPr="000B7170">
        <w:rPr>
          <w:lang w:val="sv-FI"/>
        </w:rPr>
        <w:t>. 14</w:t>
      </w:r>
      <w:r w:rsidRPr="000B7170">
        <w:rPr>
          <w:lang w:val="sv-FI"/>
        </w:rPr>
        <w:t xml:space="preserve"> personer deltog i besöket. </w:t>
      </w:r>
      <w:r w:rsidR="00A95CD3" w:rsidRPr="000B7170">
        <w:rPr>
          <w:lang w:val="sv-FI"/>
        </w:rPr>
        <w:t xml:space="preserve">Landskapsregeringen uppfattar </w:t>
      </w:r>
      <w:r w:rsidR="00EF025E" w:rsidRPr="000B7170">
        <w:rPr>
          <w:lang w:val="sv-FI"/>
        </w:rPr>
        <w:t xml:space="preserve">att </w:t>
      </w:r>
      <w:r w:rsidR="00A95CD3" w:rsidRPr="000B7170">
        <w:rPr>
          <w:lang w:val="sv-FI"/>
        </w:rPr>
        <w:t xml:space="preserve">inbjudan och arrangemangen togs väl emot. Tanken är att fortsätta på liknande sätt med andra målgrupper för att på så sätt </w:t>
      </w:r>
      <w:r w:rsidR="00AB2337" w:rsidRPr="000B7170">
        <w:rPr>
          <w:lang w:val="sv-FI"/>
        </w:rPr>
        <w:t xml:space="preserve">skapa nya kontaktytor samt </w:t>
      </w:r>
      <w:r w:rsidR="00A95CD3" w:rsidRPr="000B7170">
        <w:rPr>
          <w:lang w:val="sv-FI"/>
        </w:rPr>
        <w:t>bredda ku</w:t>
      </w:r>
      <w:r w:rsidR="00A95CD3" w:rsidRPr="000B7170">
        <w:rPr>
          <w:lang w:val="sv-FI"/>
        </w:rPr>
        <w:t>n</w:t>
      </w:r>
      <w:r w:rsidR="00A95CD3" w:rsidRPr="000B7170">
        <w:rPr>
          <w:lang w:val="sv-FI"/>
        </w:rPr>
        <w:t>skapen om och förståelsen för Åland.</w:t>
      </w:r>
    </w:p>
    <w:p w:rsidR="005E276B" w:rsidRPr="000B7170" w:rsidRDefault="005E276B" w:rsidP="005E276B">
      <w:pPr>
        <w:pStyle w:val="ANormal"/>
        <w:rPr>
          <w:lang w:val="sv-FI"/>
        </w:rPr>
      </w:pPr>
      <w:r w:rsidRPr="000B7170">
        <w:rPr>
          <w:lang w:val="sv-FI"/>
        </w:rPr>
        <w:tab/>
        <w:t>Under året har en samarbetsgrupp med representanter från försvarsm</w:t>
      </w:r>
      <w:r w:rsidRPr="000B7170">
        <w:rPr>
          <w:lang w:val="sv-FI"/>
        </w:rPr>
        <w:t>i</w:t>
      </w:r>
      <w:r w:rsidRPr="000B7170">
        <w:rPr>
          <w:lang w:val="sv-FI"/>
        </w:rPr>
        <w:t>nisteriet, landskapsregeringen och utrikesministeriet bildats. Samarbet</w:t>
      </w:r>
      <w:r w:rsidRPr="000B7170">
        <w:rPr>
          <w:lang w:val="sv-FI"/>
        </w:rPr>
        <w:t>s</w:t>
      </w:r>
      <w:r w:rsidRPr="000B7170">
        <w:rPr>
          <w:lang w:val="sv-FI"/>
        </w:rPr>
        <w:t>gruppen hade sitt första möte den 10 januari 2018. Samarbetsgruppens uppgift är att diskutera bl</w:t>
      </w:r>
      <w:r w:rsidR="00A95CD3" w:rsidRPr="000B7170">
        <w:rPr>
          <w:lang w:val="sv-FI"/>
        </w:rPr>
        <w:t>.</w:t>
      </w:r>
      <w:r w:rsidRPr="000B7170">
        <w:rPr>
          <w:lang w:val="sv-FI"/>
        </w:rPr>
        <w:t>a</w:t>
      </w:r>
      <w:r w:rsidR="00A95CD3" w:rsidRPr="000B7170">
        <w:rPr>
          <w:lang w:val="sv-FI"/>
        </w:rPr>
        <w:t>.</w:t>
      </w:r>
      <w:r w:rsidRPr="000B7170">
        <w:rPr>
          <w:lang w:val="sv-FI"/>
        </w:rPr>
        <w:t xml:space="preserve"> frågor rörande den allmänna säkerhetspolitiska situationen, frågor som gäller Ålands säkerhet, lagstiftning samt handräc</w:t>
      </w:r>
      <w:r w:rsidRPr="000B7170">
        <w:rPr>
          <w:lang w:val="sv-FI"/>
        </w:rPr>
        <w:t>k</w:t>
      </w:r>
      <w:r w:rsidRPr="000B7170">
        <w:rPr>
          <w:lang w:val="sv-FI"/>
        </w:rPr>
        <w:t>ningsfrågor och andra beredskapsfrågor. Samarbetsgruppen är ett led i att skapa väl fungerande kontaktytor mellan landskapet och ministerierna i ovan nämnda frågor.</w:t>
      </w:r>
    </w:p>
    <w:p w:rsidR="005E276B" w:rsidRPr="000B7170" w:rsidRDefault="005E276B" w:rsidP="005E276B">
      <w:pPr>
        <w:pStyle w:val="ANormal"/>
        <w:rPr>
          <w:lang w:val="sv-FI"/>
        </w:rPr>
      </w:pPr>
      <w:r w:rsidRPr="000B7170">
        <w:t>     Landskapsregeringen konstaterar att fr</w:t>
      </w:r>
      <w:r w:rsidRPr="000B7170">
        <w:rPr>
          <w:lang w:val="da-DK"/>
        </w:rPr>
        <w:t>å</w:t>
      </w:r>
      <w:r w:rsidRPr="000B7170">
        <w:t>gan om en plats i Europaparl</w:t>
      </w:r>
      <w:r w:rsidRPr="000B7170">
        <w:t>a</w:t>
      </w:r>
      <w:r w:rsidRPr="000B7170">
        <w:t>mentet fortsättningsvis är aktuell och landskapsregeringen har tillskrivit r</w:t>
      </w:r>
      <w:r w:rsidRPr="000B7170">
        <w:t>e</w:t>
      </w:r>
      <w:r w:rsidRPr="000B7170">
        <w:t>geringen i den fr</w:t>
      </w:r>
      <w:r w:rsidRPr="000B7170">
        <w:rPr>
          <w:lang w:val="da-DK"/>
        </w:rPr>
        <w:t>å</w:t>
      </w:r>
      <w:r w:rsidRPr="000B7170">
        <w:t xml:space="preserve">gan. Landskapsregeringen </w:t>
      </w:r>
      <w:r w:rsidR="00A95CD3" w:rsidRPr="000B7170">
        <w:t>utgå</w:t>
      </w:r>
      <w:r w:rsidRPr="000B7170">
        <w:t>r fr</w:t>
      </w:r>
      <w:r w:rsidRPr="000B7170">
        <w:rPr>
          <w:lang w:val="da-DK"/>
        </w:rPr>
        <w:t>å</w:t>
      </w:r>
      <w:r w:rsidRPr="000B7170">
        <w:t>n att regeringens tid</w:t>
      </w:r>
      <w:r w:rsidRPr="000B7170">
        <w:t>i</w:t>
      </w:r>
      <w:r w:rsidRPr="000B7170">
        <w:t>gare ställningstaganden i fr</w:t>
      </w:r>
      <w:r w:rsidRPr="000B7170">
        <w:rPr>
          <w:lang w:val="da-DK"/>
        </w:rPr>
        <w:t>å</w:t>
      </w:r>
      <w:r w:rsidRPr="000B7170">
        <w:t>gan nu fullföljs.  </w:t>
      </w:r>
    </w:p>
    <w:p w:rsidR="00031214" w:rsidRPr="000B7170" w:rsidRDefault="00D77277" w:rsidP="005E276B">
      <w:pPr>
        <w:pStyle w:val="ANormal"/>
      </w:pPr>
      <w:r w:rsidRPr="000B7170">
        <w:tab/>
      </w:r>
      <w:r w:rsidR="005E276B" w:rsidRPr="000B7170">
        <w:t xml:space="preserve">Landskapsregeringen avser </w:t>
      </w:r>
      <w:r w:rsidR="00A95CD3" w:rsidRPr="000B7170">
        <w:t>att föra</w:t>
      </w:r>
      <w:r w:rsidR="005E276B" w:rsidRPr="000B7170">
        <w:rPr>
          <w:lang w:val="da-DK"/>
        </w:rPr>
        <w:t xml:space="preserve"> en kontinuerlig dialog med regeringen </w:t>
      </w:r>
      <w:r w:rsidR="005E276B" w:rsidRPr="000B7170">
        <w:t>i syfte att vid behov utveckla samverkansformerna mellan riket och landskapet. Landskapsregeringen konstaterar att justitieministeriet har en central roll både i detta arbete samt i arbetet att tillsammans med lan</w:t>
      </w:r>
      <w:r w:rsidR="005E276B" w:rsidRPr="000B7170">
        <w:t>d</w:t>
      </w:r>
      <w:r w:rsidR="005E276B" w:rsidRPr="000B7170">
        <w:t>skapsregeringen bevaka att rikslagstiftningen uppgörs i enlighet med själ</w:t>
      </w:r>
      <w:r w:rsidR="005E276B" w:rsidRPr="000B7170">
        <w:t>v</w:t>
      </w:r>
      <w:r w:rsidR="005E276B" w:rsidRPr="000B7170">
        <w:t>styrelselagens behörighetsfördelning.</w:t>
      </w:r>
      <w:r w:rsidR="00A95CD3" w:rsidRPr="000B7170">
        <w:t xml:space="preserve"> Särskild uppmärksamhet behöver </w:t>
      </w:r>
      <w:r w:rsidR="00161D43" w:rsidRPr="000B7170">
        <w:t>fä</w:t>
      </w:r>
      <w:r w:rsidR="00161D43" w:rsidRPr="000B7170">
        <w:t>s</w:t>
      </w:r>
      <w:r w:rsidR="00161D43" w:rsidRPr="000B7170">
        <w:t>tas vid att en dialog med berörda fackministerier om aktuella lagstiftning</w:t>
      </w:r>
      <w:r w:rsidR="00161D43" w:rsidRPr="000B7170">
        <w:t>s</w:t>
      </w:r>
      <w:r w:rsidR="00161D43" w:rsidRPr="000B7170">
        <w:t>förslag kan åstadkommas i så god tid att de propositioner som avlämnas till riksdagen har beaktat de för Åland relevanta frågeställningarna så att beh</w:t>
      </w:r>
      <w:r w:rsidR="00161D43" w:rsidRPr="000B7170">
        <w:t>o</w:t>
      </w:r>
      <w:r w:rsidR="00161D43" w:rsidRPr="000B7170">
        <w:t>vet av ändringar under riksdagsbehandlingen kan minimeras.</w:t>
      </w:r>
      <w:r w:rsidR="00031214" w:rsidRPr="000B7170">
        <w:t xml:space="preserve"> </w:t>
      </w:r>
    </w:p>
    <w:p w:rsidR="005E276B" w:rsidRPr="000B7170" w:rsidRDefault="00031214" w:rsidP="005E276B">
      <w:pPr>
        <w:pStyle w:val="ANormal"/>
      </w:pPr>
      <w:r w:rsidRPr="000B7170">
        <w:tab/>
        <w:t xml:space="preserve">Utöver de formella kontakterna och kontakterna på tjänstemannanivå </w:t>
      </w:r>
      <w:r w:rsidR="008621A6" w:rsidRPr="000B7170">
        <w:t>har</w:t>
      </w:r>
      <w:r w:rsidRPr="000B7170">
        <w:t xml:space="preserve"> landskapsregeringen </w:t>
      </w:r>
      <w:r w:rsidR="00CA5540" w:rsidRPr="000B7170">
        <w:t xml:space="preserve">även </w:t>
      </w:r>
      <w:r w:rsidR="008621A6" w:rsidRPr="000B7170">
        <w:t xml:space="preserve">arbetat med </w:t>
      </w:r>
      <w:r w:rsidRPr="000B7170">
        <w:t xml:space="preserve">att bygga upp de </w:t>
      </w:r>
      <w:r w:rsidR="008621A6" w:rsidRPr="000B7170">
        <w:t>informella</w:t>
      </w:r>
      <w:r w:rsidR="00CA5540" w:rsidRPr="000B7170">
        <w:t xml:space="preserve"> ko</w:t>
      </w:r>
      <w:r w:rsidR="00CA5540" w:rsidRPr="000B7170">
        <w:t>n</w:t>
      </w:r>
      <w:r w:rsidR="00CA5540" w:rsidRPr="000B7170">
        <w:t>takterna på den politiska nivån.</w:t>
      </w:r>
      <w:r w:rsidRPr="000B7170">
        <w:t xml:space="preserve"> </w:t>
      </w:r>
    </w:p>
    <w:p w:rsidR="003A1469" w:rsidRPr="000B7170" w:rsidRDefault="003A1469" w:rsidP="00A16BD2">
      <w:pPr>
        <w:widowControl w:val="0"/>
        <w:tabs>
          <w:tab w:val="left" w:pos="1500"/>
          <w:tab w:val="left" w:pos="3000"/>
        </w:tabs>
        <w:autoSpaceDE w:val="0"/>
        <w:autoSpaceDN w:val="0"/>
        <w:adjustRightInd w:val="0"/>
      </w:pPr>
    </w:p>
    <w:p w:rsidR="003A1469" w:rsidRPr="000B7170" w:rsidRDefault="003A1469" w:rsidP="003A1469">
      <w:pPr>
        <w:pStyle w:val="RubrikA"/>
      </w:pPr>
      <w:bookmarkStart w:id="5" w:name="_Toc508270989"/>
      <w:r w:rsidRPr="000B7170">
        <w:t>2. Svenska språket</w:t>
      </w:r>
      <w:bookmarkEnd w:id="5"/>
    </w:p>
    <w:p w:rsidR="00F43E99" w:rsidRPr="000B7170" w:rsidRDefault="00274F85" w:rsidP="004C4F72">
      <w:pPr>
        <w:pStyle w:val="RubrikB"/>
        <w:rPr>
          <w:rStyle w:val="Inget"/>
        </w:rPr>
      </w:pPr>
      <w:bookmarkStart w:id="6" w:name="_Toc508270990"/>
      <w:r w:rsidRPr="000B7170">
        <w:rPr>
          <w:rStyle w:val="Inget"/>
          <w:rFonts w:eastAsia="Arial Unicode MS"/>
        </w:rPr>
        <w:t xml:space="preserve">2.1. </w:t>
      </w:r>
      <w:r w:rsidR="00F43E99" w:rsidRPr="000B7170">
        <w:rPr>
          <w:rStyle w:val="Inget"/>
          <w:rFonts w:eastAsia="Arial Unicode MS"/>
        </w:rPr>
        <w:t>Språket</w:t>
      </w:r>
      <w:r w:rsidR="004C4F72" w:rsidRPr="000B7170">
        <w:rPr>
          <w:rStyle w:val="Inget"/>
          <w:rFonts w:eastAsia="Arial Unicode MS"/>
        </w:rPr>
        <w:t>,</w:t>
      </w:r>
      <w:r w:rsidR="00F43E99" w:rsidRPr="000B7170">
        <w:rPr>
          <w:rStyle w:val="Inget"/>
          <w:rFonts w:eastAsia="Arial Unicode MS"/>
        </w:rPr>
        <w:t xml:space="preserve"> allmänt</w:t>
      </w:r>
      <w:bookmarkEnd w:id="6"/>
    </w:p>
    <w:p w:rsidR="00A25D79" w:rsidRPr="000B7170" w:rsidRDefault="005E276B" w:rsidP="005E276B">
      <w:pPr>
        <w:pStyle w:val="ANormal"/>
      </w:pPr>
      <w:r w:rsidRPr="000B7170">
        <w:t>Då det gäller den språkliga utvecklingen i landet är situationen fortsät</w:t>
      </w:r>
      <w:r w:rsidRPr="000B7170">
        <w:t>t</w:t>
      </w:r>
      <w:r w:rsidRPr="000B7170">
        <w:t>ningsvis bekymmersam.</w:t>
      </w:r>
      <w:r w:rsidR="00885DE3" w:rsidRPr="000B7170">
        <w:t xml:space="preserve"> Landskapsregeringen redogjorde i föregående r</w:t>
      </w:r>
      <w:r w:rsidR="00885DE3" w:rsidRPr="000B7170">
        <w:t>e</w:t>
      </w:r>
      <w:r w:rsidR="00885DE3" w:rsidRPr="000B7170">
        <w:t xml:space="preserve">dogörelse till nämnden för sin syn </w:t>
      </w:r>
      <w:r w:rsidR="00A25D79" w:rsidRPr="000B7170">
        <w:t>på den språkliga utvecklingen i riket och uppfattar att nämnden enligt sitt betänkande delar landskapsregeringens uppfattning om läget.</w:t>
      </w:r>
    </w:p>
    <w:p w:rsidR="005E276B" w:rsidRPr="000B7170" w:rsidRDefault="005E276B" w:rsidP="005E276B">
      <w:pPr>
        <w:pStyle w:val="ANormal"/>
      </w:pPr>
      <w:r w:rsidRPr="000B7170">
        <w:t>   Även då det gäller den språkliga situationen vid statliga myndigheter på Åland är situationen fortsättningsvis problematisk. Personal inom Statens ämbetsverk, Skatteförvaltningen, gränsbevakningen, Tullen, Landskap</w:t>
      </w:r>
      <w:r w:rsidRPr="000B7170">
        <w:t>s</w:t>
      </w:r>
      <w:r w:rsidRPr="000B7170">
        <w:t>åklagarämbetet och Folkpensionsanstalten pekar på samma brister;</w:t>
      </w:r>
    </w:p>
    <w:p w:rsidR="00932EB3" w:rsidRPr="000B7170" w:rsidRDefault="005E276B" w:rsidP="005E276B">
      <w:pPr>
        <w:pStyle w:val="ANormal"/>
        <w:numPr>
          <w:ilvl w:val="0"/>
          <w:numId w:val="29"/>
        </w:numPr>
      </w:pPr>
      <w:r w:rsidRPr="000B7170">
        <w:t>Dataprogram, dataregister och stödinformation föreligger huvud</w:t>
      </w:r>
      <w:r w:rsidR="00A52572" w:rsidRPr="000B7170">
        <w:t>-</w:t>
      </w:r>
    </w:p>
    <w:p w:rsidR="00932EB3" w:rsidRPr="000B7170" w:rsidRDefault="00932EB3" w:rsidP="00932EB3">
      <w:pPr>
        <w:pStyle w:val="ANormal"/>
      </w:pPr>
      <w:r w:rsidRPr="000B7170">
        <w:t xml:space="preserve">             s</w:t>
      </w:r>
      <w:r w:rsidR="005E276B" w:rsidRPr="000B7170">
        <w:t>akligen endast på finsk</w:t>
      </w:r>
      <w:r w:rsidRPr="000B7170">
        <w:t>a</w:t>
      </w:r>
    </w:p>
    <w:p w:rsidR="005E276B" w:rsidRPr="000B7170" w:rsidRDefault="005E276B" w:rsidP="00932EB3">
      <w:pPr>
        <w:pStyle w:val="ANormal"/>
        <w:numPr>
          <w:ilvl w:val="0"/>
          <w:numId w:val="29"/>
        </w:numPr>
      </w:pPr>
      <w:r w:rsidRPr="000B7170">
        <w:lastRenderedPageBreak/>
        <w:t xml:space="preserve">Den interna skolningen, kurser m.m. ges huvudsakligen endast på </w:t>
      </w:r>
    </w:p>
    <w:p w:rsidR="00D7318E" w:rsidRPr="000B7170" w:rsidRDefault="005E276B" w:rsidP="00D7318E">
      <w:pPr>
        <w:pStyle w:val="ANormal"/>
        <w:ind w:left="720"/>
      </w:pPr>
      <w:r w:rsidRPr="000B7170">
        <w:t xml:space="preserve">finska </w:t>
      </w:r>
    </w:p>
    <w:p w:rsidR="00932EB3" w:rsidRPr="000B7170" w:rsidRDefault="00D7318E" w:rsidP="005E276B">
      <w:pPr>
        <w:pStyle w:val="ANormal"/>
        <w:numPr>
          <w:ilvl w:val="0"/>
          <w:numId w:val="28"/>
        </w:numPr>
      </w:pPr>
      <w:r w:rsidRPr="000B7170">
        <w:t xml:space="preserve"> </w:t>
      </w:r>
      <w:r w:rsidR="005E276B" w:rsidRPr="000B7170">
        <w:t xml:space="preserve">Den dagliga kontakten (allt från email till skriftlig information </w:t>
      </w:r>
    </w:p>
    <w:p w:rsidR="00932EB3" w:rsidRPr="000B7170" w:rsidRDefault="00932EB3" w:rsidP="00932EB3">
      <w:pPr>
        <w:pStyle w:val="ANormal"/>
        <w:ind w:left="600"/>
      </w:pPr>
      <w:r w:rsidRPr="000B7170">
        <w:t xml:space="preserve">  </w:t>
      </w:r>
      <w:r w:rsidR="005E276B" w:rsidRPr="000B7170">
        <w:t xml:space="preserve">och anvisningar), men också cirkulär och anvisningar, sker och </w:t>
      </w:r>
    </w:p>
    <w:p w:rsidR="005E276B" w:rsidRPr="000B7170" w:rsidRDefault="00932EB3" w:rsidP="00932EB3">
      <w:pPr>
        <w:pStyle w:val="ANormal"/>
        <w:ind w:left="600"/>
      </w:pPr>
      <w:r w:rsidRPr="000B7170">
        <w:t xml:space="preserve">  </w:t>
      </w:r>
      <w:r w:rsidR="005E276B" w:rsidRPr="000B7170">
        <w:t>tillhandahålls ofta endast på finska.</w:t>
      </w:r>
    </w:p>
    <w:p w:rsidR="00A25D79" w:rsidRPr="000B7170" w:rsidRDefault="00A25D79" w:rsidP="00021683">
      <w:pPr>
        <w:shd w:val="clear" w:color="auto" w:fill="FFFFFF"/>
        <w:spacing w:after="165"/>
        <w:jc w:val="both"/>
        <w:rPr>
          <w:lang w:eastAsia="sv-FI"/>
        </w:rPr>
      </w:pPr>
    </w:p>
    <w:p w:rsidR="00D7318E" w:rsidRPr="000B7170" w:rsidRDefault="00A25D79" w:rsidP="00D7318E">
      <w:pPr>
        <w:shd w:val="clear" w:color="auto" w:fill="FFFFFF"/>
        <w:ind w:firstLine="601"/>
        <w:jc w:val="both"/>
        <w:rPr>
          <w:sz w:val="22"/>
          <w:szCs w:val="22"/>
        </w:rPr>
      </w:pPr>
      <w:r w:rsidRPr="000B7170">
        <w:rPr>
          <w:sz w:val="22"/>
          <w:szCs w:val="22"/>
        </w:rPr>
        <w:t>Med tanke på att Ålands autonomi i grunden är ett språkskydd för det enspråkigt svenska Åland och att Finland är bundet genom internatio</w:t>
      </w:r>
      <w:r w:rsidRPr="000B7170">
        <w:rPr>
          <w:sz w:val="22"/>
          <w:szCs w:val="22"/>
        </w:rPr>
        <w:t>n</w:t>
      </w:r>
      <w:r w:rsidRPr="000B7170">
        <w:rPr>
          <w:sz w:val="22"/>
          <w:szCs w:val="22"/>
        </w:rPr>
        <w:t>ella avtal i fråga om landskapets särställning är frågan om hur tillgången på svenskspråkiga heltäckande bestämmelser kan tryggas inom såväl lan</w:t>
      </w:r>
      <w:r w:rsidRPr="000B7170">
        <w:rPr>
          <w:sz w:val="22"/>
          <w:szCs w:val="22"/>
        </w:rPr>
        <w:t>d</w:t>
      </w:r>
      <w:r w:rsidRPr="000B7170">
        <w:rPr>
          <w:sz w:val="22"/>
          <w:szCs w:val="22"/>
        </w:rPr>
        <w:t>skapets som rikets behörighetsområden även av internationellt intresse.</w:t>
      </w:r>
    </w:p>
    <w:p w:rsidR="00F43E99" w:rsidRPr="000B7170" w:rsidRDefault="00D7318E" w:rsidP="00D7318E">
      <w:pPr>
        <w:pStyle w:val="ANormal"/>
        <w:rPr>
          <w:szCs w:val="22"/>
        </w:rPr>
      </w:pPr>
      <w:r w:rsidRPr="000B7170">
        <w:tab/>
      </w:r>
      <w:r w:rsidR="00A25D79" w:rsidRPr="000B7170">
        <w:t>Landskapsregeringen avser att prioritera arbetet med att reformera själ</w:t>
      </w:r>
      <w:r w:rsidR="00A25D79" w:rsidRPr="000B7170">
        <w:t>v</w:t>
      </w:r>
      <w:r w:rsidR="00A25D79" w:rsidRPr="000B7170">
        <w:t xml:space="preserve">styrelselagen </w:t>
      </w:r>
      <w:r w:rsidR="006218C8" w:rsidRPr="000B7170">
        <w:t xml:space="preserve">och de </w:t>
      </w:r>
      <w:r w:rsidR="00A25D79" w:rsidRPr="000B7170">
        <w:t xml:space="preserve">där </w:t>
      </w:r>
      <w:r w:rsidR="006218C8" w:rsidRPr="000B7170">
        <w:t xml:space="preserve">ingående </w:t>
      </w:r>
      <w:r w:rsidR="00A25D79" w:rsidRPr="000B7170">
        <w:t xml:space="preserve">språkbestämmelserna </w:t>
      </w:r>
      <w:r w:rsidR="006218C8" w:rsidRPr="000B7170">
        <w:t>och noterar i sa</w:t>
      </w:r>
      <w:r w:rsidR="006218C8" w:rsidRPr="000B7170">
        <w:t>m</w:t>
      </w:r>
      <w:r w:rsidR="006218C8" w:rsidRPr="000B7170">
        <w:t>manhanget självstyrelsepolitiska nämndens uppfattning att det bör överv</w:t>
      </w:r>
      <w:r w:rsidR="006218C8" w:rsidRPr="000B7170">
        <w:t>ä</w:t>
      </w:r>
      <w:r w:rsidR="006218C8" w:rsidRPr="000B7170">
        <w:t>gas om Åland kan bli ett centrum för svenskspråkig statlig service i Finland och alternativet att överväga ett djupare samarbete med myndigheter i Sv</w:t>
      </w:r>
      <w:r w:rsidR="006218C8" w:rsidRPr="000B7170">
        <w:t>e</w:t>
      </w:r>
      <w:r w:rsidR="006218C8" w:rsidRPr="000B7170">
        <w:t>rige.</w:t>
      </w:r>
    </w:p>
    <w:p w:rsidR="00F43E99" w:rsidRPr="000B7170" w:rsidRDefault="00F43E99" w:rsidP="00F43E99">
      <w:pPr>
        <w:pStyle w:val="Rubrikmellanrum"/>
      </w:pPr>
    </w:p>
    <w:p w:rsidR="00A16BD2" w:rsidRPr="000B7170" w:rsidRDefault="00274F85" w:rsidP="00A16BD2">
      <w:pPr>
        <w:pStyle w:val="RubrikB"/>
      </w:pPr>
      <w:bookmarkStart w:id="7" w:name="_Toc508270991"/>
      <w:r w:rsidRPr="000B7170">
        <w:t>2.2</w:t>
      </w:r>
      <w:r w:rsidR="00A16BD2" w:rsidRPr="000B7170">
        <w:t xml:space="preserve"> Språkrådet</w:t>
      </w:r>
      <w:bookmarkEnd w:id="7"/>
    </w:p>
    <w:p w:rsidR="00A52572" w:rsidRPr="000B7170" w:rsidRDefault="00A52572" w:rsidP="00A52572">
      <w:pPr>
        <w:pStyle w:val="ANormal"/>
        <w:rPr>
          <w:lang w:eastAsia="sv-FI"/>
        </w:rPr>
      </w:pPr>
      <w:r w:rsidRPr="000B7170">
        <w:rPr>
          <w:lang w:eastAsia="sv-FI"/>
        </w:rPr>
        <w:t>Språkrådet påbörjade sitt arbete i september 2008. I december 2012 antogs ett nytt reglemente i vilket språkrådets mandat omformulerades så att rådet uttryckligen enbart ska fungera som landskapsregeringens referensgrupp i språkärenden i syfte att trygga och slå vakt om det svenska språkets stäl</w:t>
      </w:r>
      <w:r w:rsidRPr="000B7170">
        <w:rPr>
          <w:lang w:eastAsia="sv-FI"/>
        </w:rPr>
        <w:t>l</w:t>
      </w:r>
      <w:r w:rsidRPr="000B7170">
        <w:rPr>
          <w:lang w:eastAsia="sv-FI"/>
        </w:rPr>
        <w:t>ning på Åland. Språkrådet leds av lantrådet och medlemmar är representa</w:t>
      </w:r>
      <w:r w:rsidRPr="000B7170">
        <w:rPr>
          <w:lang w:eastAsia="sv-FI"/>
        </w:rPr>
        <w:t>n</w:t>
      </w:r>
      <w:r w:rsidRPr="000B7170">
        <w:rPr>
          <w:lang w:eastAsia="sv-FI"/>
        </w:rPr>
        <w:t>ter från landskapets förvaltning, kommunerna, staten, näringslivet, vårdse</w:t>
      </w:r>
      <w:r w:rsidRPr="000B7170">
        <w:rPr>
          <w:lang w:eastAsia="sv-FI"/>
        </w:rPr>
        <w:t>k</w:t>
      </w:r>
      <w:r w:rsidRPr="000B7170">
        <w:rPr>
          <w:lang w:eastAsia="sv-FI"/>
        </w:rPr>
        <w:t>torn och utbildningssektorn. Nuvarande språkråd tillsattes 2 februari 2016 för mandatperioden av sittande landskapsregeringen.</w:t>
      </w:r>
    </w:p>
    <w:p w:rsidR="006218C8" w:rsidRPr="000B7170" w:rsidRDefault="00A52572" w:rsidP="00A52572">
      <w:pPr>
        <w:pStyle w:val="ANormal"/>
        <w:rPr>
          <w:lang w:eastAsia="sv-FI"/>
        </w:rPr>
      </w:pPr>
      <w:r w:rsidRPr="000B7170">
        <w:rPr>
          <w:lang w:eastAsia="sv-FI"/>
        </w:rPr>
        <w:tab/>
        <w:t>Under 2017 höll språkrådet tre möten. En fördjupad diskussion hölls kring utbildning framförallt vad gäller Ålands lyceum, ökad digitalisering och studentexamen. Språkrådet har även haft två diskussioner kring språ</w:t>
      </w:r>
      <w:r w:rsidRPr="000B7170">
        <w:rPr>
          <w:lang w:eastAsia="sv-FI"/>
        </w:rPr>
        <w:t>k</w:t>
      </w:r>
      <w:r w:rsidRPr="000B7170">
        <w:rPr>
          <w:lang w:eastAsia="sv-FI"/>
        </w:rPr>
        <w:t xml:space="preserve">utvecklingen i landet med inbjudna gäster från tankesmedjan Magma och tankesmedjan Agenda. </w:t>
      </w:r>
      <w:r w:rsidR="006218C8" w:rsidRPr="000B7170">
        <w:rPr>
          <w:lang w:eastAsia="sv-FI"/>
        </w:rPr>
        <w:t xml:space="preserve">Språkrådet har i februari 2018 inkommit med en skrivelse </w:t>
      </w:r>
      <w:r w:rsidR="00CE13EC" w:rsidRPr="000B7170">
        <w:rPr>
          <w:lang w:eastAsia="sv-FI"/>
        </w:rPr>
        <w:t>till landskapsregeringen som är avsedd att ligga till grund för den fortsatta beredningen av språkbestämmelserna i förslaget till ny självstyre</w:t>
      </w:r>
      <w:r w:rsidR="00CE13EC" w:rsidRPr="000B7170">
        <w:rPr>
          <w:lang w:eastAsia="sv-FI"/>
        </w:rPr>
        <w:t>l</w:t>
      </w:r>
      <w:r w:rsidR="00CE13EC" w:rsidRPr="000B7170">
        <w:rPr>
          <w:lang w:eastAsia="sv-FI"/>
        </w:rPr>
        <w:t>selag.</w:t>
      </w:r>
    </w:p>
    <w:p w:rsidR="00A52572" w:rsidRPr="000B7170" w:rsidRDefault="00D7318E" w:rsidP="00A52572">
      <w:pPr>
        <w:pStyle w:val="ANormal"/>
        <w:rPr>
          <w:lang w:eastAsia="sv-FI"/>
        </w:rPr>
      </w:pPr>
      <w:r w:rsidRPr="000B7170">
        <w:rPr>
          <w:lang w:eastAsia="sv-FI"/>
        </w:rPr>
        <w:tab/>
      </w:r>
      <w:r w:rsidR="00A52572" w:rsidRPr="000B7170">
        <w:rPr>
          <w:lang w:eastAsia="sv-FI"/>
        </w:rPr>
        <w:t xml:space="preserve">Språkrådets protokoll finns att tillgå på </w:t>
      </w:r>
      <w:hyperlink r:id="rId13" w:history="1">
        <w:r w:rsidR="00A52572" w:rsidRPr="000B7170">
          <w:rPr>
            <w:rStyle w:val="Hyperlnk"/>
            <w:color w:val="auto"/>
            <w:sz w:val="24"/>
            <w:lang w:eastAsia="sv-FI"/>
          </w:rPr>
          <w:t>www.regeringen.ax/andra-verksamheter-hor-forvaltningen/sprakradet</w:t>
        </w:r>
      </w:hyperlink>
      <w:r w:rsidR="00A52572" w:rsidRPr="000B7170">
        <w:rPr>
          <w:lang w:eastAsia="sv-FI"/>
        </w:rPr>
        <w:t xml:space="preserve">. </w:t>
      </w:r>
    </w:p>
    <w:p w:rsidR="00A16BD2" w:rsidRPr="000B7170" w:rsidRDefault="00A16BD2" w:rsidP="00A16BD2">
      <w:pPr>
        <w:widowControl w:val="0"/>
        <w:tabs>
          <w:tab w:val="left" w:pos="1500"/>
          <w:tab w:val="left" w:pos="3000"/>
        </w:tabs>
        <w:autoSpaceDE w:val="0"/>
        <w:autoSpaceDN w:val="0"/>
        <w:adjustRightInd w:val="0"/>
      </w:pPr>
    </w:p>
    <w:p w:rsidR="00A16BD2" w:rsidRPr="000B7170" w:rsidRDefault="00A16BD2" w:rsidP="00A16BD2">
      <w:pPr>
        <w:pStyle w:val="RubrikB"/>
        <w:rPr>
          <w:lang w:val="sv-FI" w:eastAsia="sv-FI"/>
        </w:rPr>
      </w:pPr>
      <w:bookmarkStart w:id="8" w:name="_Toc508270992"/>
      <w:r w:rsidRPr="000B7170">
        <w:rPr>
          <w:lang w:val="sv-FI" w:eastAsia="sv-FI"/>
        </w:rPr>
        <w:t>2.3 Översättning av God medicinsk praxis och Pharmaca Fennica</w:t>
      </w:r>
      <w:bookmarkEnd w:id="8"/>
    </w:p>
    <w:p w:rsidR="00960AE7" w:rsidRPr="000B7170" w:rsidRDefault="00960AE7" w:rsidP="00960AE7">
      <w:pPr>
        <w:pStyle w:val="ANormal"/>
      </w:pPr>
      <w:r w:rsidRPr="000B7170">
        <w:t>För att på Åland kunna garantera vård av god kvalitet måste hälsovårdspe</w:t>
      </w:r>
      <w:r w:rsidRPr="000B7170">
        <w:t>r</w:t>
      </w:r>
      <w:r w:rsidRPr="000B7170">
        <w:t xml:space="preserve">sonalen ha tillgång till dokumentation om riktlinjer för vård och behandling som i riket används för att förenhetliga vården. Sådan dokumentation är publicerad i God medicinsk praxis och Pharmaca Fennica. </w:t>
      </w:r>
    </w:p>
    <w:p w:rsidR="00960AE7" w:rsidRPr="000B7170" w:rsidRDefault="00960AE7" w:rsidP="00960AE7">
      <w:pPr>
        <w:pStyle w:val="ANormal"/>
      </w:pPr>
      <w:r w:rsidRPr="000B7170">
        <w:tab/>
        <w:t>Riksdagens justitieombudsman (JO) konstaterade den 30.12.2015 att God medicinsk praxis och Pharmaca Fennica används för att ge konkret i</w:t>
      </w:r>
      <w:r w:rsidRPr="000B7170">
        <w:t>n</w:t>
      </w:r>
      <w:r w:rsidRPr="000B7170">
        <w:t xml:space="preserve">nehåll åt den flexibla rättsnorm om hälsovårdspersonalens yrkesetiska skyldigheter som finns i 15 § i lagen om yrkesutbildade personer inom hälso- och sjukvård (FFS 1994/559) vilken är gällande i landskapet. I lagen sägs ”skall i sin yrkesutövning tillämpa allmänt godtagna och beprövade metoder”. Social-och hälsovårdsministeriet bör enligt JO vidta åtgärder så att vårdrekommendationerna översätts till svenska. </w:t>
      </w:r>
    </w:p>
    <w:p w:rsidR="00960AE7" w:rsidRPr="000B7170" w:rsidRDefault="00960AE7" w:rsidP="00960AE7">
      <w:pPr>
        <w:pStyle w:val="ANormal"/>
      </w:pPr>
      <w:r w:rsidRPr="000B7170">
        <w:tab/>
        <w:t>Beträffande Pharmaca Fennica ansåg JO, att all den information där det ingår hänvisningar i förordning eller lagstiftning med det snaraste bör bli tillgänglig på svenska. Beträffande översättning av övrig information i pr</w:t>
      </w:r>
      <w:r w:rsidRPr="000B7170">
        <w:t>o</w:t>
      </w:r>
      <w:r w:rsidRPr="000B7170">
        <w:t xml:space="preserve">duktresuméer över läkemedel (och därmed i Pharmaca Fennica) bör social- </w:t>
      </w:r>
      <w:r w:rsidRPr="000B7170">
        <w:lastRenderedPageBreak/>
        <w:t>och hälsovårdsministeriet och övriga berörda riksmyndigheter tillsammans med landskapets myndigheter dryfta hur denna information ska kunna bli tillgänglig för den del av läka</w:t>
      </w:r>
      <w:r w:rsidR="00355B86" w:rsidRPr="000B7170">
        <w:t>r</w:t>
      </w:r>
      <w:r w:rsidRPr="000B7170">
        <w:t>kåren som inte behärskar finska. JO bad social- och hälsovårdsministeriet att senast den 30.6.2016 meddela vilka å</w:t>
      </w:r>
      <w:r w:rsidRPr="000B7170">
        <w:t>t</w:t>
      </w:r>
      <w:r w:rsidRPr="000B7170">
        <w:t>gärder som vidtagits med anledning av beslutet.</w:t>
      </w:r>
    </w:p>
    <w:p w:rsidR="00960AE7" w:rsidRPr="000B7170" w:rsidRDefault="00960AE7" w:rsidP="00960AE7">
      <w:pPr>
        <w:pStyle w:val="ANormal"/>
      </w:pPr>
      <w:r w:rsidRPr="000B7170">
        <w:tab/>
        <w:t>Landskapsregeringen begärde den 27.9.2016 (ÅLR 2013/3751) från Social- och hälsovårdsministeriet en kopia av ministeriets svar till justiti</w:t>
      </w:r>
      <w:r w:rsidRPr="000B7170">
        <w:t>e</w:t>
      </w:r>
      <w:r w:rsidRPr="000B7170">
        <w:t>ombudsmannen daterad den 27.6.2016. Då landskapsregeringen ansåg att den inte innehöll konkreta åtgärder för att framskrida i ärendet skickade landskapsregeringen den 9.12.2016 en skriftlig förfrågan om vilka åtgärder ministeriet har vidtagit angående JO:s beslut med anledning av landskap</w:t>
      </w:r>
      <w:r w:rsidRPr="000B7170">
        <w:t>s</w:t>
      </w:r>
      <w:r w:rsidRPr="000B7170">
        <w:t>regeringens klagomål gällande översättningen av Pharmaca Fennica och God medicinsk praxis. Social- och hälsovårdsministeriet har inte ännu sv</w:t>
      </w:r>
      <w:r w:rsidRPr="000B7170">
        <w:t>a</w:t>
      </w:r>
      <w:r w:rsidRPr="000B7170">
        <w:t>rat. Landskapsregeringen har haft kontakt med ministeriet i ärendet ett fle</w:t>
      </w:r>
      <w:r w:rsidRPr="000B7170">
        <w:t>r</w:t>
      </w:r>
      <w:r w:rsidRPr="000B7170">
        <w:t>tal gånger under året. Frågan har även tagits upp på ministernivå. Enligt den senaste informationen i januari 2018 håller social- och hälsovårdsm</w:t>
      </w:r>
      <w:r w:rsidRPr="000B7170">
        <w:t>i</w:t>
      </w:r>
      <w:r w:rsidRPr="000B7170">
        <w:t>nisteriet på att inkludera översättning av God medicinsk praxis i Institutet för hälsa och välfärds (THL) resultatavtal för 2018 samt översättning av Pharmaca Fennica i Säkerhets- och utvecklingscentret för läkemedelsomr</w:t>
      </w:r>
      <w:r w:rsidRPr="000B7170">
        <w:t>å</w:t>
      </w:r>
      <w:r w:rsidRPr="000B7170">
        <w:t xml:space="preserve">dets (Fimea) resultatavtal för 2018.  Landskapsregeringen följer fortsatt ärendet och avser följa upp verkställigheten av översättningarna. </w:t>
      </w:r>
    </w:p>
    <w:p w:rsidR="00960AE7" w:rsidRPr="000B7170" w:rsidRDefault="00960AE7" w:rsidP="00960AE7">
      <w:pPr>
        <w:pStyle w:val="ANormal"/>
      </w:pPr>
      <w:r w:rsidRPr="000B7170">
        <w:tab/>
        <w:t>Förutom de här två informationskällorna vilkas översättning nu bevakas av JO är det viktigt att i framtiden uppmärksamgöra riket på att då man p</w:t>
      </w:r>
      <w:r w:rsidRPr="000B7170">
        <w:t>å</w:t>
      </w:r>
      <w:r w:rsidRPr="000B7170">
        <w:t>börjar ett arbete med nationella rekommendationer bör ett översättningsa</w:t>
      </w:r>
      <w:r w:rsidRPr="000B7170">
        <w:t>r</w:t>
      </w:r>
      <w:r w:rsidRPr="000B7170">
        <w:t>bete ingå i planerna och ifråga om de beräknade resurserna redan från bö</w:t>
      </w:r>
      <w:r w:rsidRPr="000B7170">
        <w:t>r</w:t>
      </w:r>
      <w:r w:rsidRPr="000B7170">
        <w:t>jan. Det kan dessvärre konstateras att t.ex. hemsidorna på Social- och hälsoministeriet, THL och Valvira (Tillstånds och tillsynsverket för social- och hälsovården) inte ännu är fullständigt översatta till svenska.</w:t>
      </w:r>
    </w:p>
    <w:p w:rsidR="00A16BD2" w:rsidRPr="000B7170" w:rsidRDefault="00A16BD2" w:rsidP="00A16BD2">
      <w:pPr>
        <w:pStyle w:val="ANormal"/>
        <w:rPr>
          <w:lang w:val="sv-FI" w:eastAsia="sv-FI"/>
        </w:rPr>
      </w:pPr>
    </w:p>
    <w:p w:rsidR="00A16BD2" w:rsidRPr="000B7170" w:rsidRDefault="00A16BD2" w:rsidP="00A16BD2">
      <w:pPr>
        <w:pStyle w:val="RubrikB"/>
        <w:rPr>
          <w:lang w:val="sv-FI" w:eastAsia="sv-FI"/>
        </w:rPr>
      </w:pPr>
      <w:bookmarkStart w:id="9" w:name="_Toc508270993"/>
      <w:r w:rsidRPr="000B7170">
        <w:rPr>
          <w:lang w:val="sv-FI" w:eastAsia="sv-FI"/>
        </w:rPr>
        <w:t>2.4 Sjukvård på svenska</w:t>
      </w:r>
      <w:bookmarkEnd w:id="9"/>
    </w:p>
    <w:p w:rsidR="00960AE7" w:rsidRPr="000B7170" w:rsidRDefault="00960AE7" w:rsidP="00960AE7">
      <w:pPr>
        <w:pStyle w:val="ANormal"/>
      </w:pPr>
      <w:r w:rsidRPr="000B7170">
        <w:t>Av de patienter som Ålands hälso- och sjukvård (ÅHS) remitterade för sp</w:t>
      </w:r>
      <w:r w:rsidRPr="000B7170">
        <w:t>e</w:t>
      </w:r>
      <w:r w:rsidRPr="000B7170">
        <w:t>cialistvård utanför Åland under år 2017, remitterades majoriteten till Fi</w:t>
      </w:r>
      <w:r w:rsidRPr="000B7170">
        <w:t>n</w:t>
      </w:r>
      <w:r w:rsidRPr="000B7170">
        <w:t>land. Det har förekommit enstaka fall då den språkliga servicen enligt pat</w:t>
      </w:r>
      <w:r w:rsidRPr="000B7170">
        <w:t>i</w:t>
      </w:r>
      <w:r w:rsidRPr="000B7170">
        <w:t>enternas eller anhörigas uppfattning inte har varit godtagbar. Vård på svenska är en mycket viktig fråga som måste lyftas upp på agendan kont</w:t>
      </w:r>
      <w:r w:rsidRPr="000B7170">
        <w:t>i</w:t>
      </w:r>
      <w:r w:rsidRPr="000B7170">
        <w:t>nuerligt, inte minst då svenskans ställning i Finland inte har förstärkts u</w:t>
      </w:r>
      <w:r w:rsidRPr="000B7170">
        <w:t>n</w:t>
      </w:r>
      <w:r w:rsidRPr="000B7170">
        <w:t>der senare tid.</w:t>
      </w:r>
    </w:p>
    <w:p w:rsidR="00960AE7" w:rsidRPr="000B7170" w:rsidRDefault="00960AE7" w:rsidP="00960AE7">
      <w:pPr>
        <w:pStyle w:val="ANormal"/>
      </w:pPr>
      <w:r w:rsidRPr="000B7170">
        <w:tab/>
        <w:t>Kontakt hålls därför med avtalssjukhusen så att det uppstår en geme</w:t>
      </w:r>
      <w:r w:rsidRPr="000B7170">
        <w:t>n</w:t>
      </w:r>
      <w:r w:rsidRPr="000B7170">
        <w:t>sam syn att kommunikation på svenska genom hela vårdkedjan är en v</w:t>
      </w:r>
      <w:r w:rsidRPr="000B7170">
        <w:t>ä</w:t>
      </w:r>
      <w:r w:rsidRPr="000B7170">
        <w:t>sentlig och central del av god vård. ÅHS ledningsgrupp har i detta syfte b</w:t>
      </w:r>
      <w:r w:rsidRPr="000B7170">
        <w:t>e</w:t>
      </w:r>
      <w:r w:rsidRPr="000B7170">
        <w:t>sökt ledningen för Egentliga Finlands sjukvårdsdistrikt och fört diskussio</w:t>
      </w:r>
      <w:r w:rsidRPr="000B7170">
        <w:t>n</w:t>
      </w:r>
      <w:r w:rsidRPr="000B7170">
        <w:t>er om konkreta förbättringsåtgärder. Som en konkret åtgärd har sjukvård</w:t>
      </w:r>
      <w:r w:rsidRPr="000B7170">
        <w:t>s</w:t>
      </w:r>
      <w:r w:rsidRPr="000B7170">
        <w:t xml:space="preserve">distriktet på ett bättre sätt lovat följa upp patientnöjdheten gällande det språkliga bemötandet. </w:t>
      </w:r>
      <w:r w:rsidR="000323F6" w:rsidRPr="000B7170">
        <w:t>Vård- och landskaps</w:t>
      </w:r>
      <w:r w:rsidRPr="000B7170">
        <w:t>reform</w:t>
      </w:r>
      <w:r w:rsidR="000323F6" w:rsidRPr="000B7170">
        <w:t>en i riket</w:t>
      </w:r>
      <w:r w:rsidRPr="000B7170">
        <w:t xml:space="preserve"> följs noggrant också i det avseendet att det garanteras tillräcklig kapacitet av svenskspr</w:t>
      </w:r>
      <w:r w:rsidRPr="000B7170">
        <w:t>å</w:t>
      </w:r>
      <w:r w:rsidRPr="000B7170">
        <w:t xml:space="preserve">kig högklassig vård som är tillgänglig för ålänningarna. </w:t>
      </w:r>
    </w:p>
    <w:p w:rsidR="007E63B2" w:rsidRPr="000B7170" w:rsidRDefault="007E63B2" w:rsidP="00960AE7">
      <w:pPr>
        <w:pStyle w:val="ANormal"/>
      </w:pPr>
    </w:p>
    <w:p w:rsidR="007E63B2" w:rsidRPr="000B7170" w:rsidRDefault="007E63B2" w:rsidP="007E63B2">
      <w:pPr>
        <w:pStyle w:val="RubrikA"/>
      </w:pPr>
      <w:bookmarkStart w:id="10" w:name="_Toc508270994"/>
      <w:r w:rsidRPr="000B7170">
        <w:t>3.</w:t>
      </w:r>
      <w:r w:rsidR="00FA444E" w:rsidRPr="000B7170">
        <w:t xml:space="preserve"> </w:t>
      </w:r>
      <w:r w:rsidRPr="000B7170">
        <w:t>Körkortslagen  och straffbestämmelserna</w:t>
      </w:r>
      <w:bookmarkEnd w:id="10"/>
    </w:p>
    <w:p w:rsidR="007E63B2" w:rsidRPr="000B7170" w:rsidRDefault="007E63B2" w:rsidP="007E63B2">
      <w:pPr>
        <w:pStyle w:val="Rubrikmellanrum"/>
      </w:pPr>
    </w:p>
    <w:p w:rsidR="007E63B2" w:rsidRPr="000B7170" w:rsidRDefault="007E63B2" w:rsidP="007E63B2">
      <w:pPr>
        <w:pStyle w:val="ANormal"/>
      </w:pPr>
      <w:r w:rsidRPr="000B7170">
        <w:t>Genom den nya körkortslagen (2015:88) för Åland, nedan körkortslagen, togs villkorligt körförbud bort och längre körförbudstider för rattfylleri och grovt rattfylleri infördes. En möjlighet infördes också att ersätta körfö</w:t>
      </w:r>
      <w:r w:rsidRPr="000B7170">
        <w:t>r</w:t>
      </w:r>
      <w:r w:rsidRPr="000B7170">
        <w:t>budstid på grund av rattfylleri med en körkortsbehörighet för ett fordon u</w:t>
      </w:r>
      <w:r w:rsidRPr="000B7170">
        <w:t>t</w:t>
      </w:r>
      <w:r w:rsidRPr="000B7170">
        <w:t>rustat med alkolås. Bestämmelser om körförbudstider finns i 44 § i kö</w:t>
      </w:r>
      <w:r w:rsidRPr="000B7170">
        <w:t>r</w:t>
      </w:r>
      <w:r w:rsidRPr="000B7170">
        <w:t>kortslagen. Körförbudstiderna för rattfylleri och grovt rattfylleri blev bety</w:t>
      </w:r>
      <w:r w:rsidRPr="000B7170">
        <w:t>d</w:t>
      </w:r>
      <w:r w:rsidRPr="000B7170">
        <w:t xml:space="preserve">ligt längre i den nya lagstiftningen än vad som var fallet tidigare för att </w:t>
      </w:r>
      <w:r w:rsidRPr="000B7170">
        <w:lastRenderedPageBreak/>
        <w:t>markera allvaret i den typen av trafikbrott och för att motivera så många körkortshavare som möjligt att installera alkolås i sina fordon.</w:t>
      </w:r>
    </w:p>
    <w:p w:rsidR="007E63B2" w:rsidRPr="000B7170" w:rsidRDefault="007E63B2" w:rsidP="007E63B2">
      <w:pPr>
        <w:pStyle w:val="ANormal"/>
      </w:pPr>
      <w:r w:rsidRPr="000B7170">
        <w:t xml:space="preserve"> </w:t>
      </w:r>
      <w:r w:rsidRPr="000B7170">
        <w:tab/>
        <w:t>Enligt 43 § 1 mom. 2 punkten i körkortslagen ska domstolen i samband med att föraren av ett motordrivet fordon döms för rattfylleri eller grovt rattfylleri bestämma en tid inom vilken den som dömts för brottet inte får köra körkortspliktiga fordon (körförbudstid). Av körkortslagens 44 § 2 mom. framgår att den körförbudstid som domstolen ska fatta beslut om e</w:t>
      </w:r>
      <w:r w:rsidRPr="000B7170">
        <w:t>n</w:t>
      </w:r>
      <w:r w:rsidRPr="000B7170">
        <w:t>ligt 43 § 1 mom. 2 punkten ska bestämmas till minst ett år vid rattfylleri och till minst två år vid grovt rattfylleri eller om personen tidigare dömts för rattfylleri eller grovt rattfylleri och mindre än fem år gått mellan gä</w:t>
      </w:r>
      <w:r w:rsidRPr="000B7170">
        <w:t>r</w:t>
      </w:r>
      <w:r w:rsidRPr="000B7170">
        <w:t>ningarna. Enligt lagens 44 § 3 mom. ska den tid som körkortet varit o</w:t>
      </w:r>
      <w:r w:rsidRPr="000B7170">
        <w:t>m</w:t>
      </w:r>
      <w:r w:rsidRPr="000B7170">
        <w:t>händertaget räknas av när körförbudstiden bestäms.</w:t>
      </w:r>
    </w:p>
    <w:p w:rsidR="007E63B2" w:rsidRPr="000B7170" w:rsidRDefault="007E63B2" w:rsidP="007E63B2">
      <w:pPr>
        <w:pStyle w:val="ANormal"/>
      </w:pPr>
      <w:r w:rsidRPr="000B7170">
        <w:tab/>
        <w:t>Vid lagstiftningskontrollen av körkortslagen jämte anslutande lagar (LF nr 5/2014–2015) konstaterade Ålandsdelegationen (Nr 18/15) den 2 juni 2015 att lagstiftningen gällde landskapets myndigheter, allmän ordning och säkerhet, undervisning samt vägtrafik på vilka områden lagstiftningsbeh</w:t>
      </w:r>
      <w:r w:rsidRPr="000B7170">
        <w:t>ö</w:t>
      </w:r>
      <w:r w:rsidRPr="000B7170">
        <w:t>righeten helt eller till de delar landskapslagarna reglerar tillkommer lan</w:t>
      </w:r>
      <w:r w:rsidRPr="000B7170">
        <w:t>d</w:t>
      </w:r>
      <w:r w:rsidRPr="000B7170">
        <w:t>skapet enligt 18 § 1, 6, 14 och 21 punkterna i självstyrelselagen för Åland. Ålandsdelegationen konstaterade även att straffbestämmelserna i den a</w:t>
      </w:r>
      <w:r w:rsidRPr="000B7170">
        <w:t>n</w:t>
      </w:r>
      <w:r w:rsidRPr="000B7170">
        <w:t>tagna landskapslagstiftningen med stöd av 18 § 25 punkten i självstyrels</w:t>
      </w:r>
      <w:r w:rsidRPr="000B7170">
        <w:t>e</w:t>
      </w:r>
      <w:r w:rsidRPr="000B7170">
        <w:t>lagen kunde intas i lagstiftningen. Enligt 18 § 26 punkten i självstyrelsel</w:t>
      </w:r>
      <w:r w:rsidRPr="000B7170">
        <w:t>a</w:t>
      </w:r>
      <w:r w:rsidRPr="000B7170">
        <w:t>gen ansågs landskapet även ha rätt att lagstifta i fråga om utsättande och u</w:t>
      </w:r>
      <w:r w:rsidRPr="000B7170">
        <w:t>t</w:t>
      </w:r>
      <w:r w:rsidRPr="000B7170">
        <w:t>dömande av vite samt andra tvångsmedel inom rättsområden som hör till landskapets lagstiftningsbehörighet. Även bestämmelserna i körkortslagen om körförbud ansågs utgöra i nämnda punkt avsedda tvångsmedel. Körfö</w:t>
      </w:r>
      <w:r w:rsidRPr="000B7170">
        <w:t>r</w:t>
      </w:r>
      <w:r w:rsidRPr="000B7170">
        <w:t>budet är en särskild påföljd i avsikt att förhindra nya brott. Det hänför sig endast till de rättsområden som ovan konstaterats höra till landskapets la</w:t>
      </w:r>
      <w:r w:rsidRPr="000B7170">
        <w:t>g</w:t>
      </w:r>
      <w:r w:rsidRPr="000B7170">
        <w:t>stiftningsbehörighet, och föranledde därför inga anmärkningar i behöri</w:t>
      </w:r>
      <w:r w:rsidRPr="000B7170">
        <w:t>g</w:t>
      </w:r>
      <w:r w:rsidRPr="000B7170">
        <w:t>hetsavseende från Ålandsdelegationen.</w:t>
      </w:r>
    </w:p>
    <w:p w:rsidR="007E63B2" w:rsidRPr="000B7170" w:rsidRDefault="007E63B2" w:rsidP="007E63B2">
      <w:pPr>
        <w:pStyle w:val="ANormal"/>
      </w:pPr>
      <w:r w:rsidRPr="000B7170">
        <w:tab/>
        <w:t>Presidenten fann den 26 juni 2015, efter att ha inhämtat Ålandsdelega</w:t>
      </w:r>
      <w:r w:rsidRPr="000B7170">
        <w:t>t</w:t>
      </w:r>
      <w:r w:rsidRPr="000B7170">
        <w:t>ionens utlåtande i ärendet, inget hinder för att sätta i kraft körkortslagen. Den nya körkortslagen trädde i kraft den 1 mars 2016.</w:t>
      </w:r>
    </w:p>
    <w:p w:rsidR="007E63B2" w:rsidRPr="000B7170" w:rsidRDefault="007E63B2" w:rsidP="007E63B2">
      <w:pPr>
        <w:pStyle w:val="ANormal"/>
      </w:pPr>
    </w:p>
    <w:p w:rsidR="007E63B2" w:rsidRPr="000B7170" w:rsidRDefault="007E63B2" w:rsidP="007E63B2">
      <w:pPr>
        <w:pStyle w:val="RubrikB"/>
      </w:pPr>
      <w:bookmarkStart w:id="11" w:name="_Toc508270995"/>
      <w:r w:rsidRPr="000B7170">
        <w:t>3.1 Domstolsbehandling</w:t>
      </w:r>
      <w:bookmarkEnd w:id="11"/>
    </w:p>
    <w:p w:rsidR="007E63B2" w:rsidRPr="000B7170" w:rsidRDefault="007E63B2" w:rsidP="007E63B2">
      <w:pPr>
        <w:pStyle w:val="Rubrikmellanrum"/>
      </w:pPr>
    </w:p>
    <w:p w:rsidR="007E63B2" w:rsidRPr="000B7170" w:rsidRDefault="007E63B2" w:rsidP="007E63B2">
      <w:pPr>
        <w:pStyle w:val="RubrikC"/>
      </w:pPr>
      <w:bookmarkStart w:id="12" w:name="_Toc508270996"/>
      <w:r w:rsidRPr="000B7170">
        <w:t>3.1.1 Ålands tingsrätt</w:t>
      </w:r>
      <w:bookmarkEnd w:id="12"/>
    </w:p>
    <w:p w:rsidR="007E63B2" w:rsidRPr="000B7170" w:rsidRDefault="007E63B2" w:rsidP="007E63B2">
      <w:pPr>
        <w:pStyle w:val="Rubrikmellanrum"/>
      </w:pPr>
    </w:p>
    <w:p w:rsidR="007E63B2" w:rsidRPr="000B7170" w:rsidRDefault="007E63B2" w:rsidP="007E63B2">
      <w:pPr>
        <w:pStyle w:val="ANormal"/>
      </w:pPr>
      <w:r w:rsidRPr="000B7170">
        <w:t>Enligt en dom i Ålands tingsrätt den 29 september 2016 (Nr 16/139396) ansåg tingsrätten att A den 15 mars 2016 hade framfört en personbil och släpvagn från Långnäs i Lumparland längs landsväg 3 till Söderby i Le</w:t>
      </w:r>
      <w:r w:rsidRPr="000B7170">
        <w:t>m</w:t>
      </w:r>
      <w:r w:rsidRPr="000B7170">
        <w:t>land trots att han hade förtärt alkohol i sådan mängd att alkoholhalten i hans utandningsluft efter bilfärden varit minst 0,26 milligram per liter. Vidare hade släpvagnen saknat fungerande belysning och varit obesiktigad.</w:t>
      </w:r>
    </w:p>
    <w:p w:rsidR="007E63B2" w:rsidRPr="000B7170" w:rsidRDefault="007E63B2" w:rsidP="007E63B2">
      <w:pPr>
        <w:pStyle w:val="ANormal"/>
      </w:pPr>
      <w:r w:rsidRPr="000B7170">
        <w:tab/>
        <w:t>Tingsrätten dömde A för rattfylleri och trafikförseelse till ett bötesstraff. A meddelades även med stöd av 43 och 44 §§ i körkortslagen ett körförbud som med beaktande även av det interimistiska körförbudet uppgick till sammanlagt ett år och fyra månader.</w:t>
      </w:r>
    </w:p>
    <w:p w:rsidR="007E63B2" w:rsidRPr="000B7170" w:rsidRDefault="007E63B2" w:rsidP="007E63B2">
      <w:pPr>
        <w:pStyle w:val="ANormal"/>
      </w:pPr>
    </w:p>
    <w:p w:rsidR="007E63B2" w:rsidRPr="000B7170" w:rsidRDefault="007E63B2" w:rsidP="007E63B2">
      <w:pPr>
        <w:pStyle w:val="RubrikC"/>
      </w:pPr>
      <w:bookmarkStart w:id="13" w:name="_Toc508270997"/>
      <w:r w:rsidRPr="000B7170">
        <w:t>3.1.2 Åbo hovrätt</w:t>
      </w:r>
      <w:bookmarkEnd w:id="13"/>
    </w:p>
    <w:p w:rsidR="007E63B2" w:rsidRPr="000B7170" w:rsidRDefault="007E63B2" w:rsidP="007E63B2">
      <w:pPr>
        <w:pStyle w:val="Rubrikmellanrum"/>
      </w:pPr>
    </w:p>
    <w:p w:rsidR="007E63B2" w:rsidRPr="000B7170" w:rsidRDefault="007E63B2" w:rsidP="007E63B2">
      <w:pPr>
        <w:pStyle w:val="ANormal"/>
      </w:pPr>
      <w:r w:rsidRPr="000B7170">
        <w:t>A överklagade till hovrätten beträffande längden på körförbudet. I sin dom (Nr 17/100939) den 10 januari 2017 konstaterar hovrätten att rikets la</w:t>
      </w:r>
      <w:r w:rsidRPr="000B7170">
        <w:t>g</w:t>
      </w:r>
      <w:r w:rsidRPr="000B7170">
        <w:t>stiftningsbehörighet i fråga om straffrätten samt den i Finlands grundlag tryggade jämlikhetsprincipen ställer vissa gränser för landskapets lagstif</w:t>
      </w:r>
      <w:r w:rsidRPr="000B7170">
        <w:t>t</w:t>
      </w:r>
      <w:r w:rsidRPr="000B7170">
        <w:t>ningsbehörighet. Vidare hänvisar hovrätten till regeringens proposition till självstyrelselag för Åland (RP 73/1990 rd, s. 43 - 44), enligt vilken straffstadgandena i landskapet inte ska kunna avvika radikalt från de sta</w:t>
      </w:r>
      <w:r w:rsidRPr="000B7170">
        <w:t>d</w:t>
      </w:r>
      <w:r w:rsidRPr="000B7170">
        <w:lastRenderedPageBreak/>
        <w:t>ganden som gäller i riket. Det möjliggör dock vissa skillnader mellan riket och landskapet när det gäller straffsatserna för likartade brott.</w:t>
      </w:r>
    </w:p>
    <w:p w:rsidR="007E63B2" w:rsidRPr="000B7170" w:rsidRDefault="007E63B2" w:rsidP="007E63B2">
      <w:pPr>
        <w:pStyle w:val="ANormal"/>
      </w:pPr>
      <w:r w:rsidRPr="000B7170">
        <w:tab/>
        <w:t>Hovrätten fann att tillämpningen av bestämmelsen i 44 § 2 mom. i kö</w:t>
      </w:r>
      <w:r w:rsidRPr="000B7170">
        <w:t>r</w:t>
      </w:r>
      <w:r w:rsidRPr="000B7170">
        <w:t>kortslagen om att körförbudstiden vid rattfylleri ska bestämmas till minst ett år uppenbart kränkte A:s grundlagsenliga rätt till likhet inför lagen. E</w:t>
      </w:r>
      <w:r w:rsidRPr="000B7170">
        <w:t>n</w:t>
      </w:r>
      <w:r w:rsidRPr="000B7170">
        <w:t>ligt 6 § i grundlagen är alla lika inför lagen. Ingen får utan godtagbart skäl särbehandlas på grund av kön, ålder, ursprung, språk, religion, övertygelse, åsikt, hälsotillstånd eller handikapp eller av någon annan orsak som gäller hans eller hennes person. Hovrätten konstaterade att körförbudstiden vari</w:t>
      </w:r>
      <w:r w:rsidRPr="000B7170">
        <w:t>e</w:t>
      </w:r>
      <w:r w:rsidRPr="000B7170">
        <w:t>rade markant beroende på om gärningsorten var på Åland eller i riket. Av 66 § i rikets körkortslag framgår att vid rattfylleri meddelas ett körförbud i minst en månad. Enligt rikets rättspraxis skulle A ha meddelats körförbud i högst tre månader. Med stöd av 106 § i grundlagen tillämpade hovrätten inte den i den åländska körkortslagen ingående bestämmelsen om körfö</w:t>
      </w:r>
      <w:r w:rsidRPr="000B7170">
        <w:t>r</w:t>
      </w:r>
      <w:r w:rsidRPr="000B7170">
        <w:t>budets minimilängd. Enligt 106 § i grundlagen ska domstolen ge grun</w:t>
      </w:r>
      <w:r w:rsidRPr="000B7170">
        <w:t>d</w:t>
      </w:r>
      <w:r w:rsidRPr="000B7170">
        <w:t>lagsbestämmelsen företräde, om tillämpningen av en lagbestämmelse i ett ärende som behandlas av en domstol uppenbart skulle strida mot grundl</w:t>
      </w:r>
      <w:r w:rsidRPr="000B7170">
        <w:t>a</w:t>
      </w:r>
      <w:r w:rsidRPr="000B7170">
        <w:t>gen. Hovrätten förkortade körförbudstiden så att körförbudet upphörde vid dagen för givandet av hovrättens dom.</w:t>
      </w:r>
    </w:p>
    <w:p w:rsidR="007E63B2" w:rsidRPr="000B7170" w:rsidRDefault="007E63B2" w:rsidP="007E63B2">
      <w:pPr>
        <w:pStyle w:val="ANormal"/>
      </w:pPr>
      <w:r w:rsidRPr="000B7170">
        <w:tab/>
        <w:t>Hovrätten som hade en förstärkt sammansättning var dock inte enig i sin dom. De skiljaktiga ledamöterna ansåg att landskapet haft behörighet att stadga om körförbud på det sätt som framgick av 43 § och 44 § 2 mom. körkortslagen för Åland. Stadgandet om att körförbudet ska vara minst ett år stod inte uppenbart i strid med grundlagen. Då A enligt utredningen varit i behov av körkort för sin försörjning skulle de ha förordnat ett körförbud om sammanlagt ett år.</w:t>
      </w:r>
    </w:p>
    <w:p w:rsidR="007E63B2" w:rsidRPr="000B7170" w:rsidRDefault="007E63B2" w:rsidP="007E63B2">
      <w:pPr>
        <w:pStyle w:val="ANormal"/>
      </w:pPr>
    </w:p>
    <w:p w:rsidR="007E63B2" w:rsidRPr="000B7170" w:rsidRDefault="007E63B2" w:rsidP="007E63B2">
      <w:pPr>
        <w:pStyle w:val="RubrikC"/>
      </w:pPr>
      <w:bookmarkStart w:id="14" w:name="_Toc508270998"/>
      <w:r w:rsidRPr="000B7170">
        <w:t>3.1.3 Högsta domstolen</w:t>
      </w:r>
      <w:bookmarkEnd w:id="14"/>
    </w:p>
    <w:p w:rsidR="007E63B2" w:rsidRPr="000B7170" w:rsidRDefault="007E63B2" w:rsidP="007E63B2">
      <w:pPr>
        <w:pStyle w:val="Rubrikmellanrum"/>
      </w:pPr>
    </w:p>
    <w:p w:rsidR="007E63B2" w:rsidRPr="000B7170" w:rsidRDefault="007E63B2" w:rsidP="007E63B2">
      <w:pPr>
        <w:pStyle w:val="ANormal"/>
      </w:pPr>
      <w:r w:rsidRPr="000B7170">
        <w:t>Målet fördes vidare till Högsta domstolen (HD), som meddelade sin dom den 2 mars 2018 (HD:2018:16). Frågeställningen i HD utgjordes av huruvida tillämpningen av 44 § 2 mom. i den åländska körkortslagen i ärendet uppenbart stred mot den i 6 § grundlagen ingående bestämmelsen om allas rätt till likhet inför lagen. Fråga var även om körförbudstidens längd.</w:t>
      </w:r>
    </w:p>
    <w:p w:rsidR="007E63B2" w:rsidRPr="000B7170" w:rsidRDefault="007E63B2" w:rsidP="007E63B2">
      <w:pPr>
        <w:pStyle w:val="ANormal"/>
      </w:pPr>
      <w:r w:rsidRPr="000B7170">
        <w:tab/>
        <w:t>I sina domskäl konstaterar HD inledningsvis att landskapet med stöd av 18 § 21 punkten i självstyrelselagen har lagstiftningsbehörighet i fråga om vägtrafik och med stöd av 18 § 25 punkten är landskapet behörigt att b</w:t>
      </w:r>
      <w:r w:rsidRPr="000B7170">
        <w:t>e</w:t>
      </w:r>
      <w:r w:rsidRPr="000B7170">
        <w:t>lägga med straff och bestämma storleken av straff inom rättsområden som hör till dess lagstiftningsbehörighet. Ett körförbud som meddelats på grund av ett trafikbrott har enligt vedertagen praxis ansetts vara en sådan straf</w:t>
      </w:r>
      <w:r w:rsidRPr="000B7170">
        <w:t>f</w:t>
      </w:r>
      <w:r w:rsidRPr="000B7170">
        <w:t>rättslig påföljd som kan jämställas med ett straff och följaktligen blir till exempel legalitetsprincipen i 8 § i grundlagen tillämplig på ett sådant kö</w:t>
      </w:r>
      <w:r w:rsidRPr="000B7170">
        <w:t>r</w:t>
      </w:r>
      <w:r w:rsidRPr="000B7170">
        <w:t>förbud (HD 2005:132 punkt 3 och 2007:77 punkt 5). Även vid bedömnin</w:t>
      </w:r>
      <w:r w:rsidRPr="000B7170">
        <w:t>g</w:t>
      </w:r>
      <w:r w:rsidRPr="000B7170">
        <w:t>en av landskapets lagstiftningsbehörighet finns det enligt HD skäl att anse att körförbudet är en straffrättslig påföljd som kan jämställas med ett straff. Körkortslagen för Åland och de däri ingående bestämmelserna om körfö</w:t>
      </w:r>
      <w:r w:rsidRPr="000B7170">
        <w:t>r</w:t>
      </w:r>
      <w:r w:rsidRPr="000B7170">
        <w:t>bud omfattas således enligt HD av landskapets lagstiftningsbehörighet. Av detta följer att rikets lagstiftning om körförbud inte är tillämplig i detta ärende (HD 2001:79).</w:t>
      </w:r>
    </w:p>
    <w:p w:rsidR="007E63B2" w:rsidRPr="000B7170" w:rsidRDefault="007E63B2" w:rsidP="007E63B2">
      <w:pPr>
        <w:pStyle w:val="ANormal"/>
      </w:pPr>
      <w:r w:rsidRPr="000B7170">
        <w:tab/>
        <w:t>HD anför vidare att utgångspunkten enligt 18 § 25 punkten i självstyre</w:t>
      </w:r>
      <w:r w:rsidRPr="000B7170">
        <w:t>l</w:t>
      </w:r>
      <w:r w:rsidRPr="000B7170">
        <w:t>selagen är att inom de områden som hör till landskapets lagstiftningsko</w:t>
      </w:r>
      <w:r w:rsidRPr="000B7170">
        <w:t>m</w:t>
      </w:r>
      <w:r w:rsidRPr="000B7170">
        <w:t>petens omfattar behörigheten även rätten att belägga brott mot reglerna med straff. Straff kan i landskapet föreskrivas även för sådana gärningar som i riket är straffria. Den allmänna straffrätten hör däremot till rikets behöri</w:t>
      </w:r>
      <w:r w:rsidRPr="000B7170">
        <w:t>g</w:t>
      </w:r>
      <w:r w:rsidRPr="000B7170">
        <w:t>het. Detta innebär enligt HD att strafflagens allmänna del vid rättskipning tillämpas på landskapets kriminaliseringar och även att straffen som påföl</w:t>
      </w:r>
      <w:r w:rsidRPr="000B7170">
        <w:t>j</w:t>
      </w:r>
      <w:r w:rsidRPr="000B7170">
        <w:lastRenderedPageBreak/>
        <w:t>der bör vara desamma eller jämförbara med rikets påföljder. Som exempel nämner HD att skilda typer av frihetsstraff eller ett annorlunda sätt att b</w:t>
      </w:r>
      <w:r w:rsidRPr="000B7170">
        <w:t>e</w:t>
      </w:r>
      <w:r w:rsidRPr="000B7170">
        <w:t>räkna böter skulle falla utanför landskapets lagstiftningsbehörighet.</w:t>
      </w:r>
    </w:p>
    <w:p w:rsidR="007E63B2" w:rsidRPr="000B7170" w:rsidRDefault="007E63B2" w:rsidP="007E63B2">
      <w:pPr>
        <w:pStyle w:val="ANormal"/>
      </w:pPr>
      <w:r w:rsidRPr="000B7170">
        <w:tab/>
        <w:t>HD tar i sitt resonemang även upp den bestämmelse i 106 § i grundl</w:t>
      </w:r>
      <w:r w:rsidRPr="000B7170">
        <w:t>a</w:t>
      </w:r>
      <w:r w:rsidRPr="000B7170">
        <w:t>gen som reglerar grundlagens företräde, en bestämmelse som låg till grund för hovrättens beslut att inte tillämpa den åländska körkortslagen. Enligt HD kan efter det en landskapslagstiftning trätt i kraft en tillämpning av stadgandena prövas av domstol på basis av 106 § grundlagen, men bara på den grunden att en tillämpning uppenbart skulle strida mot grundlagen i ett konkret fall. I detta sammanhang påpekar HD att innehållet i en landskap</w:t>
      </w:r>
      <w:r w:rsidRPr="000B7170">
        <w:t>s</w:t>
      </w:r>
      <w:r w:rsidRPr="000B7170">
        <w:t>lag inte efter det den passerat lagstiftningskontrollen kan angripas på den grunden att det strider mot kompetensfördelningen mellan riket och lan</w:t>
      </w:r>
      <w:r w:rsidRPr="000B7170">
        <w:t>d</w:t>
      </w:r>
      <w:r w:rsidRPr="000B7170">
        <w:t>skapet.</w:t>
      </w:r>
    </w:p>
    <w:p w:rsidR="007E63B2" w:rsidRPr="000B7170" w:rsidRDefault="007E63B2" w:rsidP="007E63B2">
      <w:pPr>
        <w:pStyle w:val="ANormal"/>
      </w:pPr>
      <w:r w:rsidRPr="000B7170">
        <w:tab/>
        <w:t>Vidare anför HD att straff alltid innebär ett ingrepp i den personliga r</w:t>
      </w:r>
      <w:r w:rsidRPr="000B7170">
        <w:t>ö</w:t>
      </w:r>
      <w:r w:rsidRPr="000B7170">
        <w:t>relsefriheten, rätten till egendom eller näringsfriheten eller andra rättigheter som tryggas i grundlagen. Detta innebär å sin sida att ingreppet inte får vara oproportionerligt i förhållande till dess ändamål. Ett i förhållande till den eftersträvade verkan oproportionerligt minimistraff kan innebära ett brott mot grundlagens bestämmelser och sålunda även en överträdelse av själ</w:t>
      </w:r>
      <w:r w:rsidRPr="000B7170">
        <w:t>v</w:t>
      </w:r>
      <w:r w:rsidRPr="000B7170">
        <w:t>styrelselagen, då stiftande eller ändring av grundlag tillhör rikets lagstif</w:t>
      </w:r>
      <w:r w:rsidRPr="000B7170">
        <w:t>t</w:t>
      </w:r>
      <w:r w:rsidRPr="000B7170">
        <w:t>ningsbehörighet. Inom dessa gränser har landskapet rätt att fastställa stra</w:t>
      </w:r>
      <w:r w:rsidRPr="000B7170">
        <w:t>f</w:t>
      </w:r>
      <w:r w:rsidRPr="000B7170">
        <w:t>fet. Skulle man med åberopande av principen om likhet inför lagen frångå dessa grundprinciper och pröva skäligheten i landskapslagarnas straffsta</w:t>
      </w:r>
      <w:r w:rsidRPr="000B7170">
        <w:t>d</w:t>
      </w:r>
      <w:r w:rsidRPr="000B7170">
        <w:t>ganden genom en jämförelse med rikslagstiftningen skulle innebörden i att landskapet fick belägga brott mot landskapslagstiftning med straff mista sitt innehåll.</w:t>
      </w:r>
    </w:p>
    <w:p w:rsidR="007E63B2" w:rsidRPr="000B7170" w:rsidRDefault="007E63B2" w:rsidP="007E63B2">
      <w:pPr>
        <w:pStyle w:val="ANormal"/>
      </w:pPr>
      <w:r w:rsidRPr="000B7170">
        <w:tab/>
        <w:t>HD fortsätter sitt resonemang med att det omnämnande i förarbetena, som hovrätten hänvisat till (RP 73/1990 rd s. 43 – 44), torde ses i ljuset av det faktum att behörigheten att belägga brott mot stadganden i landskapslag med straff markant utvidgades vid reformen av självstyrelselagen att o</w:t>
      </w:r>
      <w:r w:rsidRPr="000B7170">
        <w:t>m</w:t>
      </w:r>
      <w:r w:rsidRPr="000B7170">
        <w:t>fatta förutom bötesstraff och vite även fängelsestraff. De grundläggande fri- och rättigheterna var ännu inte intagna i den då gällande regeringsformen. Lagstiftningskontrollen av landskapslagar baserade sig inte på grundlagen i samma grad som idag och uttalanden i förarbetena till självstyrelselagen kunde tänkas ha en vägledande funktion när landskapet skulle ta i bruk sina nya befogenheter.</w:t>
      </w:r>
    </w:p>
    <w:p w:rsidR="007E63B2" w:rsidRPr="000B7170" w:rsidRDefault="007E63B2" w:rsidP="007E63B2">
      <w:pPr>
        <w:pStyle w:val="ANormal"/>
      </w:pPr>
      <w:r w:rsidRPr="000B7170">
        <w:tab/>
        <w:t>HD konstaterar vidare att då A har gjort sig skyldig till rattfylleri på Åland, ska 44 § 2 mom. i den åländska körkortslagen tillämpas på det kö</w:t>
      </w:r>
      <w:r w:rsidRPr="000B7170">
        <w:t>r</w:t>
      </w:r>
      <w:r w:rsidRPr="000B7170">
        <w:t>förbud som meddelas honom. Denna bestämmelse om att körförbudet ska bestämmas till minst ett år är likadan för alla som gjort sig skyldiga till rat</w:t>
      </w:r>
      <w:r w:rsidRPr="000B7170">
        <w:t>t</w:t>
      </w:r>
      <w:r w:rsidRPr="000B7170">
        <w:t>fylleri på Åland och den särbehandlar inte någon på grund av boningsort e</w:t>
      </w:r>
      <w:r w:rsidRPr="000B7170">
        <w:t>l</w:t>
      </w:r>
      <w:r w:rsidRPr="000B7170">
        <w:t>ler på någon annan grund som omnämns i grundlagens bestämmelse om jämlikhet. Vidare är det körförbud som meddelats A klart kortare än det längsta tillåtna körförbudet för rattfylleri enligt rikets körkortslag. Körfö</w:t>
      </w:r>
      <w:r w:rsidRPr="000B7170">
        <w:t>r</w:t>
      </w:r>
      <w:r w:rsidRPr="000B7170">
        <w:t>budets längd kan inte anses vara oproportionerlig i förhållande till körfö</w:t>
      </w:r>
      <w:r w:rsidRPr="000B7170">
        <w:t>r</w:t>
      </w:r>
      <w:r w:rsidRPr="000B7170">
        <w:t>budets ändamål och det brott som A begått.</w:t>
      </w:r>
    </w:p>
    <w:p w:rsidR="007E63B2" w:rsidRPr="000B7170" w:rsidRDefault="007E63B2" w:rsidP="007E63B2">
      <w:pPr>
        <w:pStyle w:val="ANormal"/>
      </w:pPr>
      <w:r w:rsidRPr="000B7170">
        <w:tab/>
        <w:t>Slutligen anför HD att tillämpningen av den åländska körförbudsb</w:t>
      </w:r>
      <w:r w:rsidRPr="000B7170">
        <w:t>e</w:t>
      </w:r>
      <w:r w:rsidRPr="000B7170">
        <w:t>stämmelsen inte på ett sådant sätt som avses i 106 § i grundlagen uppenbart strider mot den i 6 § i grundlagen tryggade grundrättigheten om att alla skall vara lika inför lagen eller de andra i grundlagen tryggade grundrätti</w:t>
      </w:r>
      <w:r w:rsidRPr="000B7170">
        <w:t>g</w:t>
      </w:r>
      <w:r w:rsidRPr="000B7170">
        <w:t>heterna. HD ändrade hovrättens domslut och fann det med hänsyn till A:s relativt låga alkoholhalt vara motiverat att meddela A ett körförbud på ett år och två månader.</w:t>
      </w:r>
    </w:p>
    <w:p w:rsidR="007E63B2" w:rsidRPr="000B7170" w:rsidRDefault="00B823C5" w:rsidP="00B823C5">
      <w:pPr>
        <w:pStyle w:val="ANormal"/>
      </w:pPr>
      <w:r w:rsidRPr="000B7170">
        <w:tab/>
        <w:t>Landskapsregeringen anser att rättsfallet ger en intressant vägledning över inom vilka ramar den åländska självstyrelsen har att verka inom och lyfter samtidigt upp den komplexitet som behörighetsfördelningen ger up</w:t>
      </w:r>
      <w:r w:rsidRPr="000B7170">
        <w:t>p</w:t>
      </w:r>
      <w:r w:rsidRPr="000B7170">
        <w:t>hov till.</w:t>
      </w:r>
    </w:p>
    <w:p w:rsidR="00960AE7" w:rsidRPr="000B7170" w:rsidRDefault="00960AE7" w:rsidP="00960AE7">
      <w:pPr>
        <w:pStyle w:val="ANormal"/>
      </w:pPr>
    </w:p>
    <w:p w:rsidR="00C8220E" w:rsidRPr="000B7170" w:rsidRDefault="00C8220E" w:rsidP="00C8220E">
      <w:pPr>
        <w:pStyle w:val="ANormal"/>
      </w:pPr>
    </w:p>
    <w:p w:rsidR="003A1469" w:rsidRPr="000B7170" w:rsidRDefault="007E63B2" w:rsidP="003F29AD">
      <w:pPr>
        <w:pStyle w:val="RubrikA"/>
      </w:pPr>
      <w:bookmarkStart w:id="15" w:name="_Toc508270999"/>
      <w:r w:rsidRPr="000B7170">
        <w:t>4</w:t>
      </w:r>
      <w:r w:rsidR="003A1469" w:rsidRPr="000B7170">
        <w:t>. Vård- och landskapsreformen i riket</w:t>
      </w:r>
      <w:bookmarkEnd w:id="15"/>
    </w:p>
    <w:p w:rsidR="0095600A" w:rsidRPr="000B7170" w:rsidRDefault="007E63B2" w:rsidP="00DF0CD8">
      <w:pPr>
        <w:pStyle w:val="RubrikB"/>
      </w:pPr>
      <w:bookmarkStart w:id="16" w:name="_Toc508271000"/>
      <w:r w:rsidRPr="000B7170">
        <w:t>4</w:t>
      </w:r>
      <w:r w:rsidR="00DF0CD8" w:rsidRPr="000B7170">
        <w:t xml:space="preserve">.1. </w:t>
      </w:r>
      <w:r w:rsidR="0095600A" w:rsidRPr="000B7170">
        <w:t>Bakgrund</w:t>
      </w:r>
      <w:bookmarkEnd w:id="16"/>
    </w:p>
    <w:p w:rsidR="0095600A" w:rsidRPr="000B7170" w:rsidRDefault="0095600A" w:rsidP="0095600A">
      <w:pPr>
        <w:pStyle w:val="ANormal"/>
      </w:pPr>
      <w:r w:rsidRPr="000B7170">
        <w:t>Reformen består av många olika delar där reformen av landskapen och social- och hälsovården utgör hörnpelare. Bland de propositioner som ingår i reformen kan särskilt följande lyftas fram:</w:t>
      </w:r>
    </w:p>
    <w:p w:rsidR="0095600A" w:rsidRPr="000B7170" w:rsidRDefault="0095600A" w:rsidP="00E95C1D">
      <w:pPr>
        <w:pStyle w:val="ANormal"/>
        <w:numPr>
          <w:ilvl w:val="0"/>
          <w:numId w:val="28"/>
        </w:numPr>
      </w:pPr>
      <w:r w:rsidRPr="000B7170">
        <w:t>Regeringens proposition till riksdagen med förslag till lagstiftning om inrättande av landskap och om en reform av ordnandet av social- och hälsovården samt till lämnande av underrättelse enligt artikel 12 och 13 i Europeiska stadgan om lokal självstyrelse</w:t>
      </w:r>
    </w:p>
    <w:p w:rsidR="0095600A" w:rsidRPr="000B7170" w:rsidRDefault="0095600A" w:rsidP="0095600A">
      <w:pPr>
        <w:pStyle w:val="ANormal"/>
        <w:numPr>
          <w:ilvl w:val="0"/>
          <w:numId w:val="28"/>
        </w:numPr>
      </w:pPr>
      <w:r w:rsidRPr="000B7170">
        <w:t xml:space="preserve">Regeringens proposition till riksdagen med förslag till lag om  </w:t>
      </w:r>
    </w:p>
    <w:p w:rsidR="0095600A" w:rsidRPr="000B7170" w:rsidRDefault="0095600A" w:rsidP="007E63B2">
      <w:pPr>
        <w:pStyle w:val="ANormal"/>
        <w:ind w:left="240"/>
      </w:pPr>
      <w:r w:rsidRPr="000B7170">
        <w:t xml:space="preserve">           produktion av social- och hälsotjänster</w:t>
      </w:r>
    </w:p>
    <w:p w:rsidR="0095600A" w:rsidRPr="000B7170" w:rsidRDefault="0095600A" w:rsidP="0095600A">
      <w:pPr>
        <w:pStyle w:val="ANormal"/>
        <w:numPr>
          <w:ilvl w:val="0"/>
          <w:numId w:val="28"/>
        </w:numPr>
      </w:pPr>
      <w:r w:rsidRPr="000B7170">
        <w:t xml:space="preserve">Regeringens proposition till riksdagen med förslag till lagar om </w:t>
      </w:r>
    </w:p>
    <w:p w:rsidR="0095600A" w:rsidRPr="000B7170" w:rsidRDefault="0095600A" w:rsidP="0095600A">
      <w:pPr>
        <w:pStyle w:val="ANormal"/>
      </w:pPr>
      <w:r w:rsidRPr="000B7170">
        <w:t xml:space="preserve">               kundens valfrihet inom social- och hälsovården samt ändring av</w:t>
      </w:r>
    </w:p>
    <w:p w:rsidR="0095600A" w:rsidRPr="000B7170" w:rsidRDefault="0095600A" w:rsidP="0095600A">
      <w:pPr>
        <w:pStyle w:val="ANormal"/>
      </w:pPr>
      <w:r w:rsidRPr="000B7170">
        <w:t xml:space="preserve">               2 § i lagen om statens revisionsverk</w:t>
      </w:r>
    </w:p>
    <w:p w:rsidR="00355B86" w:rsidRPr="000B7170" w:rsidRDefault="0095600A" w:rsidP="00355B86">
      <w:pPr>
        <w:pStyle w:val="ANormal"/>
      </w:pPr>
      <w:r w:rsidRPr="000B7170">
        <w:tab/>
        <w:t>Det föreslås bli 18 landskap inrättade i Finland. Landskapen är offentl</w:t>
      </w:r>
      <w:r w:rsidRPr="000B7170">
        <w:t>i</w:t>
      </w:r>
      <w:r w:rsidRPr="000B7170">
        <w:t>grättsliga samfund med regionalt självstyre. De nya landskapen föreslås i fråga om område motsvara de nuvarande landskapen med vissa undantag. Landskapens högsta beslutande organ är landskapsfullmäktige som utses genom val. Landskapen ska sköta de uppgifter som föreskrivs för dem i lag. Centrala uppgifter är social- och hälsovården och räddningsväsendet. V</w:t>
      </w:r>
      <w:r w:rsidRPr="000B7170">
        <w:t>i</w:t>
      </w:r>
      <w:r w:rsidRPr="000B7170">
        <w:t>dare bereds särskilt en överföring av vissa uppgifter från närings-, trafik- och miljöcentralerna, arbets- och näringsbyråerna och regionförvaltning</w:t>
      </w:r>
      <w:r w:rsidRPr="000B7170">
        <w:t>s</w:t>
      </w:r>
      <w:r w:rsidRPr="000B7170">
        <w:t xml:space="preserve">verken samt landskapsförbunden och miljö- och hälsoskyddet </w:t>
      </w:r>
      <w:r w:rsidR="00355B86" w:rsidRPr="000B7170">
        <w:t>till</w:t>
      </w:r>
      <w:r w:rsidRPr="000B7170">
        <w:t xml:space="preserve"> landska</w:t>
      </w:r>
      <w:r w:rsidRPr="000B7170">
        <w:t>p</w:t>
      </w:r>
      <w:r w:rsidRPr="000B7170">
        <w:t>ens ansvar. De landskap som bildas finansieras av staten främst genom att statens förvärvsinkomstbeskattning ökas medan kommunalskatten minskas i motsvarade mån dvs med ca 12,5 procentenheter. Samtidigt ökas den sta</w:t>
      </w:r>
      <w:r w:rsidRPr="000B7170">
        <w:t>t</w:t>
      </w:r>
      <w:r w:rsidRPr="000B7170">
        <w:t xml:space="preserve">liga andelen av samfundsbeskattningen. På Åland bildas inget landskap </w:t>
      </w:r>
      <w:r w:rsidR="00E95C1D" w:rsidRPr="000B7170">
        <w:t>e</w:t>
      </w:r>
      <w:r w:rsidR="00E95C1D" w:rsidRPr="000B7170">
        <w:t>f</w:t>
      </w:r>
      <w:r w:rsidR="00E95C1D" w:rsidRPr="000B7170">
        <w:t>tersom</w:t>
      </w:r>
      <w:r w:rsidRPr="000B7170">
        <w:t xml:space="preserve"> hälso- och sjukvården samt socialvården </w:t>
      </w:r>
      <w:r w:rsidR="00E95C1D" w:rsidRPr="000B7170">
        <w:t>hör till</w:t>
      </w:r>
      <w:r w:rsidRPr="000B7170">
        <w:t xml:space="preserve"> landskapets la</w:t>
      </w:r>
      <w:r w:rsidRPr="000B7170">
        <w:t>g</w:t>
      </w:r>
      <w:r w:rsidRPr="000B7170">
        <w:t>stiftningsbehörighet. Kopplat till den s</w:t>
      </w:r>
      <w:r w:rsidR="00E95C1D" w:rsidRPr="000B7170">
        <w:t>.</w:t>
      </w:r>
      <w:r w:rsidRPr="000B7170">
        <w:t xml:space="preserve">k. valfrihetslagstiftningen, genom vilken klienten ska få mångsidigare möjligheter att välja tjänsteproducent jämfört med tidigare, planeras ändringar i socialförsäkringssystemet, där sjukförsäkringens ersättningar sammanslås med statens helhetsfinansiering av social- och hälsovården. </w:t>
      </w:r>
      <w:r w:rsidR="00E95C1D" w:rsidRPr="000B7170">
        <w:t>Eftersom social- och hälsovården är landska</w:t>
      </w:r>
      <w:r w:rsidR="00E95C1D" w:rsidRPr="000B7170">
        <w:t>p</w:t>
      </w:r>
      <w:r w:rsidR="00E95C1D" w:rsidRPr="000B7170">
        <w:t xml:space="preserve">ets lagstiftningsbehörighet medan socialförsäkringen är rikets </w:t>
      </w:r>
      <w:r w:rsidR="00355B86" w:rsidRPr="000B7170">
        <w:t>kommer detta att medföra särskilda utmaningar för riket att tillse att ål</w:t>
      </w:r>
      <w:r w:rsidR="00C51F0F" w:rsidRPr="000B7170">
        <w:t>änningarna inom rikets behörighetsområde erhåller samma socialförsäkringsskydd som til</w:t>
      </w:r>
      <w:r w:rsidR="00C51F0F" w:rsidRPr="000B7170">
        <w:t>l</w:t>
      </w:r>
      <w:r w:rsidR="00C51F0F" w:rsidRPr="000B7170">
        <w:t>handahålls invånarna i riket.</w:t>
      </w:r>
    </w:p>
    <w:p w:rsidR="00355B86" w:rsidRPr="000B7170" w:rsidRDefault="00355B86" w:rsidP="00355B86">
      <w:pPr>
        <w:pStyle w:val="ANormal"/>
      </w:pPr>
    </w:p>
    <w:p w:rsidR="00355B86" w:rsidRPr="000B7170" w:rsidRDefault="007E63B2" w:rsidP="00DF0CD8">
      <w:pPr>
        <w:pStyle w:val="RubrikB"/>
      </w:pPr>
      <w:bookmarkStart w:id="17" w:name="_Toc508271001"/>
      <w:r w:rsidRPr="000B7170">
        <w:t>4</w:t>
      </w:r>
      <w:r w:rsidR="00DF0CD8" w:rsidRPr="000B7170">
        <w:t xml:space="preserve">.2. </w:t>
      </w:r>
      <w:r w:rsidR="00C51F0F" w:rsidRPr="000B7170">
        <w:t>Reformen och Åland i fråga landskap och beskattning</w:t>
      </w:r>
      <w:bookmarkEnd w:id="17"/>
    </w:p>
    <w:p w:rsidR="00C51F0F" w:rsidRPr="000B7170" w:rsidRDefault="00C51F0F" w:rsidP="0095600A">
      <w:pPr>
        <w:pStyle w:val="ANormal"/>
      </w:pPr>
      <w:r w:rsidRPr="000B7170">
        <w:t xml:space="preserve">Under </w:t>
      </w:r>
      <w:r w:rsidR="0095600A" w:rsidRPr="000B7170">
        <w:t>slutet av år 2016 och hela våren 2017 skickades skrivelser mellan landskapsregeringen och statsrådet samt finansministeriet gällande hant</w:t>
      </w:r>
      <w:r w:rsidR="0095600A" w:rsidRPr="000B7170">
        <w:t>e</w:t>
      </w:r>
      <w:r w:rsidR="0095600A" w:rsidRPr="000B7170">
        <w:t xml:space="preserve">ringen av Åland och självstyrelsen i samband med reformen. Från mars till och med slutet av maj var förhandlingarna mellan landskapsregeringen och finansministeriet mycket intensiva. </w:t>
      </w:r>
      <w:r w:rsidRPr="000B7170">
        <w:t>Under förhandlingarna framhöll lan</w:t>
      </w:r>
      <w:r w:rsidRPr="000B7170">
        <w:t>d</w:t>
      </w:r>
      <w:r w:rsidRPr="000B7170">
        <w:t>skapsregeringen konsekvent men utan framgång att den mest ändamålse</w:t>
      </w:r>
      <w:r w:rsidRPr="000B7170">
        <w:t>n</w:t>
      </w:r>
      <w:r w:rsidRPr="000B7170">
        <w:t>liga lösningen inte är det akt</w:t>
      </w:r>
      <w:r w:rsidR="004E5559" w:rsidRPr="000B7170">
        <w:t>uella landskapsavdraget i statsbeskattningen för ålänningarna utan att landskapet övertar förvärvsinkomstbeskattningen.</w:t>
      </w:r>
      <w:r w:rsidRPr="000B7170">
        <w:t xml:space="preserve"> </w:t>
      </w:r>
    </w:p>
    <w:p w:rsidR="0095600A" w:rsidRPr="000B7170" w:rsidRDefault="00D7318E" w:rsidP="0095600A">
      <w:pPr>
        <w:pStyle w:val="ANormal"/>
      </w:pPr>
      <w:r w:rsidRPr="000B7170">
        <w:tab/>
        <w:t>Å</w:t>
      </w:r>
      <w:r w:rsidR="0095600A" w:rsidRPr="000B7170">
        <w:t>landsdelegationen avgav</w:t>
      </w:r>
      <w:r w:rsidR="004E5559" w:rsidRPr="000B7170">
        <w:t>, utgående från en begäran av finansminist</w:t>
      </w:r>
      <w:r w:rsidR="004E5559" w:rsidRPr="000B7170">
        <w:t>e</w:t>
      </w:r>
      <w:r w:rsidR="004E5559" w:rsidRPr="000B7170">
        <w:t xml:space="preserve">riet baserat på förhandlingsdiskussionerna, </w:t>
      </w:r>
      <w:r w:rsidR="0095600A" w:rsidRPr="000B7170">
        <w:t>ett utlåtande</w:t>
      </w:r>
      <w:r w:rsidR="004E5559" w:rsidRPr="000B7170">
        <w:t>,</w:t>
      </w:r>
      <w:r w:rsidR="0095600A" w:rsidRPr="000B7170">
        <w:t xml:space="preserve"> nr 26/17</w:t>
      </w:r>
      <w:r w:rsidR="004E5559" w:rsidRPr="000B7170">
        <w:t>,</w:t>
      </w:r>
      <w:r w:rsidR="0095600A" w:rsidRPr="000B7170">
        <w:t xml:space="preserve"> av den 2 juni 2017. Ålandsdelegationen anger </w:t>
      </w:r>
      <w:r w:rsidR="004E5559" w:rsidRPr="000B7170">
        <w:t>bl.a.</w:t>
      </w:r>
      <w:r w:rsidR="0095600A" w:rsidRPr="000B7170">
        <w:t xml:space="preserve"> följande: ”Enligt Ålandsdelega</w:t>
      </w:r>
      <w:r w:rsidR="0095600A" w:rsidRPr="000B7170">
        <w:t>t</w:t>
      </w:r>
      <w:r w:rsidR="0095600A" w:rsidRPr="000B7170">
        <w:t>ionens uppfattning möjliggör gällande ordalydelse i självstyrelselagens 49 § inte att av den debiterade skatten på förvärvsinkomster på föreslaget sätt endast skulle beaktas den proportionella andel som motsvarar statsskatterna före vård- och landskapsreformen, utan de debiterade statsskatterna ska b</w:t>
      </w:r>
      <w:r w:rsidR="0095600A" w:rsidRPr="000B7170">
        <w:t>e</w:t>
      </w:r>
      <w:r w:rsidR="0095600A" w:rsidRPr="000B7170">
        <w:lastRenderedPageBreak/>
        <w:t>aktas i sin helhet. Den av finansministeriet föreslagna modellen, enligt vi</w:t>
      </w:r>
      <w:r w:rsidR="0095600A" w:rsidRPr="000B7170">
        <w:t>l</w:t>
      </w:r>
      <w:r w:rsidR="0095600A" w:rsidRPr="000B7170">
        <w:t>ken den del av den framtida inkomstskatten i riket som utgör en förhöjning på grund av social- och hälsovårdsreformen inte skall beaktas som en i la</w:t>
      </w:r>
      <w:r w:rsidR="0095600A" w:rsidRPr="000B7170">
        <w:t>n</w:t>
      </w:r>
      <w:r w:rsidR="0095600A" w:rsidRPr="000B7170">
        <w:t>det debiterad inkomstskatt vid uträknandet av skattegottgörelsen, är inte förenlig med de i 49 § i självstyrelselagen uppställda rekvisiten för hur skattegottgörelse kan och skall räknas fram utgående från debiterade ska</w:t>
      </w:r>
      <w:r w:rsidR="0095600A" w:rsidRPr="000B7170">
        <w:t>t</w:t>
      </w:r>
      <w:r w:rsidR="0095600A" w:rsidRPr="000B7170">
        <w:t>ter, för att sedan fastställas av Ålandsdelegationen. Däremot föreligger det inte hinder för att Ålandsdelegationen i anslutning till beslutet konstaterar hur stor skattegottgörelsen skulle vara om man vid uträkningen inte skulle beakta den av social och hälsovårdsreformen föranledda förhöjningen av inkomstskatten. Detta förutsätter att Ålandsdelegationen erhåller de erfo</w:t>
      </w:r>
      <w:r w:rsidR="0095600A" w:rsidRPr="000B7170">
        <w:t>r</w:t>
      </w:r>
      <w:r w:rsidR="0095600A" w:rsidRPr="000B7170">
        <w:t>derliga uppgifterna av skatteförvaltningen. Detta konstaterande kunde s</w:t>
      </w:r>
      <w:r w:rsidR="0095600A" w:rsidRPr="000B7170">
        <w:t>e</w:t>
      </w:r>
      <w:r w:rsidR="0095600A" w:rsidRPr="000B7170">
        <w:t>dan utgöra grund för riksmyndigheternas egna beslut för kompenseringså</w:t>
      </w:r>
      <w:r w:rsidR="0095600A" w:rsidRPr="000B7170">
        <w:t>t</w:t>
      </w:r>
      <w:r w:rsidR="0095600A" w:rsidRPr="000B7170">
        <w:t>gärder till landskapet.”.</w:t>
      </w:r>
    </w:p>
    <w:p w:rsidR="0095600A" w:rsidRPr="000B7170" w:rsidRDefault="0095600A" w:rsidP="0095600A">
      <w:pPr>
        <w:pStyle w:val="ANormal"/>
      </w:pPr>
      <w:r w:rsidRPr="000B7170">
        <w:tab/>
        <w:t>Efter att Ålandsdelegationens utlåtande givits avlät statsrådet en ko</w:t>
      </w:r>
      <w:r w:rsidRPr="000B7170">
        <w:t>m</w:t>
      </w:r>
      <w:r w:rsidRPr="000B7170">
        <w:t xml:space="preserve">pletterande proposition nr RP 71/2017 rd. </w:t>
      </w:r>
    </w:p>
    <w:p w:rsidR="0095600A" w:rsidRPr="000B7170" w:rsidRDefault="0095600A" w:rsidP="0095600A">
      <w:pPr>
        <w:pStyle w:val="ANormal"/>
      </w:pPr>
      <w:r w:rsidRPr="000B7170">
        <w:tab/>
        <w:t>Denna proposition innehåll bl.a. följande centrala delar:</w:t>
      </w:r>
    </w:p>
    <w:p w:rsidR="0095600A" w:rsidRPr="000B7170" w:rsidRDefault="0095600A" w:rsidP="00312B77">
      <w:pPr>
        <w:pStyle w:val="ANormal"/>
        <w:rPr>
          <w:lang w:eastAsia="sv-FI"/>
        </w:rPr>
      </w:pPr>
      <w:r w:rsidRPr="000B7170">
        <w:t>D</w:t>
      </w:r>
      <w:r w:rsidRPr="000B7170">
        <w:rPr>
          <w:lang w:eastAsia="sv-FI"/>
        </w:rPr>
        <w:t xml:space="preserve">en bestämmelse om det åländska landskapsavdraget som </w:t>
      </w:r>
    </w:p>
    <w:p w:rsidR="0095600A" w:rsidRPr="000B7170" w:rsidRDefault="0095600A" w:rsidP="00312B77">
      <w:pPr>
        <w:pStyle w:val="ANormal"/>
        <w:rPr>
          <w:lang w:eastAsia="sv-FI"/>
        </w:rPr>
      </w:pPr>
      <w:r w:rsidRPr="000B7170">
        <w:rPr>
          <w:lang w:eastAsia="sv-FI"/>
        </w:rPr>
        <w:t xml:space="preserve">föreslagits i 125 a § i inkomstskattelagen (1535/1992) ska </w:t>
      </w:r>
    </w:p>
    <w:p w:rsidR="0095600A" w:rsidRPr="000B7170" w:rsidRDefault="0095600A" w:rsidP="00312B77">
      <w:pPr>
        <w:pStyle w:val="ANormal"/>
        <w:rPr>
          <w:lang w:eastAsia="sv-FI"/>
        </w:rPr>
      </w:pPr>
      <w:r w:rsidRPr="000B7170">
        <w:rPr>
          <w:lang w:eastAsia="sv-FI"/>
        </w:rPr>
        <w:t xml:space="preserve">   ändras så att avdraget beräknas enligt 30 § i inkomstskatte-</w:t>
      </w:r>
    </w:p>
    <w:p w:rsidR="0095600A" w:rsidRPr="000B7170" w:rsidRDefault="0095600A" w:rsidP="00312B77">
      <w:pPr>
        <w:pStyle w:val="ANormal"/>
        <w:rPr>
          <w:lang w:eastAsia="sv-FI"/>
        </w:rPr>
      </w:pPr>
      <w:r w:rsidRPr="000B7170">
        <w:rPr>
          <w:lang w:eastAsia="sv-FI"/>
        </w:rPr>
        <w:t xml:space="preserve">    lagen på grundval av den beskattningsbara inkomsten vid </w:t>
      </w:r>
    </w:p>
    <w:p w:rsidR="0095600A" w:rsidRPr="000B7170" w:rsidRDefault="0095600A" w:rsidP="00312B77">
      <w:pPr>
        <w:pStyle w:val="ANormal"/>
        <w:rPr>
          <w:lang w:eastAsia="sv-FI"/>
        </w:rPr>
      </w:pPr>
      <w:r w:rsidRPr="000B7170">
        <w:rPr>
          <w:lang w:eastAsia="sv-FI"/>
        </w:rPr>
        <w:t xml:space="preserve">    kommunalbeskattningen.  Kompletteringen föreslås för att </w:t>
      </w:r>
    </w:p>
    <w:p w:rsidR="0095600A" w:rsidRPr="000B7170" w:rsidRDefault="0095600A" w:rsidP="00312B77">
      <w:pPr>
        <w:pStyle w:val="ANormal"/>
        <w:rPr>
          <w:lang w:eastAsia="sv-FI"/>
        </w:rPr>
      </w:pPr>
      <w:r w:rsidRPr="000B7170">
        <w:rPr>
          <w:lang w:eastAsia="sv-FI"/>
        </w:rPr>
        <w:t xml:space="preserve">    avvikelser mellan kommunalbeskattningen i riket och på </w:t>
      </w:r>
    </w:p>
    <w:p w:rsidR="0095600A" w:rsidRPr="000B7170" w:rsidRDefault="0095600A" w:rsidP="00312B77">
      <w:pPr>
        <w:pStyle w:val="ANormal"/>
        <w:rPr>
          <w:lang w:eastAsia="sv-FI"/>
        </w:rPr>
      </w:pPr>
      <w:r w:rsidRPr="000B7170">
        <w:rPr>
          <w:lang w:eastAsia="sv-FI"/>
        </w:rPr>
        <w:t xml:space="preserve">    Åland inte ska påverka beloppet av landskapsavdraget. </w:t>
      </w:r>
    </w:p>
    <w:p w:rsidR="0095600A" w:rsidRPr="000B7170" w:rsidRDefault="00D7318E" w:rsidP="00312B77">
      <w:pPr>
        <w:pStyle w:val="ANormal"/>
        <w:rPr>
          <w:lang w:eastAsia="sv-FI"/>
        </w:rPr>
      </w:pPr>
      <w:r w:rsidRPr="000B7170">
        <w:rPr>
          <w:lang w:eastAsia="sv-FI"/>
        </w:rPr>
        <w:t xml:space="preserve">   </w:t>
      </w:r>
      <w:r w:rsidR="0095600A" w:rsidRPr="000B7170">
        <w:rPr>
          <w:lang w:eastAsia="sv-FI"/>
        </w:rPr>
        <w:t xml:space="preserve">Vid riksdagsbehandlingen av regeringens proposition </w:t>
      </w:r>
    </w:p>
    <w:p w:rsidR="0095600A" w:rsidRPr="000B7170" w:rsidRDefault="0095600A" w:rsidP="00312B77">
      <w:pPr>
        <w:pStyle w:val="ANormal"/>
        <w:rPr>
          <w:lang w:eastAsia="sv-FI"/>
        </w:rPr>
      </w:pPr>
      <w:r w:rsidRPr="000B7170">
        <w:rPr>
          <w:lang w:eastAsia="sv-FI"/>
        </w:rPr>
        <w:t xml:space="preserve">    15/2017 rd aktualiserades frågan hur de ändringar som före-  </w:t>
      </w:r>
    </w:p>
    <w:p w:rsidR="0095600A" w:rsidRPr="000B7170" w:rsidRDefault="0095600A" w:rsidP="00312B77">
      <w:pPr>
        <w:pStyle w:val="ANormal"/>
        <w:rPr>
          <w:lang w:eastAsia="sv-FI"/>
        </w:rPr>
      </w:pPr>
      <w:r w:rsidRPr="000B7170">
        <w:rPr>
          <w:lang w:eastAsia="sv-FI"/>
        </w:rPr>
        <w:t xml:space="preserve">    slagits i utdelningen av samfundsskatten enligt 12 § i lagen </w:t>
      </w:r>
    </w:p>
    <w:p w:rsidR="0095600A" w:rsidRPr="000B7170" w:rsidRDefault="0095600A" w:rsidP="00312B77">
      <w:pPr>
        <w:pStyle w:val="ANormal"/>
        <w:rPr>
          <w:lang w:eastAsia="sv-FI"/>
        </w:rPr>
      </w:pPr>
      <w:r w:rsidRPr="000B7170">
        <w:rPr>
          <w:lang w:eastAsia="sv-FI"/>
        </w:rPr>
        <w:t xml:space="preserve">    om skatteredovisning påverkar skatteinkomsterna för kom-</w:t>
      </w:r>
    </w:p>
    <w:p w:rsidR="0095600A" w:rsidRPr="000B7170" w:rsidRDefault="0095600A" w:rsidP="00312B77">
      <w:pPr>
        <w:pStyle w:val="ANormal"/>
        <w:rPr>
          <w:lang w:eastAsia="sv-FI"/>
        </w:rPr>
      </w:pPr>
      <w:r w:rsidRPr="000B7170">
        <w:rPr>
          <w:lang w:eastAsia="sv-FI"/>
        </w:rPr>
        <w:t xml:space="preserve">    munerna på Åland och hur de påverkar de samfund som är </w:t>
      </w:r>
    </w:p>
    <w:p w:rsidR="0095600A" w:rsidRPr="000B7170" w:rsidRDefault="0095600A" w:rsidP="00312B77">
      <w:pPr>
        <w:pStyle w:val="ANormal"/>
        <w:rPr>
          <w:lang w:eastAsia="sv-FI"/>
        </w:rPr>
      </w:pPr>
      <w:r w:rsidRPr="000B7170">
        <w:rPr>
          <w:lang w:eastAsia="sv-FI"/>
        </w:rPr>
        <w:t xml:space="preserve">    verksamma på Åland. Ändringen bör också till denna del </w:t>
      </w:r>
    </w:p>
    <w:p w:rsidR="0095600A" w:rsidRPr="000B7170" w:rsidRDefault="0095600A" w:rsidP="00312B77">
      <w:pPr>
        <w:pStyle w:val="ANormal"/>
        <w:rPr>
          <w:lang w:eastAsia="sv-FI"/>
        </w:rPr>
      </w:pPr>
      <w:r w:rsidRPr="000B7170">
        <w:rPr>
          <w:lang w:eastAsia="sv-FI"/>
        </w:rPr>
        <w:t xml:space="preserve">    vara neutral. Därför ska också konsekvenserna av de änd-</w:t>
      </w:r>
    </w:p>
    <w:p w:rsidR="00390D81" w:rsidRPr="000B7170" w:rsidRDefault="0095600A" w:rsidP="00312B77">
      <w:pPr>
        <w:pStyle w:val="ANormal"/>
        <w:rPr>
          <w:lang w:eastAsia="sv-FI"/>
        </w:rPr>
      </w:pPr>
      <w:r w:rsidRPr="000B7170">
        <w:rPr>
          <w:lang w:eastAsia="sv-FI"/>
        </w:rPr>
        <w:t xml:space="preserve">    ringar som på grund av social- och hälsovårds- och land</w:t>
      </w:r>
      <w:r w:rsidR="00390D81" w:rsidRPr="000B7170">
        <w:rPr>
          <w:lang w:eastAsia="sv-FI"/>
        </w:rPr>
        <w:t xml:space="preserve">- </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 xml:space="preserve">skapsreformen föreslagits i utdelningen av samfundsskatten </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 xml:space="preserve">med stöd av 47 § 2 mom. i självstyrelselagen beaktas vid </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 xml:space="preserve">dimensioneringen av avräkningsbeloppet i den proposition </w:t>
      </w:r>
    </w:p>
    <w:p w:rsidR="0095600A" w:rsidRPr="000B7170" w:rsidRDefault="00390D81" w:rsidP="00312B77">
      <w:pPr>
        <w:pStyle w:val="ANormal"/>
        <w:rPr>
          <w:lang w:eastAsia="sv-FI"/>
        </w:rPr>
      </w:pPr>
      <w:r w:rsidRPr="000B7170">
        <w:rPr>
          <w:lang w:eastAsia="sv-FI"/>
        </w:rPr>
        <w:t xml:space="preserve">    </w:t>
      </w:r>
      <w:r w:rsidR="0095600A" w:rsidRPr="000B7170">
        <w:rPr>
          <w:lang w:eastAsia="sv-FI"/>
        </w:rPr>
        <w:t>som lämnas våren 2018.  </w:t>
      </w:r>
    </w:p>
    <w:p w:rsidR="00390D81" w:rsidRPr="000B7170" w:rsidRDefault="00D7318E" w:rsidP="00312B77">
      <w:pPr>
        <w:pStyle w:val="ANormal"/>
        <w:rPr>
          <w:lang w:eastAsia="sv-FI"/>
        </w:rPr>
      </w:pPr>
      <w:r w:rsidRPr="000B7170">
        <w:rPr>
          <w:lang w:eastAsia="sv-FI"/>
        </w:rPr>
        <w:t xml:space="preserve">   </w:t>
      </w:r>
      <w:r w:rsidR="0095600A" w:rsidRPr="000B7170">
        <w:rPr>
          <w:lang w:eastAsia="sv-FI"/>
        </w:rPr>
        <w:t xml:space="preserve">I regeringens proposition 15/2017 rd föreslogs det att den </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 xml:space="preserve">uteblivna skattegottgörelsen enligt 49 § i självstyrelselagen </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skulle kompenseras genom en höjning av avräkningsgrun</w:t>
      </w:r>
      <w:r w:rsidRPr="000B7170">
        <w:rPr>
          <w:lang w:eastAsia="sv-FI"/>
        </w:rPr>
        <w:t>-</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 xml:space="preserve">den. Enligt Ålandsdelegationens utlåtande föreligger det inte </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 xml:space="preserve">hinder för att Ålandsdelegationen i anslutning till beslutet </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 xml:space="preserve">om skattegottgörelsen konstaterar hur stor skattegottgörelsen </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 xml:space="preserve">skulle vara om man vid uträkningen inte skulle beakta den </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av social- och hälsovårds- och landskapsreformen föran</w:t>
      </w:r>
      <w:r w:rsidRPr="000B7170">
        <w:rPr>
          <w:lang w:eastAsia="sv-FI"/>
        </w:rPr>
        <w:t>-</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 xml:space="preserve">ledda förhöjningen av inkomstskatten. Ålandsdelegationen </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konstaterar vidare att ovannämnda konstaterande kunde ut</w:t>
      </w:r>
      <w:r w:rsidRPr="000B7170">
        <w:rPr>
          <w:lang w:eastAsia="sv-FI"/>
        </w:rPr>
        <w:t>-</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göra grund för riksmyndigheternas egna beslut för kompen</w:t>
      </w:r>
      <w:r w:rsidRPr="000B7170">
        <w:rPr>
          <w:lang w:eastAsia="sv-FI"/>
        </w:rPr>
        <w:t>-</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seringsåtgärder till landskapet. Regeringen anser att refor</w:t>
      </w:r>
      <w:r w:rsidRPr="000B7170">
        <w:rPr>
          <w:lang w:eastAsia="sv-FI"/>
        </w:rPr>
        <w:t>-</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 xml:space="preserve">men gällande skattegottgörelsen kan genomföras neutralt på </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 xml:space="preserve">det sätt Ålandsdelegationen framför i sitt utlåtande. Den </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 xml:space="preserve">uteblivna skattegottgörelsen kompenseras till Åland så att </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reformen är neutral med hänsyn till Ålands finansiella ställ</w:t>
      </w:r>
      <w:r w:rsidRPr="000B7170">
        <w:rPr>
          <w:lang w:eastAsia="sv-FI"/>
        </w:rPr>
        <w:t>-</w:t>
      </w:r>
    </w:p>
    <w:p w:rsidR="0095600A" w:rsidRPr="000B7170" w:rsidRDefault="00390D81" w:rsidP="00312B77">
      <w:pPr>
        <w:pStyle w:val="ANormal"/>
        <w:rPr>
          <w:lang w:eastAsia="sv-FI"/>
        </w:rPr>
      </w:pPr>
      <w:r w:rsidRPr="000B7170">
        <w:rPr>
          <w:lang w:eastAsia="sv-FI"/>
        </w:rPr>
        <w:t xml:space="preserve">    </w:t>
      </w:r>
      <w:r w:rsidR="0095600A" w:rsidRPr="000B7170">
        <w:rPr>
          <w:lang w:eastAsia="sv-FI"/>
        </w:rPr>
        <w:t>ning. </w:t>
      </w:r>
    </w:p>
    <w:p w:rsidR="00390D81" w:rsidRPr="000B7170" w:rsidRDefault="00D7318E" w:rsidP="00312B77">
      <w:pPr>
        <w:pStyle w:val="ANormal"/>
        <w:rPr>
          <w:lang w:eastAsia="sv-FI"/>
        </w:rPr>
      </w:pPr>
      <w:r w:rsidRPr="000B7170">
        <w:rPr>
          <w:lang w:eastAsia="sv-FI"/>
        </w:rPr>
        <w:t xml:space="preserve">   </w:t>
      </w:r>
      <w:r w:rsidR="0095600A" w:rsidRPr="000B7170">
        <w:rPr>
          <w:lang w:eastAsia="sv-FI"/>
        </w:rPr>
        <w:t xml:space="preserve">För att reformen ska uppfylla villkoren i självstyrelselagen </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även beträffande ändringen av avräkningsgrunden, överläm</w:t>
      </w:r>
      <w:r w:rsidRPr="000B7170">
        <w:rPr>
          <w:lang w:eastAsia="sv-FI"/>
        </w:rPr>
        <w:t>-</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 xml:space="preserve">nas våren 2018 en ny proposition till riksdagen med förslag </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om temporär ändring av avräkningsgrunden åren 2019—</w:t>
      </w:r>
    </w:p>
    <w:p w:rsidR="00390D81" w:rsidRPr="000B7170" w:rsidRDefault="00390D81" w:rsidP="00312B77">
      <w:pPr>
        <w:pStyle w:val="ANormal"/>
        <w:rPr>
          <w:lang w:eastAsia="sv-FI"/>
        </w:rPr>
      </w:pPr>
      <w:r w:rsidRPr="000B7170">
        <w:rPr>
          <w:lang w:eastAsia="sv-FI"/>
        </w:rPr>
        <w:lastRenderedPageBreak/>
        <w:t xml:space="preserve">    </w:t>
      </w:r>
      <w:r w:rsidR="0095600A" w:rsidRPr="000B7170">
        <w:rPr>
          <w:lang w:eastAsia="sv-FI"/>
        </w:rPr>
        <w:t xml:space="preserve">2021. Därvid beaktas även konsekvenserna av de ändringar </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som på grund av social- och hälsovårds- och landskapsre</w:t>
      </w:r>
      <w:r w:rsidRPr="000B7170">
        <w:rPr>
          <w:lang w:eastAsia="sv-FI"/>
        </w:rPr>
        <w:t>for-</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 xml:space="preserve">men föreslagits i utdelningen av samfundsskatten beaktas </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 xml:space="preserve">vid dimensioneringen av avräkningsbeloppet våren 2018. </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När ovan nämnda ändringar granskas i samband med di</w:t>
      </w:r>
      <w:r w:rsidRPr="000B7170">
        <w:rPr>
          <w:lang w:eastAsia="sv-FI"/>
        </w:rPr>
        <w:t>men-</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 xml:space="preserve">sioneringen av avräkningsbeloppet, bör avräkningsgrunden </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enligt de preliminära beräkningarna sänkas med 0,08 pro</w:t>
      </w:r>
      <w:r w:rsidRPr="000B7170">
        <w:rPr>
          <w:lang w:eastAsia="sv-FI"/>
        </w:rPr>
        <w:t>-</w:t>
      </w:r>
    </w:p>
    <w:p w:rsidR="00390D81" w:rsidRPr="000B7170" w:rsidRDefault="00390D81" w:rsidP="00312B77">
      <w:pPr>
        <w:pStyle w:val="ANormal"/>
        <w:rPr>
          <w:lang w:eastAsia="sv-FI"/>
        </w:rPr>
      </w:pPr>
      <w:r w:rsidRPr="000B7170">
        <w:rPr>
          <w:lang w:eastAsia="sv-FI"/>
        </w:rPr>
        <w:t xml:space="preserve">              c</w:t>
      </w:r>
      <w:r w:rsidR="0095600A" w:rsidRPr="000B7170">
        <w:rPr>
          <w:lang w:eastAsia="sv-FI"/>
        </w:rPr>
        <w:t>entenheter från och med 2019 jämfört med nuvarande av</w:t>
      </w:r>
      <w:r w:rsidRPr="000B7170">
        <w:rPr>
          <w:lang w:eastAsia="sv-FI"/>
        </w:rPr>
        <w:t xml:space="preserve">-  </w:t>
      </w:r>
    </w:p>
    <w:p w:rsidR="00390D81" w:rsidRPr="000B7170" w:rsidRDefault="00390D81" w:rsidP="00312B77">
      <w:pPr>
        <w:pStyle w:val="ANormal"/>
        <w:rPr>
          <w:lang w:eastAsia="sv-FI"/>
        </w:rPr>
      </w:pPr>
      <w:r w:rsidRPr="000B7170">
        <w:rPr>
          <w:lang w:eastAsia="sv-FI"/>
        </w:rPr>
        <w:t xml:space="preserve">              r</w:t>
      </w:r>
      <w:r w:rsidR="0095600A" w:rsidRPr="000B7170">
        <w:rPr>
          <w:lang w:eastAsia="sv-FI"/>
        </w:rPr>
        <w:t>äkningsgrund. Enligt 47 § 5 mom. i självstyrelselagen stad</w:t>
      </w:r>
      <w:r w:rsidRPr="000B7170">
        <w:rPr>
          <w:lang w:eastAsia="sv-FI"/>
        </w:rPr>
        <w:t>-</w:t>
      </w:r>
    </w:p>
    <w:p w:rsidR="00390D81" w:rsidRPr="000B7170" w:rsidRDefault="00390D81" w:rsidP="00312B77">
      <w:pPr>
        <w:pStyle w:val="ANormal"/>
        <w:rPr>
          <w:lang w:eastAsia="sv-FI"/>
        </w:rPr>
      </w:pPr>
      <w:r w:rsidRPr="000B7170">
        <w:rPr>
          <w:lang w:eastAsia="sv-FI"/>
        </w:rPr>
        <w:t xml:space="preserve">              </w:t>
      </w:r>
      <w:r w:rsidR="0095600A" w:rsidRPr="000B7170">
        <w:rPr>
          <w:lang w:eastAsia="sv-FI"/>
        </w:rPr>
        <w:t>gas det om ändring av avräkningsgrunden i rikslag med lag</w:t>
      </w:r>
      <w:r w:rsidRPr="000B7170">
        <w:rPr>
          <w:lang w:eastAsia="sv-FI"/>
        </w:rPr>
        <w:t xml:space="preserve">-  </w:t>
      </w:r>
    </w:p>
    <w:p w:rsidR="0095600A" w:rsidRPr="000B7170" w:rsidRDefault="00390D81" w:rsidP="00312B77">
      <w:pPr>
        <w:pStyle w:val="ANormal"/>
        <w:rPr>
          <w:lang w:eastAsia="sv-FI"/>
        </w:rPr>
      </w:pPr>
      <w:r w:rsidRPr="000B7170">
        <w:rPr>
          <w:lang w:eastAsia="sv-FI"/>
        </w:rPr>
        <w:t xml:space="preserve">              </w:t>
      </w:r>
      <w:r w:rsidR="0095600A" w:rsidRPr="000B7170">
        <w:rPr>
          <w:lang w:eastAsia="sv-FI"/>
        </w:rPr>
        <w:t>tingets bifall. </w:t>
      </w:r>
    </w:p>
    <w:p w:rsidR="0095600A" w:rsidRPr="000B7170" w:rsidRDefault="00390D81" w:rsidP="00312B77">
      <w:pPr>
        <w:pStyle w:val="ANormal"/>
        <w:rPr>
          <w:lang w:eastAsia="sv-FI"/>
        </w:rPr>
      </w:pPr>
      <w:r w:rsidRPr="000B7170">
        <w:rPr>
          <w:lang w:eastAsia="sv-FI"/>
        </w:rPr>
        <w:tab/>
      </w:r>
      <w:r w:rsidR="0095600A" w:rsidRPr="000B7170">
        <w:rPr>
          <w:lang w:eastAsia="sv-FI"/>
        </w:rPr>
        <w:t xml:space="preserve">Grundlagsutskottet (GrUU 26/2017 rd) omfattade resonemanget i den kompletterande propositionen. </w:t>
      </w:r>
    </w:p>
    <w:p w:rsidR="0095600A" w:rsidRPr="000B7170" w:rsidRDefault="00390D81" w:rsidP="00312B77">
      <w:pPr>
        <w:pStyle w:val="ANormal"/>
        <w:rPr>
          <w:lang w:eastAsia="sv-FI"/>
        </w:rPr>
      </w:pPr>
      <w:r w:rsidRPr="000B7170">
        <w:rPr>
          <w:lang w:eastAsia="sv-FI"/>
        </w:rPr>
        <w:tab/>
      </w:r>
      <w:r w:rsidR="0095600A" w:rsidRPr="000B7170">
        <w:rPr>
          <w:lang w:eastAsia="sv-FI"/>
        </w:rPr>
        <w:t>Grundlagsutskottet ansåg att det i propositionen föreslagna arrang</w:t>
      </w:r>
      <w:r w:rsidR="0095600A" w:rsidRPr="000B7170">
        <w:rPr>
          <w:lang w:eastAsia="sv-FI"/>
        </w:rPr>
        <w:t>e</w:t>
      </w:r>
      <w:r w:rsidR="0095600A" w:rsidRPr="000B7170">
        <w:rPr>
          <w:lang w:eastAsia="sv-FI"/>
        </w:rPr>
        <w:t>manget är mycket speciellt. Arrangemanget stöder sig på en utvidgande tolkning av självstyrelselagen för Åland, vilket kan anses tveksamt med hänsyn till grundlagen och självstyrelselagen. Å andra sidan utgör självst</w:t>
      </w:r>
      <w:r w:rsidR="0095600A" w:rsidRPr="000B7170">
        <w:rPr>
          <w:lang w:eastAsia="sv-FI"/>
        </w:rPr>
        <w:t>y</w:t>
      </w:r>
      <w:r w:rsidR="0095600A" w:rsidRPr="000B7170">
        <w:rPr>
          <w:lang w:eastAsia="sv-FI"/>
        </w:rPr>
        <w:t>relselagens reglering av skattegottgörelsen som sådan inget hinder för en rikslagstiftning genom vilket det görs ändringar i den gällande inkomstska</w:t>
      </w:r>
      <w:r w:rsidR="0095600A" w:rsidRPr="000B7170">
        <w:rPr>
          <w:lang w:eastAsia="sv-FI"/>
        </w:rPr>
        <w:t>t</w:t>
      </w:r>
      <w:r w:rsidR="0095600A" w:rsidRPr="000B7170">
        <w:rPr>
          <w:lang w:eastAsia="sv-FI"/>
        </w:rPr>
        <w:t>telagstiftningen. </w:t>
      </w:r>
    </w:p>
    <w:p w:rsidR="0095600A" w:rsidRPr="000B7170" w:rsidRDefault="00390D81" w:rsidP="00312B77">
      <w:pPr>
        <w:pStyle w:val="ANormal"/>
        <w:rPr>
          <w:lang w:eastAsia="sv-FI"/>
        </w:rPr>
      </w:pPr>
      <w:r w:rsidRPr="000B7170">
        <w:rPr>
          <w:lang w:eastAsia="sv-FI"/>
        </w:rPr>
        <w:tab/>
      </w:r>
      <w:r w:rsidR="0095600A" w:rsidRPr="000B7170">
        <w:rPr>
          <w:lang w:eastAsia="sv-FI"/>
        </w:rPr>
        <w:t>Grundlagsutskottet konstaterade att det inte kan föreskrivas om lan</w:t>
      </w:r>
      <w:r w:rsidR="0095600A" w:rsidRPr="000B7170">
        <w:rPr>
          <w:lang w:eastAsia="sv-FI"/>
        </w:rPr>
        <w:t>d</w:t>
      </w:r>
      <w:r w:rsidR="0095600A" w:rsidRPr="000B7170">
        <w:rPr>
          <w:lang w:eastAsia="sv-FI"/>
        </w:rPr>
        <w:t>skapsavdraget på det föreslagna sättet såvida det inte sörjs för att bortfallet av skattegottgörelsen kompenseras. Enligt grundlagsutskottet kan bortfallet av skattegottgörelsen temporärt ersättas genom rikets egna kompensering</w:t>
      </w:r>
      <w:r w:rsidR="0095600A" w:rsidRPr="000B7170">
        <w:rPr>
          <w:lang w:eastAsia="sv-FI"/>
        </w:rPr>
        <w:t>s</w:t>
      </w:r>
      <w:r w:rsidR="0095600A" w:rsidRPr="000B7170">
        <w:rPr>
          <w:lang w:eastAsia="sv-FI"/>
        </w:rPr>
        <w:t>åtgärder på det sätt som det föreslås i propositionen. Enligt propositionsm</w:t>
      </w:r>
      <w:r w:rsidR="0095600A" w:rsidRPr="000B7170">
        <w:rPr>
          <w:lang w:eastAsia="sv-FI"/>
        </w:rPr>
        <w:t>o</w:t>
      </w:r>
      <w:r w:rsidR="0095600A" w:rsidRPr="000B7170">
        <w:rPr>
          <w:lang w:eastAsia="sv-FI"/>
        </w:rPr>
        <w:t>tiven har Ålandsdelegationen lyft fram den möjligheten att delegationen i anslutning till beslutet om skattegottgörelse konstaterar hur stor skattegot</w:t>
      </w:r>
      <w:r w:rsidR="0095600A" w:rsidRPr="000B7170">
        <w:rPr>
          <w:lang w:eastAsia="sv-FI"/>
        </w:rPr>
        <w:t>t</w:t>
      </w:r>
      <w:r w:rsidR="0095600A" w:rsidRPr="000B7170">
        <w:rPr>
          <w:lang w:eastAsia="sv-FI"/>
        </w:rPr>
        <w:t>görelsen skulle vara om man vid uträkningen inte skulle beakta den av social- och hälsovårdsreformen föranledda förhöjningen av inkomstskatten. Ett sådant förfarande kan trots dess inofficiella natur i praktiken fungera som grund för kompenseringsåtgärderna till landskapet. Grundlagsutskottet understryker att bortfallet av skattegottgörelsen inte utgör en verkning som hör till de normala variationerna i rikets skattepolitik och att de ekonomiska relationerna mellan landskapet och riket ska ordnas genom reglering i självstyrelselagen för Åland. Det ovan beskrivna arrangemanget kan sålunda endast under viss, kort tid kompensera för bortfallet av skattegot</w:t>
      </w:r>
      <w:r w:rsidR="0095600A" w:rsidRPr="000B7170">
        <w:rPr>
          <w:lang w:eastAsia="sv-FI"/>
        </w:rPr>
        <w:t>t</w:t>
      </w:r>
      <w:r w:rsidR="0095600A" w:rsidRPr="000B7170">
        <w:rPr>
          <w:lang w:eastAsia="sv-FI"/>
        </w:rPr>
        <w:t xml:space="preserve">görelsen. Frågan måste regleras på korrekt sätt så snabbt som möjligt. Av konstitutionella skäl ser grundlagsutskottet det som nödvändigt att social- och hälsovårdsutskottet föreslår att riksdagen godkänner ett uttalande där riksdagen förutsätter att regeringen snabbt skrider till åtgärder för att göra bestämmelserna om skattegottgörelse förenliga med självstyrelselagen för Åland. </w:t>
      </w:r>
    </w:p>
    <w:p w:rsidR="00D313F1" w:rsidRPr="000B7170" w:rsidRDefault="00D313F1" w:rsidP="0095600A">
      <w:pPr>
        <w:pStyle w:val="ANormal"/>
        <w:rPr>
          <w:szCs w:val="22"/>
          <w:lang w:eastAsia="sv-FI"/>
        </w:rPr>
      </w:pPr>
      <w:r w:rsidRPr="000B7170">
        <w:rPr>
          <w:sz w:val="24"/>
          <w:szCs w:val="24"/>
          <w:lang w:eastAsia="sv-FI"/>
        </w:rPr>
        <w:tab/>
      </w:r>
      <w:r w:rsidRPr="000B7170">
        <w:rPr>
          <w:szCs w:val="22"/>
          <w:lang w:eastAsia="sv-FI"/>
        </w:rPr>
        <w:t>Landskapsregeringen har i sammanhanget lyft frågan om en ändring av den nuvarande självstyrelselagen i brådskande ordning men detta har inte ansetts motiverat då förfarandet med att riket skulle kompensera för bortfa</w:t>
      </w:r>
      <w:r w:rsidRPr="000B7170">
        <w:rPr>
          <w:szCs w:val="22"/>
          <w:lang w:eastAsia="sv-FI"/>
        </w:rPr>
        <w:t>l</w:t>
      </w:r>
      <w:r w:rsidRPr="000B7170">
        <w:rPr>
          <w:szCs w:val="22"/>
          <w:lang w:eastAsia="sv-FI"/>
        </w:rPr>
        <w:t>let av skattegottgörelsen med beaktande av att vård- och landskapsreformen försenats och den pågående sjävstyrelselagsrevisionen skulle vara aktuellt endast för åren 2020 och 2021.</w:t>
      </w:r>
    </w:p>
    <w:p w:rsidR="0095600A" w:rsidRPr="000B7170" w:rsidRDefault="0095600A" w:rsidP="0095600A">
      <w:pPr>
        <w:pStyle w:val="ANormal"/>
        <w:rPr>
          <w:sz w:val="24"/>
          <w:szCs w:val="24"/>
          <w:lang w:eastAsia="sv-FI"/>
        </w:rPr>
      </w:pPr>
    </w:p>
    <w:p w:rsidR="0095600A" w:rsidRPr="000B7170" w:rsidRDefault="007E63B2" w:rsidP="00DF0CD8">
      <w:pPr>
        <w:pStyle w:val="RubrikB"/>
      </w:pPr>
      <w:bookmarkStart w:id="18" w:name="_Toc508271002"/>
      <w:r w:rsidRPr="000B7170">
        <w:t>4</w:t>
      </w:r>
      <w:r w:rsidR="00DF0CD8" w:rsidRPr="000B7170">
        <w:t xml:space="preserve">.3. </w:t>
      </w:r>
      <w:r w:rsidR="0095600A" w:rsidRPr="000B7170">
        <w:t xml:space="preserve">Reformen </w:t>
      </w:r>
      <w:r w:rsidR="00C51F0F" w:rsidRPr="000B7170">
        <w:t xml:space="preserve">och Åland </w:t>
      </w:r>
      <w:r w:rsidR="0095600A" w:rsidRPr="000B7170">
        <w:t>i fråga om valfriheten</w:t>
      </w:r>
      <w:bookmarkEnd w:id="18"/>
    </w:p>
    <w:p w:rsidR="0095600A" w:rsidRPr="000B7170" w:rsidRDefault="0095600A" w:rsidP="00312B77">
      <w:pPr>
        <w:pStyle w:val="ANormal"/>
      </w:pPr>
      <w:r w:rsidRPr="000B7170">
        <w:t>I fråga om landskapet Ålands behörighet inom socialvård och hälso- och sjukvård uppmärksammar grundlagsutskottet dessutom bestämmelserna i 4 § i förslaget till valfrihetslag och att det eventuellt föreligger behov av att med anknytning till 7 och 8 § i valfrihetslagen bereda en sådan överen</w:t>
      </w:r>
      <w:r w:rsidRPr="000B7170">
        <w:t>s</w:t>
      </w:r>
      <w:r w:rsidRPr="000B7170">
        <w:t>kommelseförordning som avses i 32 § i självstyrelselagen för Åland. </w:t>
      </w:r>
    </w:p>
    <w:p w:rsidR="0095600A" w:rsidRPr="000B7170" w:rsidRDefault="00390D81" w:rsidP="00312B77">
      <w:pPr>
        <w:pStyle w:val="ANormal"/>
      </w:pPr>
      <w:r w:rsidRPr="000B7170">
        <w:lastRenderedPageBreak/>
        <w:tab/>
      </w:r>
      <w:r w:rsidR="0095600A" w:rsidRPr="000B7170">
        <w:t>Efter grundlagsutskottets utlåtande påbörjades en förnyad beredning av en proposition med förslag till valfrihetslag. Landskapsregeringen har vid ett flertal kontakter med social- och hälsovårdsministeriet försökt få till ett samarbete kring de bestämmelser som avser gränssnittet mellan Åland och riket som aktualiseras i samband med reformen.</w:t>
      </w:r>
    </w:p>
    <w:p w:rsidR="0095600A" w:rsidRPr="000B7170" w:rsidRDefault="00390D81" w:rsidP="00312B77">
      <w:pPr>
        <w:pStyle w:val="ANormal"/>
      </w:pPr>
      <w:r w:rsidRPr="000B7170">
        <w:tab/>
      </w:r>
      <w:r w:rsidR="0095600A" w:rsidRPr="000B7170">
        <w:t>I ett yttrande av den 14 december 2017 angav landskapsregeringen bl.a. följande:</w:t>
      </w:r>
    </w:p>
    <w:p w:rsidR="0095600A" w:rsidRPr="000B7170" w:rsidRDefault="0095600A" w:rsidP="00312B77">
      <w:pPr>
        <w:pStyle w:val="ANormal"/>
      </w:pPr>
      <w:r w:rsidRPr="000B7170">
        <w:t>”Landskapsregeringen förväntar sig att ministeriet tillsammans med lan</w:t>
      </w:r>
      <w:r w:rsidRPr="000B7170">
        <w:t>d</w:t>
      </w:r>
      <w:r w:rsidRPr="000B7170">
        <w:t>skapsregeringen snarast påbörjar faktiska diskussioner om de återstående problemen samt om frågan gällande hur flerkanalsfinansieringen påverkar Åland och hur det kan säkerställas att aktörer och patienter blir likabehan</w:t>
      </w:r>
      <w:r w:rsidRPr="000B7170">
        <w:t>d</w:t>
      </w:r>
      <w:r w:rsidRPr="000B7170">
        <w:t>lade jämfört med i riket samt att de medel som införsamlats för socialfö</w:t>
      </w:r>
      <w:r w:rsidRPr="000B7170">
        <w:t>r</w:t>
      </w:r>
      <w:r w:rsidRPr="000B7170">
        <w:t>säkringsskyddet även kommer Åland till del.”.</w:t>
      </w:r>
    </w:p>
    <w:p w:rsidR="0095600A" w:rsidRPr="000B7170" w:rsidRDefault="00390D81" w:rsidP="00312B77">
      <w:pPr>
        <w:pStyle w:val="ANormal"/>
      </w:pPr>
      <w:r w:rsidRPr="000B7170">
        <w:tab/>
      </w:r>
      <w:r w:rsidR="0095600A" w:rsidRPr="000B7170">
        <w:t xml:space="preserve">I samma yttrande angav landskapsregeringen även följande: </w:t>
      </w:r>
    </w:p>
    <w:p w:rsidR="0095600A" w:rsidRPr="000B7170" w:rsidRDefault="0095600A" w:rsidP="00312B77">
      <w:pPr>
        <w:pStyle w:val="ANormal"/>
      </w:pPr>
      <w:r w:rsidRPr="000B7170">
        <w:t>”Förslaget till lag om kundens valfrihet inom social- och hälsovården o</w:t>
      </w:r>
      <w:r w:rsidRPr="000B7170">
        <w:t>m</w:t>
      </w:r>
      <w:r w:rsidRPr="000B7170">
        <w:t>fattar endast riket, inte Åland. Förslaget beaktar inte tillfällig gränsöve</w:t>
      </w:r>
      <w:r w:rsidRPr="000B7170">
        <w:t>r</w:t>
      </w:r>
      <w:r w:rsidRPr="000B7170">
        <w:t>gång mellan rikets social- och hälsovårdsområde och landskapet Åland. Lagförslaget behöver skrivas om i fråga om tillfällig vistelse och val av til</w:t>
      </w:r>
      <w:r w:rsidRPr="000B7170">
        <w:t>l</w:t>
      </w:r>
      <w:r w:rsidRPr="000B7170">
        <w:t>fällig tjänsteproducent såsom det beskrivs i utkastet till lagförslagets 8 § och bestämmelserna gällande brådskande vård i 9 §. Det bör beaktas att den offentliga vården på Åland inte omfattas av rikets registerskyldighet eller anslutningskravet till Kantatjänsterna. Hur regleringen av vården för ålä</w:t>
      </w:r>
      <w:r w:rsidRPr="000B7170">
        <w:t>n</w:t>
      </w:r>
      <w:r w:rsidRPr="000B7170">
        <w:t>ningar som tillfälligt vistas i riket och personer bosatta i riket som tillfälligt vistas på Åland ska ske bör närmare utredas i samarbete mellan ministeriet och landskapsregeringen. Utredningen behöver då även inkludera ansvaret och grunderna för de betalningsrörelser som uppstår.</w:t>
      </w:r>
    </w:p>
    <w:p w:rsidR="0095600A" w:rsidRPr="000B7170" w:rsidRDefault="0095600A" w:rsidP="00312B77">
      <w:pPr>
        <w:pStyle w:val="ANormal"/>
      </w:pPr>
      <w:r w:rsidRPr="000B7170">
        <w:t>Tillgängligheten för specialtjänster t.ex. platser eller placeringar inom bar</w:t>
      </w:r>
      <w:r w:rsidRPr="000B7170">
        <w:t>n</w:t>
      </w:r>
      <w:r w:rsidRPr="000B7170">
        <w:t>skydd och missbrukarvård på svenska i riket är av mycket stor vikt e</w:t>
      </w:r>
      <w:r w:rsidRPr="000B7170">
        <w:t>f</w:t>
      </w:r>
      <w:r w:rsidRPr="000B7170">
        <w:t>tersom det ofta inte är möjligt att upprätthålla dessa inom Åland. Beträ</w:t>
      </w:r>
      <w:r w:rsidRPr="000B7170">
        <w:t>f</w:t>
      </w:r>
      <w:r w:rsidRPr="000B7170">
        <w:t>fande barnskydd har social- och hälsovårdsministeriet ansett att placering utomlands, med beaktande av barnskyddslagens mening och speciellt ko</w:t>
      </w:r>
      <w:r w:rsidRPr="000B7170">
        <w:t>m</w:t>
      </w:r>
      <w:r w:rsidRPr="000B7170">
        <w:t>petens- och övervakningsfrågor inte är tillrådligt.</w:t>
      </w:r>
    </w:p>
    <w:p w:rsidR="0095600A" w:rsidRPr="000B7170" w:rsidRDefault="0095600A" w:rsidP="00312B77">
      <w:pPr>
        <w:pStyle w:val="ANormal"/>
      </w:pPr>
      <w:r w:rsidRPr="000B7170">
        <w:t>Landskapsregeringen konstaterar att om valfrihetsreformen innebär att se</w:t>
      </w:r>
      <w:r w:rsidRPr="000B7170">
        <w:t>r</w:t>
      </w:r>
      <w:r w:rsidRPr="000B7170">
        <w:t>vicen för svenskspråkiga klienter splittras genom att specifikt svenskspr</w:t>
      </w:r>
      <w:r w:rsidRPr="000B7170">
        <w:t>å</w:t>
      </w:r>
      <w:r w:rsidRPr="000B7170">
        <w:t>kiga enheter försvinner, innebär detta en klar försämring av kvalitativa tjänster på svenska. Placering i Sverige kan då vara det enda möjliga alte</w:t>
      </w:r>
      <w:r w:rsidRPr="000B7170">
        <w:t>r</w:t>
      </w:r>
      <w:r w:rsidRPr="000B7170">
        <w:t xml:space="preserve">nativet. </w:t>
      </w:r>
    </w:p>
    <w:p w:rsidR="0095600A" w:rsidRPr="000B7170" w:rsidRDefault="0095600A" w:rsidP="00312B77">
      <w:pPr>
        <w:pStyle w:val="ANormal"/>
      </w:pPr>
      <w:r w:rsidRPr="000B7170">
        <w:t>Landskapet Åland köper genom Ålands hälso- och sjukvård (ÅHS) viss specialiserad sjukvård från riket. Landskapsregeringen anser att möjlighe</w:t>
      </w:r>
      <w:r w:rsidRPr="000B7170">
        <w:t>t</w:t>
      </w:r>
      <w:r w:rsidRPr="000B7170">
        <w:t>erna att fortsatt erhålla all specialiserad sjukvård på svenska bör tryggas. Valfrihetsreformen får inte försämra möjligheterna till vård på svenska. Kvalitet, patientsäkerhet och utfall i hälsa är i allra högsta grad beroende av att patienten och den som tillhandahåller hälsovårdstjänsten kan kommun</w:t>
      </w:r>
      <w:r w:rsidRPr="000B7170">
        <w:t>i</w:t>
      </w:r>
      <w:r w:rsidRPr="000B7170">
        <w:t>cera med varandra. En jämlik vård innebär att den språkliga jämlikheten tryggas.”.</w:t>
      </w:r>
    </w:p>
    <w:p w:rsidR="0095600A" w:rsidRPr="000B7170" w:rsidRDefault="00390D81" w:rsidP="00312B77">
      <w:pPr>
        <w:pStyle w:val="ANormal"/>
      </w:pPr>
      <w:r w:rsidRPr="000B7170">
        <w:tab/>
      </w:r>
      <w:r w:rsidR="0095600A" w:rsidRPr="000B7170">
        <w:t xml:space="preserve">Landskapsregeringen lyfte ånyo </w:t>
      </w:r>
      <w:r w:rsidR="00D313F1" w:rsidRPr="000B7170">
        <w:t xml:space="preserve">fram </w:t>
      </w:r>
      <w:r w:rsidR="0095600A" w:rsidRPr="000B7170">
        <w:t>att rikets reformer ska vara sådana att landskapet Ålands faktiska konstitutionella, ekonomiska och förval</w:t>
      </w:r>
      <w:r w:rsidR="0095600A" w:rsidRPr="000B7170">
        <w:t>t</w:t>
      </w:r>
      <w:r w:rsidR="0095600A" w:rsidRPr="000B7170">
        <w:t>ningsmässiga inflytande inte rubbas. Självstyrelselagens 30 § innebär att r</w:t>
      </w:r>
      <w:r w:rsidR="0095600A" w:rsidRPr="000B7170">
        <w:t>i</w:t>
      </w:r>
      <w:r w:rsidR="0095600A" w:rsidRPr="000B7170">
        <w:t>ket fortsättningsvis är skyldigt att handha förvaltningen av socialförsä</w:t>
      </w:r>
      <w:r w:rsidR="0095600A" w:rsidRPr="000B7170">
        <w:t>k</w:t>
      </w:r>
      <w:r w:rsidR="0095600A" w:rsidRPr="000B7170">
        <w:t>ringen på Åland på ett sätt som inte ställer medborgare på Åland och i riket i ojämlik ställning.</w:t>
      </w:r>
    </w:p>
    <w:p w:rsidR="0095600A" w:rsidRPr="000B7170" w:rsidRDefault="00390D81" w:rsidP="00312B77">
      <w:pPr>
        <w:pStyle w:val="ANormal"/>
      </w:pPr>
      <w:r w:rsidRPr="000B7170">
        <w:tab/>
      </w:r>
      <w:r w:rsidR="0095600A" w:rsidRPr="000B7170">
        <w:t>Avsikten är att en proposition gällande valfriheten överlämnas till rik</w:t>
      </w:r>
      <w:r w:rsidR="0095600A" w:rsidRPr="000B7170">
        <w:t>s</w:t>
      </w:r>
      <w:r w:rsidR="0095600A" w:rsidRPr="000B7170">
        <w:t>dagen under våren.</w:t>
      </w:r>
    </w:p>
    <w:p w:rsidR="00AB0ED6" w:rsidRPr="000B7170" w:rsidRDefault="00AB0ED6" w:rsidP="00AB0ED6">
      <w:pPr>
        <w:pStyle w:val="ANormal"/>
      </w:pPr>
      <w:r w:rsidRPr="000B7170">
        <w:tab/>
      </w:r>
    </w:p>
    <w:p w:rsidR="00AB0ED6" w:rsidRPr="000B7170" w:rsidRDefault="00AB0ED6" w:rsidP="003F29AD">
      <w:pPr>
        <w:pStyle w:val="ANormal"/>
      </w:pPr>
    </w:p>
    <w:p w:rsidR="003F29AD" w:rsidRPr="000B7170" w:rsidRDefault="007E63B2" w:rsidP="003F29AD">
      <w:pPr>
        <w:pStyle w:val="RubrikA"/>
      </w:pPr>
      <w:bookmarkStart w:id="19" w:name="_Toc508271003"/>
      <w:r w:rsidRPr="000B7170">
        <w:lastRenderedPageBreak/>
        <w:t>5</w:t>
      </w:r>
      <w:r w:rsidR="003F29AD" w:rsidRPr="000B7170">
        <w:t>. Ålands demilitarisering och neutralisering</w:t>
      </w:r>
      <w:bookmarkEnd w:id="19"/>
    </w:p>
    <w:p w:rsidR="003F29AD" w:rsidRPr="000B7170" w:rsidRDefault="007E63B2" w:rsidP="003F29AD">
      <w:pPr>
        <w:pStyle w:val="RubrikB"/>
      </w:pPr>
      <w:bookmarkStart w:id="20" w:name="_Toc508271004"/>
      <w:r w:rsidRPr="000B7170">
        <w:t>5</w:t>
      </w:r>
      <w:r w:rsidR="003F29AD" w:rsidRPr="000B7170">
        <w:t>.1 Allmänt</w:t>
      </w:r>
      <w:bookmarkEnd w:id="20"/>
    </w:p>
    <w:p w:rsidR="00483BCC" w:rsidRPr="000B7170" w:rsidRDefault="00483BCC" w:rsidP="00483BCC">
      <w:pPr>
        <w:pStyle w:val="ANormal"/>
      </w:pPr>
      <w:r w:rsidRPr="000B7170">
        <w:t>I Östersjöområdet kvarstår liksom under de senaste åren en ökad säkerhet</w:t>
      </w:r>
      <w:r w:rsidRPr="000B7170">
        <w:t>s</w:t>
      </w:r>
      <w:r w:rsidRPr="000B7170">
        <w:t>politisk oro. I Finlands försvarspolitiska redogörelse som publicerades den 16 februari 2017 konstateras att Finlands militära verksamhetsmiljö har förändrats, och att den militära aktiviteten och de militära spänningarna i Östersjöområdet har ökat.</w:t>
      </w:r>
    </w:p>
    <w:p w:rsidR="00483BCC" w:rsidRPr="000B7170" w:rsidRDefault="00483BCC" w:rsidP="00483BCC">
      <w:pPr>
        <w:pStyle w:val="ANormal"/>
        <w:rPr>
          <w:lang w:val="sv-FI"/>
        </w:rPr>
      </w:pPr>
      <w:r w:rsidRPr="000B7170">
        <w:tab/>
        <w:t>Mot bakgrund av det förändrade säkerhetsläget i Östersjön är Ålands b</w:t>
      </w:r>
      <w:r w:rsidRPr="000B7170">
        <w:t>e</w:t>
      </w:r>
      <w:r w:rsidRPr="000B7170">
        <w:t>tydelse ur ett säkerhetspolitiskt perspektiv en fråga som är aktuell och d</w:t>
      </w:r>
      <w:r w:rsidRPr="000B7170">
        <w:t>e</w:t>
      </w:r>
      <w:r w:rsidRPr="000B7170">
        <w:t>batteras i Finland, Sverige och omvärlden.</w:t>
      </w:r>
    </w:p>
    <w:p w:rsidR="00483BCC" w:rsidRPr="000B7170" w:rsidRDefault="00483BCC" w:rsidP="00483BCC">
      <w:pPr>
        <w:pStyle w:val="ANormal"/>
        <w:rPr>
          <w:lang w:val="sv-FI"/>
        </w:rPr>
      </w:pPr>
      <w:r w:rsidRPr="000B7170">
        <w:tab/>
        <w:t>I riksdagens utrikesutskotts betänkande (9/2016rd) den 22 november 2016 med anledning av statsrådets utrikes- och säkerhetspolitiska redog</w:t>
      </w:r>
      <w:r w:rsidRPr="000B7170">
        <w:t>ö</w:t>
      </w:r>
      <w:r w:rsidRPr="000B7170">
        <w:t>relse fastslås att Åland har en genom internationella avtal befäst och etabl</w:t>
      </w:r>
      <w:r w:rsidRPr="000B7170">
        <w:t>e</w:t>
      </w:r>
      <w:r w:rsidRPr="000B7170">
        <w:t>rad folkrättslig ställning som demilitariserat och neutraliserat område. Denna status har inte ifrågasatts av andra stater och det ligger i Finlands i</w:t>
      </w:r>
      <w:r w:rsidRPr="000B7170">
        <w:t>n</w:t>
      </w:r>
      <w:r w:rsidRPr="000B7170">
        <w:t>tresse att garantera den. Det innebär dock inte att Finland inte skulle ha skyldighet att svara för Ålands försvar och det hindrar inte en intensifiering av Finlands militära samarbete i Europeiska unionen, internationella org</w:t>
      </w:r>
      <w:r w:rsidRPr="000B7170">
        <w:t>a</w:t>
      </w:r>
      <w:r w:rsidRPr="000B7170">
        <w:t>nisationer och de nordiska länderna.</w:t>
      </w:r>
    </w:p>
    <w:p w:rsidR="00483BCC" w:rsidRPr="000B7170" w:rsidRDefault="00483BCC" w:rsidP="00483BCC">
      <w:pPr>
        <w:pStyle w:val="ANormal"/>
        <w:rPr>
          <w:lang w:val="sv-FI"/>
        </w:rPr>
      </w:pPr>
      <w:r w:rsidRPr="000B7170">
        <w:t>     Ålands demilitarisering och neutralisering är mot bakgrund av den r</w:t>
      </w:r>
      <w:r w:rsidRPr="000B7170">
        <w:t>å</w:t>
      </w:r>
      <w:r w:rsidRPr="000B7170">
        <w:t>dande säkerhetspolitiska situationen i allra högsta grad relevant och lan</w:t>
      </w:r>
      <w:r w:rsidRPr="000B7170">
        <w:t>d</w:t>
      </w:r>
      <w:r w:rsidRPr="000B7170">
        <w:t>skapsregeringens uppfattning är att Åland genom sin demilitarisering och neutralisering utgör en stabiliserande faktor i Östersjöområdet. Landskap</w:t>
      </w:r>
      <w:r w:rsidRPr="000B7170">
        <w:t>s</w:t>
      </w:r>
      <w:r w:rsidRPr="000B7170">
        <w:t>regeringen anser fortsättningsvis att det är av största vikt att Ålands demil</w:t>
      </w:r>
      <w:r w:rsidRPr="000B7170">
        <w:t>i</w:t>
      </w:r>
      <w:r w:rsidRPr="000B7170">
        <w:t>tarisering och neutralisering upprätthålls och dess giltighet kontinuerligt hävdas oavsett nationella eller internationella förändringar på det säke</w:t>
      </w:r>
      <w:r w:rsidRPr="000B7170">
        <w:t>r</w:t>
      </w:r>
      <w:r w:rsidRPr="000B7170">
        <w:t>hetspolitiska planet.</w:t>
      </w:r>
    </w:p>
    <w:p w:rsidR="003F29AD" w:rsidRPr="000B7170" w:rsidRDefault="003F29AD" w:rsidP="003F29AD"/>
    <w:p w:rsidR="003F29AD" w:rsidRPr="000B7170" w:rsidRDefault="007E63B2" w:rsidP="00F2674E">
      <w:pPr>
        <w:pStyle w:val="RubrikB"/>
      </w:pPr>
      <w:bookmarkStart w:id="21" w:name="_Toc508271005"/>
      <w:r w:rsidRPr="000B7170">
        <w:t>5</w:t>
      </w:r>
      <w:r w:rsidR="003F29AD" w:rsidRPr="000B7170">
        <w:t>.</w:t>
      </w:r>
      <w:r w:rsidR="00DF0CD8" w:rsidRPr="000B7170">
        <w:t>2</w:t>
      </w:r>
      <w:r w:rsidR="003F29AD" w:rsidRPr="000B7170">
        <w:t xml:space="preserve"> Försvarssamarbete Finland-Sverige</w:t>
      </w:r>
      <w:bookmarkEnd w:id="21"/>
    </w:p>
    <w:p w:rsidR="00483BCC" w:rsidRPr="000B7170" w:rsidRDefault="00483BCC" w:rsidP="00483BCC">
      <w:pPr>
        <w:pStyle w:val="ANormal"/>
      </w:pPr>
      <w:r w:rsidRPr="000B7170">
        <w:tab/>
        <w:t>Under de senaste åren har Finland och Sverige fördjupat sitt bilaterala försvarssamarbete. Målet för försvarssamarbetet mellan Sverige och Fi</w:t>
      </w:r>
      <w:r w:rsidRPr="000B7170">
        <w:t>n</w:t>
      </w:r>
      <w:r w:rsidRPr="000B7170">
        <w:t>land är att förbättra försvarsmakternas operativa förmåga och att möjliggöra gemensamt operativt agerande. Med hjälp av samarbetet blir också fö</w:t>
      </w:r>
      <w:r w:rsidRPr="000B7170">
        <w:t>r</w:t>
      </w:r>
      <w:r w:rsidRPr="000B7170">
        <w:t>svarsmakterna i båda länderna effektivare verksamhetsmässigt och ekon</w:t>
      </w:r>
      <w:r w:rsidRPr="000B7170">
        <w:t>o</w:t>
      </w:r>
      <w:r w:rsidRPr="000B7170">
        <w:t>miskt. Samarbetet grundar sig på förtroende och långsiktigt arbete länderna emellan.</w:t>
      </w:r>
    </w:p>
    <w:p w:rsidR="00483BCC" w:rsidRPr="000B7170" w:rsidRDefault="00483BCC" w:rsidP="00483BCC">
      <w:pPr>
        <w:pStyle w:val="ANormal"/>
      </w:pPr>
      <w:r w:rsidRPr="000B7170">
        <w:tab/>
        <w:t>Samarbetet syftar till att stärka Sveriges och Finlands nationella försvar och ländernas förmåga att agera tillsammans vilket förstärker säkerheten i Östersjöområde. Det fördjupade försvarssamarbetet omfattar även operativ planering och förberedelser för gemensamt användande av civila och mil</w:t>
      </w:r>
      <w:r w:rsidRPr="000B7170">
        <w:t>i</w:t>
      </w:r>
      <w:r w:rsidRPr="000B7170">
        <w:t>tära resurser i olika scenarier. Genom att skapa en handlingsfrihet att agera gemensamt höjs tröskeln för incidenter och angrepp.</w:t>
      </w:r>
    </w:p>
    <w:p w:rsidR="00483BCC" w:rsidRPr="000B7170" w:rsidRDefault="00483BCC" w:rsidP="006B0ABB">
      <w:pPr>
        <w:pStyle w:val="ANormal"/>
      </w:pPr>
      <w:r w:rsidRPr="000B7170">
        <w:tab/>
      </w:r>
      <w:bookmarkStart w:id="22" w:name="_GoBack"/>
      <w:bookmarkEnd w:id="22"/>
      <w:r w:rsidRPr="000B7170">
        <w:t>I Finland pågår ett lagstiftningsarbete avseende de rättsliga förutsät</w:t>
      </w:r>
      <w:r w:rsidRPr="000B7170">
        <w:t>t</w:t>
      </w:r>
      <w:r w:rsidRPr="000B7170">
        <w:t>ningarna för försvarssamarbeten.</w:t>
      </w:r>
    </w:p>
    <w:p w:rsidR="00483BCC" w:rsidRPr="000B7170" w:rsidRDefault="00483BCC" w:rsidP="00483BCC">
      <w:pPr>
        <w:pStyle w:val="ANormal"/>
        <w:jc w:val="left"/>
        <w:rPr>
          <w:rFonts w:cs="Arial"/>
          <w:lang w:eastAsia="sv-FI"/>
        </w:rPr>
      </w:pPr>
      <w:r w:rsidRPr="000B7170">
        <w:tab/>
      </w:r>
      <w:r w:rsidRPr="000B7170">
        <w:rPr>
          <w:rFonts w:cs="Arial"/>
          <w:lang w:eastAsia="sv-FI"/>
        </w:rPr>
        <w:t>Sverige planerar ett civilförsvar där samarbetet med Finland är centralt. Det föreslås från svensk sida att Finland och Sverige kunde ha ett djupare samarbete vad gäller till exempel att upprätthålla viktig infrastruktur, sju</w:t>
      </w:r>
      <w:r w:rsidRPr="000B7170">
        <w:rPr>
          <w:rFonts w:cs="Arial"/>
          <w:lang w:eastAsia="sv-FI"/>
        </w:rPr>
        <w:t>k</w:t>
      </w:r>
      <w:r w:rsidRPr="000B7170">
        <w:rPr>
          <w:rFonts w:cs="Arial"/>
          <w:lang w:eastAsia="sv-FI"/>
        </w:rPr>
        <w:t>vård, läkemedelsförsörjning, befolkningsskydd och evakueringar</w:t>
      </w:r>
    </w:p>
    <w:p w:rsidR="00483BCC" w:rsidRPr="000B7170" w:rsidRDefault="00483BCC" w:rsidP="00483BCC">
      <w:pPr>
        <w:pStyle w:val="ANormal"/>
        <w:rPr>
          <w:rFonts w:ascii="Helvetica" w:hAnsi="Helvetica"/>
          <w:sz w:val="24"/>
          <w:szCs w:val="24"/>
          <w:lang w:val="sv-FI"/>
        </w:rPr>
      </w:pPr>
      <w:r w:rsidRPr="000B7170">
        <w:t>     Då det gäller försvarssamarbetet mellan Finland och Sverige har Finland konstaterat att Ålands demilitarisering och neutralisering kommer att r</w:t>
      </w:r>
      <w:r w:rsidRPr="000B7170">
        <w:t>e</w:t>
      </w:r>
      <w:r w:rsidRPr="000B7170">
        <w:t>spekteras vid det fördjupade försvarssamarbetet. Landskapsregeringens uppfattning är att det från landskapets sida inte i dagsläget finns något b</w:t>
      </w:r>
      <w:r w:rsidRPr="000B7170">
        <w:t>e</w:t>
      </w:r>
      <w:r w:rsidRPr="000B7170">
        <w:t>hov av att aktivt delta i samarbetet eftersom Ålands särställning inte påve</w:t>
      </w:r>
      <w:r w:rsidRPr="000B7170">
        <w:t>r</w:t>
      </w:r>
      <w:r w:rsidRPr="000B7170">
        <w:t>kas. Landskapsregeringen kommer dock att hålla sig informerad om fö</w:t>
      </w:r>
      <w:r w:rsidRPr="000B7170">
        <w:t>r</w:t>
      </w:r>
      <w:r w:rsidRPr="000B7170">
        <w:t>svarssamarbetet så att landskapsregeringen kan vara delaktig om sama</w:t>
      </w:r>
      <w:r w:rsidRPr="000B7170">
        <w:t>r</w:t>
      </w:r>
      <w:r w:rsidRPr="000B7170">
        <w:t>betsplanerna skulle komma att beröra Åland</w:t>
      </w:r>
      <w:r w:rsidRPr="000B7170">
        <w:rPr>
          <w:rFonts w:ascii="Helvetica" w:hAnsi="Helvetica"/>
          <w:sz w:val="24"/>
          <w:szCs w:val="24"/>
        </w:rPr>
        <w:t>.</w:t>
      </w:r>
    </w:p>
    <w:p w:rsidR="00E62231" w:rsidRPr="000B7170" w:rsidRDefault="00E62231" w:rsidP="00E62231">
      <w:pPr>
        <w:pStyle w:val="RubrikB"/>
      </w:pPr>
    </w:p>
    <w:p w:rsidR="003F29AD" w:rsidRPr="000B7170" w:rsidRDefault="007E63B2" w:rsidP="00E62231">
      <w:pPr>
        <w:pStyle w:val="RubrikB"/>
      </w:pPr>
      <w:bookmarkStart w:id="23" w:name="_Toc508271006"/>
      <w:r w:rsidRPr="000B7170">
        <w:t>5</w:t>
      </w:r>
      <w:r w:rsidR="003F29AD" w:rsidRPr="000B7170">
        <w:t>.</w:t>
      </w:r>
      <w:r w:rsidR="00DF0CD8" w:rsidRPr="000B7170">
        <w:t>3</w:t>
      </w:r>
      <w:r w:rsidR="003F29AD" w:rsidRPr="000B7170">
        <w:t xml:space="preserve"> Gränsbevakningen</w:t>
      </w:r>
      <w:bookmarkEnd w:id="23"/>
      <w:r w:rsidR="003F29AD" w:rsidRPr="000B7170">
        <w:t xml:space="preserve"> </w:t>
      </w:r>
    </w:p>
    <w:p w:rsidR="0057224C" w:rsidRPr="000B7170" w:rsidRDefault="0057224C" w:rsidP="0057224C">
      <w:pPr>
        <w:pStyle w:val="ANormal"/>
        <w:rPr>
          <w:lang w:val="sv-FI"/>
        </w:rPr>
      </w:pPr>
      <w:r w:rsidRPr="000B7170">
        <w:t>Gränsbevakningen har genomgått flera omorganisationer under de senaste åren då stationer lagts ner och personalantalet minskat. Inga nedskärningar som rör Åland är planerade under 2018. De uppgifter som utförs av grän</w:t>
      </w:r>
      <w:r w:rsidRPr="000B7170">
        <w:t>s</w:t>
      </w:r>
      <w:r w:rsidRPr="000B7170">
        <w:t>bevakningsväsendet på Åland är viktiga för det åländska samhället och ett gott samarbete mellan gränsbevakningen och landskapets myndigheter e</w:t>
      </w:r>
      <w:r w:rsidRPr="000B7170">
        <w:t>f</w:t>
      </w:r>
      <w:r w:rsidRPr="000B7170">
        <w:t xml:space="preserve">tersträvas. </w:t>
      </w:r>
    </w:p>
    <w:p w:rsidR="0057224C" w:rsidRPr="000B7170" w:rsidRDefault="0057224C" w:rsidP="0057224C">
      <w:pPr>
        <w:pStyle w:val="ANormal"/>
        <w:rPr>
          <w:lang w:val="sv-FI"/>
        </w:rPr>
      </w:pPr>
      <w:r w:rsidRPr="000B7170">
        <w:rPr>
          <w:lang w:val="sv-FI"/>
        </w:rPr>
        <w:tab/>
      </w:r>
      <w:r w:rsidRPr="000B7170">
        <w:t>De årliga möten som hålls mellan gränsbevakningens ledning och lan</w:t>
      </w:r>
      <w:r w:rsidRPr="000B7170">
        <w:t>d</w:t>
      </w:r>
      <w:r w:rsidRPr="000B7170">
        <w:t>skapsmyndigheterna är betydelsefulla eftersom de ger möjlighet till i</w:t>
      </w:r>
      <w:r w:rsidRPr="000B7170">
        <w:t>n</w:t>
      </w:r>
      <w:r w:rsidRPr="000B7170">
        <w:t>formationsutbyte och diskussioner om aktuella frågor.</w:t>
      </w:r>
    </w:p>
    <w:p w:rsidR="0057224C" w:rsidRPr="000B7170" w:rsidRDefault="0057224C" w:rsidP="0057224C">
      <w:pPr>
        <w:pStyle w:val="ANormal"/>
        <w:rPr>
          <w:iCs/>
          <w:lang w:val="sv-FI"/>
        </w:rPr>
      </w:pPr>
      <w:r w:rsidRPr="000B7170">
        <w:t>   Under året har landskapsregeringen yttrat sig över</w:t>
      </w:r>
      <w:r w:rsidRPr="000B7170">
        <w:rPr>
          <w:iCs/>
          <w:lang w:val="sv-FI"/>
        </w:rPr>
        <w:t xml:space="preserve"> utkastet till regering</w:t>
      </w:r>
      <w:r w:rsidRPr="000B7170">
        <w:rPr>
          <w:iCs/>
          <w:lang w:val="sv-FI"/>
        </w:rPr>
        <w:t>s</w:t>
      </w:r>
      <w:r w:rsidRPr="000B7170">
        <w:rPr>
          <w:iCs/>
          <w:lang w:val="sv-FI"/>
        </w:rPr>
        <w:t>proposition med förslag lagar om ändring av gränsbevakningslagen och u</w:t>
      </w:r>
      <w:r w:rsidRPr="000B7170">
        <w:rPr>
          <w:iCs/>
          <w:lang w:val="sv-FI"/>
        </w:rPr>
        <w:t>t</w:t>
      </w:r>
      <w:r w:rsidRPr="000B7170">
        <w:rPr>
          <w:iCs/>
          <w:lang w:val="sv-FI"/>
        </w:rPr>
        <w:t xml:space="preserve">länningslagen samt vissa lagar som har samband med dem. </w:t>
      </w:r>
    </w:p>
    <w:p w:rsidR="0057224C" w:rsidRPr="000B7170" w:rsidRDefault="0057224C" w:rsidP="0057224C">
      <w:pPr>
        <w:pStyle w:val="ANormal"/>
        <w:rPr>
          <w:iCs/>
          <w:lang w:val="sv-FI"/>
        </w:rPr>
      </w:pPr>
      <w:r w:rsidRPr="000B7170">
        <w:rPr>
          <w:iCs/>
          <w:lang w:val="sv-FI"/>
        </w:rPr>
        <w:tab/>
        <w:t>Syftet med propositionen är att utveckla gränsbevakningsväsendets och gränsbevak</w:t>
      </w:r>
      <w:r w:rsidR="007721DF" w:rsidRPr="000B7170">
        <w:rPr>
          <w:iCs/>
          <w:lang w:val="sv-FI"/>
        </w:rPr>
        <w:t>arnas</w:t>
      </w:r>
      <w:r w:rsidRPr="000B7170">
        <w:rPr>
          <w:iCs/>
          <w:lang w:val="sv-FI"/>
        </w:rPr>
        <w:t xml:space="preserve"> befogenheter under normala förhållanden så att gränsb</w:t>
      </w:r>
      <w:r w:rsidRPr="000B7170">
        <w:rPr>
          <w:iCs/>
          <w:lang w:val="sv-FI"/>
        </w:rPr>
        <w:t>e</w:t>
      </w:r>
      <w:r w:rsidRPr="000B7170">
        <w:rPr>
          <w:iCs/>
          <w:lang w:val="sv-FI"/>
        </w:rPr>
        <w:t>vakningsväsendet kan bereda sig på att snabbt och effektivt möta de hot som uppstår i Finlands säkerhetspolitiska omgivning, såväl självständigt som i samarbete med andra behöriga myndigheter. I propositionen föreslås kompletteringar av gränsbevak</w:t>
      </w:r>
      <w:r w:rsidR="007721DF" w:rsidRPr="000B7170">
        <w:rPr>
          <w:iCs/>
          <w:lang w:val="sv-FI"/>
        </w:rPr>
        <w:t>arnas</w:t>
      </w:r>
      <w:r w:rsidRPr="000B7170">
        <w:rPr>
          <w:iCs/>
          <w:lang w:val="sv-FI"/>
        </w:rPr>
        <w:t xml:space="preserve"> befogenheter när det gäller att upprät</w:t>
      </w:r>
      <w:r w:rsidRPr="000B7170">
        <w:rPr>
          <w:iCs/>
          <w:lang w:val="sv-FI"/>
        </w:rPr>
        <w:t>t</w:t>
      </w:r>
      <w:r w:rsidRPr="000B7170">
        <w:rPr>
          <w:iCs/>
          <w:lang w:val="sv-FI"/>
        </w:rPr>
        <w:t>hålla allmän ordning och säkerhet vid gränsövergångsställena och i dess omedelbara närhet, i gränsbevakningsväsendets lokaler och på områden som är i gränsbevakningsväsendets besittning, när polisen är förhindrad att göra det. Vidare kompletteras gränsbevakningsväsendets befogenheter i uppgifter som utförs på begäran av polisen eller i form av assistans till pol</w:t>
      </w:r>
      <w:r w:rsidRPr="000B7170">
        <w:rPr>
          <w:iCs/>
          <w:lang w:val="sv-FI"/>
        </w:rPr>
        <w:t>i</w:t>
      </w:r>
      <w:r w:rsidRPr="000B7170">
        <w:rPr>
          <w:iCs/>
          <w:lang w:val="sv-FI"/>
        </w:rPr>
        <w:t xml:space="preserve">sen. </w:t>
      </w:r>
    </w:p>
    <w:p w:rsidR="0057224C" w:rsidRPr="000B7170" w:rsidRDefault="0057224C" w:rsidP="0057224C">
      <w:pPr>
        <w:pStyle w:val="ANormal"/>
        <w:rPr>
          <w:iCs/>
        </w:rPr>
      </w:pPr>
      <w:r w:rsidRPr="000B7170">
        <w:rPr>
          <w:iCs/>
          <w:lang w:val="sv-FI"/>
        </w:rPr>
        <w:tab/>
        <w:t>Gränsbevakningslagens bestämmelser när det gäller handräckning ska också uppdateras. I fortsättningen ska gränsbevakningen vid bekämpning av terrorism kunna ge polisen handräckning som omfattar användning av militära maktmedel inte bara på havsområden utan också på landområden. Handräckningen av försvarsmakten till gränsbevakningsväsendet ska också kunna omfatta användning av maktmedel under en behörig gränsbeva</w:t>
      </w:r>
      <w:r w:rsidRPr="000B7170">
        <w:rPr>
          <w:iCs/>
          <w:lang w:val="sv-FI"/>
        </w:rPr>
        <w:t>k</w:t>
      </w:r>
      <w:r w:rsidRPr="000B7170">
        <w:rPr>
          <w:iCs/>
          <w:lang w:val="sv-FI"/>
        </w:rPr>
        <w:t xml:space="preserve">ningsmans uppsyn. </w:t>
      </w:r>
    </w:p>
    <w:p w:rsidR="0057224C" w:rsidRPr="000B7170" w:rsidRDefault="0057224C" w:rsidP="0057224C">
      <w:pPr>
        <w:pStyle w:val="ANormal"/>
        <w:rPr>
          <w:lang w:val="sv-FI" w:eastAsia="sv-FI"/>
        </w:rPr>
      </w:pPr>
      <w:r w:rsidRPr="000B7170">
        <w:rPr>
          <w:i/>
          <w:iCs/>
        </w:rPr>
        <w:tab/>
      </w:r>
      <w:r w:rsidRPr="000B7170">
        <w:rPr>
          <w:lang w:val="sv-FI" w:eastAsia="sv-FI"/>
        </w:rPr>
        <w:t>Landskapsregeringen framhöll i sitt yttrande att Ålands demilitariserade och neutraliserade status ska respekteras. Demilitariseringen och neutral</w:t>
      </w:r>
      <w:r w:rsidRPr="000B7170">
        <w:rPr>
          <w:lang w:val="sv-FI" w:eastAsia="sv-FI"/>
        </w:rPr>
        <w:t>i</w:t>
      </w:r>
      <w:r w:rsidRPr="000B7170">
        <w:rPr>
          <w:lang w:val="sv-FI" w:eastAsia="sv-FI"/>
        </w:rPr>
        <w:t>seringen är en förpliktelse som Finland har iklätt sig gentemot signatärma</w:t>
      </w:r>
      <w:r w:rsidRPr="000B7170">
        <w:rPr>
          <w:lang w:val="sv-FI" w:eastAsia="sv-FI"/>
        </w:rPr>
        <w:t>k</w:t>
      </w:r>
      <w:r w:rsidRPr="000B7170">
        <w:rPr>
          <w:lang w:val="sv-FI" w:eastAsia="sv-FI"/>
        </w:rPr>
        <w:t xml:space="preserve">terna. </w:t>
      </w:r>
    </w:p>
    <w:p w:rsidR="0057224C" w:rsidRPr="000B7170" w:rsidRDefault="0057224C" w:rsidP="0057224C">
      <w:pPr>
        <w:pStyle w:val="ANormal"/>
        <w:rPr>
          <w:iCs/>
          <w:lang w:val="sv-FI"/>
        </w:rPr>
      </w:pPr>
      <w:r w:rsidRPr="000B7170">
        <w:rPr>
          <w:iCs/>
          <w:lang w:val="sv-FI"/>
        </w:rPr>
        <w:tab/>
        <w:t>Enligt artikel 4 a i 1921 års konvention får Finland när utomordentliga omständigheter det kräver i zonen införa och temporärt hålla sådana vä</w:t>
      </w:r>
      <w:r w:rsidRPr="000B7170">
        <w:rPr>
          <w:iCs/>
          <w:lang w:val="sv-FI"/>
        </w:rPr>
        <w:t>p</w:t>
      </w:r>
      <w:r w:rsidRPr="000B7170">
        <w:rPr>
          <w:iCs/>
          <w:lang w:val="sv-FI"/>
        </w:rPr>
        <w:t>nade styrkor som är strängt nödvändiga för ordningens upprätthållande. E</w:t>
      </w:r>
      <w:r w:rsidRPr="000B7170">
        <w:rPr>
          <w:iCs/>
          <w:lang w:val="sv-FI"/>
        </w:rPr>
        <w:t>n</w:t>
      </w:r>
      <w:r w:rsidRPr="000B7170">
        <w:rPr>
          <w:iCs/>
          <w:lang w:val="sv-FI"/>
        </w:rPr>
        <w:t xml:space="preserve">ligt landskapsregeringens mening ska undantagen i konventionerna alltid tolkas strikt. </w:t>
      </w:r>
    </w:p>
    <w:p w:rsidR="0057224C" w:rsidRPr="000B7170" w:rsidRDefault="0057224C" w:rsidP="0057224C">
      <w:pPr>
        <w:pStyle w:val="ANormal"/>
        <w:rPr>
          <w:iCs/>
          <w:lang w:val="sv-FI"/>
        </w:rPr>
      </w:pPr>
      <w:r w:rsidRPr="000B7170">
        <w:rPr>
          <w:iCs/>
          <w:lang w:val="sv-FI"/>
        </w:rPr>
        <w:tab/>
        <w:t>Hantering av terrorism är i första hand en polisiär uppgift. I händelse av ett misstänkt terrorbrott på Åland bör frågan således i första hand skötas av polisen och det kan inte bli fråga om handräckning från försvarsmakten så länge det inte är fråga om åtgärder som ”är strängt nödvändiga för ordnin</w:t>
      </w:r>
      <w:r w:rsidRPr="000B7170">
        <w:rPr>
          <w:iCs/>
          <w:lang w:val="sv-FI"/>
        </w:rPr>
        <w:t>g</w:t>
      </w:r>
      <w:r w:rsidRPr="000B7170">
        <w:rPr>
          <w:iCs/>
          <w:lang w:val="sv-FI"/>
        </w:rPr>
        <w:t>ens upprätthållande”. Enligt landskapsregeringens åsikt kan detta kriterium anses vara uppfyllt enbart då det är fråga om en överhängande risk för människors liv eller hälsa eller då stora miljö- eller egendomsskador står på spel. Landskapsregeringen anser således inte att man generellt kan utgå från att alla former av terrorism skulle uppfylla konventionens krav på ”utomo</w:t>
      </w:r>
      <w:r w:rsidRPr="000B7170">
        <w:rPr>
          <w:iCs/>
          <w:lang w:val="sv-FI"/>
        </w:rPr>
        <w:t>r</w:t>
      </w:r>
      <w:r w:rsidRPr="000B7170">
        <w:rPr>
          <w:iCs/>
          <w:lang w:val="sv-FI"/>
        </w:rPr>
        <w:t>dentliga omständigheter” utan en bedömning måste göras i varje enskild s</w:t>
      </w:r>
      <w:r w:rsidRPr="000B7170">
        <w:rPr>
          <w:iCs/>
          <w:lang w:val="sv-FI"/>
        </w:rPr>
        <w:t>i</w:t>
      </w:r>
      <w:r w:rsidRPr="000B7170">
        <w:rPr>
          <w:iCs/>
          <w:lang w:val="sv-FI"/>
        </w:rPr>
        <w:t>tuation, om möjligt i dialog mellan landskapsregeringen och riket.</w:t>
      </w:r>
    </w:p>
    <w:p w:rsidR="0057224C" w:rsidRPr="000B7170" w:rsidRDefault="0057224C" w:rsidP="0057224C">
      <w:pPr>
        <w:pStyle w:val="ANormal"/>
        <w:rPr>
          <w:lang w:val="sv-FI" w:eastAsia="sv-FI"/>
        </w:rPr>
      </w:pPr>
      <w:r w:rsidRPr="000B7170">
        <w:rPr>
          <w:iCs/>
          <w:lang w:val="sv-FI"/>
        </w:rPr>
        <w:tab/>
      </w:r>
      <w:r w:rsidRPr="000B7170">
        <w:rPr>
          <w:lang w:val="sv-FI" w:eastAsia="sv-FI"/>
        </w:rPr>
        <w:t>Enligt Ålands landskapsregerings uppfattning ska begreppet ”militär land-, sjö-, eller luftstyrka” tolkas så att det omfattar försvarsmaktens sty</w:t>
      </w:r>
      <w:r w:rsidRPr="000B7170">
        <w:rPr>
          <w:lang w:val="sv-FI" w:eastAsia="sv-FI"/>
        </w:rPr>
        <w:t>r</w:t>
      </w:r>
      <w:r w:rsidRPr="000B7170">
        <w:rPr>
          <w:lang w:val="sv-FI" w:eastAsia="sv-FI"/>
        </w:rPr>
        <w:t>kor som är i tjänst oavsett i vilket syfte de besöker den demilitariserade z</w:t>
      </w:r>
      <w:r w:rsidRPr="000B7170">
        <w:rPr>
          <w:lang w:val="sv-FI" w:eastAsia="sv-FI"/>
        </w:rPr>
        <w:t>o</w:t>
      </w:r>
      <w:r w:rsidRPr="000B7170">
        <w:rPr>
          <w:lang w:val="sv-FI" w:eastAsia="sv-FI"/>
        </w:rPr>
        <w:lastRenderedPageBreak/>
        <w:t xml:space="preserve">nen och oavsett om de är beväpnade och/eller uniformerade. Med en styrka avses en eller flera soldater och annan militär personal som är i tjänst. Landskapsregeringens uppfattning är att även om en civil myndighet leder en exceptionell situation </w:t>
      </w:r>
      <w:r w:rsidRPr="000B7170">
        <w:rPr>
          <w:iCs/>
          <w:lang w:val="sv-FI"/>
        </w:rPr>
        <w:t>så räknas inte försvarsmaktens handräckning som civil. Statusen för militära enheter kan inte förändras beroende på uppdrag och situationsledningen.</w:t>
      </w:r>
    </w:p>
    <w:p w:rsidR="0057224C" w:rsidRPr="000B7170" w:rsidRDefault="0057224C" w:rsidP="0057224C">
      <w:pPr>
        <w:pStyle w:val="ANormal"/>
        <w:rPr>
          <w:iCs/>
          <w:lang w:val="sv-FI"/>
        </w:rPr>
      </w:pPr>
      <w:r w:rsidRPr="000B7170">
        <w:rPr>
          <w:lang w:val="sv-FI" w:eastAsia="sv-FI"/>
        </w:rPr>
        <w:tab/>
        <w:t>Landskapsregeringens uppfattning är att d</w:t>
      </w:r>
      <w:r w:rsidRPr="000B7170">
        <w:rPr>
          <w:iCs/>
          <w:lang w:val="sv-FI"/>
        </w:rPr>
        <w:t xml:space="preserve">et inte är möjligt att använda värnpliktiga i gränsbevakningsuppgifter inom Ålands demilitariserade och neutraliserade område. </w:t>
      </w:r>
      <w:r w:rsidRPr="000B7170">
        <w:t>  </w:t>
      </w:r>
    </w:p>
    <w:p w:rsidR="0057224C" w:rsidRPr="000B7170" w:rsidRDefault="006F290A" w:rsidP="006F290A">
      <w:pPr>
        <w:pStyle w:val="ANormal"/>
      </w:pPr>
      <w:r w:rsidRPr="000B7170">
        <w:tab/>
        <w:t>Under året har landskapsregeringen fört fram vikten av att gränsbeva</w:t>
      </w:r>
      <w:r w:rsidRPr="000B7170">
        <w:t>k</w:t>
      </w:r>
      <w:r w:rsidRPr="000B7170">
        <w:t>ningens helikoptrar fortsättningsvis ska kunna starta och landa i Åbo.  Fr</w:t>
      </w:r>
      <w:r w:rsidRPr="000B7170">
        <w:t>å</w:t>
      </w:r>
      <w:r w:rsidRPr="000B7170">
        <w:t xml:space="preserve">gan </w:t>
      </w:r>
      <w:r w:rsidR="007721DF" w:rsidRPr="000B7170">
        <w:t>är</w:t>
      </w:r>
      <w:r w:rsidRPr="000B7170">
        <w:t xml:space="preserve"> viktig för Ålands del främst gällande sjöräddning men också gä</w:t>
      </w:r>
      <w:r w:rsidRPr="000B7170">
        <w:t>l</w:t>
      </w:r>
      <w:r w:rsidRPr="000B7170">
        <w:t xml:space="preserve">lande akuta sjuktransporter vid dåligt väder. Alternativet </w:t>
      </w:r>
      <w:r w:rsidR="007721DF" w:rsidRPr="000B7170">
        <w:t>till</w:t>
      </w:r>
      <w:r w:rsidRPr="000B7170">
        <w:t xml:space="preserve"> Åbo flygfält var Helsingfors vilket skulle ha medfört en förlängning av flygtiden med ca. 45 minuter enkel väg. Gränsbevakningen meddelade att dejoureringen för helikoptern </w:t>
      </w:r>
      <w:r w:rsidR="007721DF" w:rsidRPr="000B7170">
        <w:t>kommer att finnas</w:t>
      </w:r>
      <w:r w:rsidRPr="000B7170">
        <w:t xml:space="preserve"> kvar i Åbo och </w:t>
      </w:r>
      <w:r w:rsidR="007721DF" w:rsidRPr="000B7170">
        <w:t xml:space="preserve">att </w:t>
      </w:r>
      <w:r w:rsidRPr="000B7170">
        <w:t xml:space="preserve">helikoptern </w:t>
      </w:r>
      <w:r w:rsidR="007721DF" w:rsidRPr="000B7170">
        <w:t>kan</w:t>
      </w:r>
      <w:r w:rsidRPr="000B7170">
        <w:t xml:space="preserve"> starta från Åbo men Finnavia meddelade att flygledningen nattetid, på grund av ekonomiska skäl, upphör i Åbo vilket skulle ha kunnat le</w:t>
      </w:r>
      <w:r w:rsidR="007721DF" w:rsidRPr="000B7170">
        <w:t>da</w:t>
      </w:r>
      <w:r w:rsidRPr="000B7170">
        <w:t xml:space="preserve"> till att heliko</w:t>
      </w:r>
      <w:r w:rsidRPr="000B7170">
        <w:t>p</w:t>
      </w:r>
      <w:r w:rsidRPr="000B7170">
        <w:t>tern inte kan landa i Åbo vid dåligt väder. Efter en flera år lång tvist me</w:t>
      </w:r>
      <w:r w:rsidRPr="000B7170">
        <w:t>d</w:t>
      </w:r>
      <w:r w:rsidRPr="000B7170">
        <w:t>delades det i november att ett avtal om fördelning av kostnaderna mellan Åbo med kranskommuner, landskapsförbundet och gränsbevakningsväse</w:t>
      </w:r>
      <w:r w:rsidRPr="000B7170">
        <w:t>n</w:t>
      </w:r>
      <w:r w:rsidRPr="000B7170">
        <w:t>det ingåtts. Tillsammans med en sänkning av avgiften från Finavias håll kunde således en lösning nås som innebär att flygfältet kommer att hållas öppet dygnet runt.</w:t>
      </w:r>
      <w:r w:rsidR="0057224C" w:rsidRPr="000B7170">
        <w:t> </w:t>
      </w:r>
    </w:p>
    <w:p w:rsidR="006F290A" w:rsidRPr="000B7170" w:rsidRDefault="006F290A" w:rsidP="0057224C">
      <w:pPr>
        <w:pStyle w:val="RubrikB"/>
      </w:pPr>
    </w:p>
    <w:p w:rsidR="0057224C" w:rsidRPr="000B7170" w:rsidRDefault="007E63B2" w:rsidP="0057224C">
      <w:pPr>
        <w:pStyle w:val="RubrikB"/>
        <w:rPr>
          <w:lang w:val="sv-FI"/>
        </w:rPr>
      </w:pPr>
      <w:bookmarkStart w:id="24" w:name="_Toc508271007"/>
      <w:r w:rsidRPr="000B7170">
        <w:t>5</w:t>
      </w:r>
      <w:r w:rsidR="0057224C" w:rsidRPr="000B7170">
        <w:t>.</w:t>
      </w:r>
      <w:r w:rsidR="00DF0CD8" w:rsidRPr="000B7170">
        <w:t>4</w:t>
      </w:r>
      <w:r w:rsidR="0057224C" w:rsidRPr="000B7170">
        <w:t xml:space="preserve"> Fartygsbesök och överflygningar</w:t>
      </w:r>
      <w:bookmarkEnd w:id="24"/>
      <w:r w:rsidR="0057224C" w:rsidRPr="000B7170">
        <w:t xml:space="preserve"> </w:t>
      </w:r>
    </w:p>
    <w:p w:rsidR="00D7318E" w:rsidRPr="000B7170" w:rsidRDefault="0057224C" w:rsidP="0057224C">
      <w:pPr>
        <w:pStyle w:val="ANormal"/>
        <w:rPr>
          <w:lang w:val="sv-FI"/>
        </w:rPr>
      </w:pPr>
      <w:r w:rsidRPr="000B7170">
        <w:t xml:space="preserve">Årligen genomför marinen planerade fartygsbesök i åländska vatten. Under 2017 fick Åland sammanlagt </w:t>
      </w:r>
      <w:r w:rsidR="006F290A" w:rsidRPr="000B7170">
        <w:t>29</w:t>
      </w:r>
      <w:r w:rsidRPr="000B7170">
        <w:t xml:space="preserve"> fartygsbesök. Landstigning skedde vid </w:t>
      </w:r>
      <w:r w:rsidR="006F290A" w:rsidRPr="000B7170">
        <w:t xml:space="preserve">6 </w:t>
      </w:r>
      <w:r w:rsidRPr="000B7170">
        <w:t>besök. Besöken föranledde inte några åtgärder. De årliga möten som hålls mellan företrädare för marinen, lagtinget och landskapsregeringen är bet</w:t>
      </w:r>
      <w:r w:rsidRPr="000B7170">
        <w:t>y</w:t>
      </w:r>
      <w:r w:rsidRPr="000B7170">
        <w:t>delsefulla eftersom de ger en möjlighet att regelbundet utbyta information samt föra diskussioner om aktuella frågor.</w:t>
      </w:r>
    </w:p>
    <w:p w:rsidR="0057224C" w:rsidRPr="000B7170" w:rsidRDefault="0057224C" w:rsidP="0057224C">
      <w:pPr>
        <w:shd w:val="clear" w:color="auto" w:fill="FFFFFF"/>
        <w:spacing w:after="165"/>
        <w:rPr>
          <w:rFonts w:ascii="Helvetica" w:hAnsi="Helvetica" w:cs="Helvetica"/>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137"/>
        <w:gridCol w:w="1672"/>
        <w:gridCol w:w="1463"/>
      </w:tblGrid>
      <w:tr w:rsidR="000B7170" w:rsidRPr="000B7170" w:rsidTr="00D7318E">
        <w:tc>
          <w:tcPr>
            <w:tcW w:w="872" w:type="dxa"/>
            <w:shd w:val="clear" w:color="auto" w:fill="auto"/>
          </w:tcPr>
          <w:p w:rsidR="002C6A51" w:rsidRPr="000B7170" w:rsidRDefault="002C6A51" w:rsidP="00C952CA">
            <w:pPr>
              <w:pStyle w:val="anormal0"/>
              <w:tabs>
                <w:tab w:val="left" w:pos="342"/>
              </w:tabs>
              <w:rPr>
                <w:sz w:val="22"/>
                <w:szCs w:val="22"/>
              </w:rPr>
            </w:pPr>
            <w:r w:rsidRPr="000B7170">
              <w:rPr>
                <w:sz w:val="22"/>
                <w:szCs w:val="22"/>
              </w:rPr>
              <w:t>År</w:t>
            </w:r>
          </w:p>
        </w:tc>
        <w:tc>
          <w:tcPr>
            <w:tcW w:w="1137" w:type="dxa"/>
            <w:shd w:val="clear" w:color="auto" w:fill="auto"/>
          </w:tcPr>
          <w:p w:rsidR="002C6A51" w:rsidRPr="000B7170" w:rsidRDefault="002C6A51" w:rsidP="00C952CA">
            <w:pPr>
              <w:pStyle w:val="anormal0"/>
              <w:tabs>
                <w:tab w:val="left" w:pos="342"/>
              </w:tabs>
              <w:jc w:val="center"/>
              <w:rPr>
                <w:sz w:val="22"/>
                <w:szCs w:val="22"/>
              </w:rPr>
            </w:pPr>
            <w:r w:rsidRPr="000B7170">
              <w:rPr>
                <w:sz w:val="22"/>
                <w:szCs w:val="22"/>
              </w:rPr>
              <w:t>Totalt a</w:t>
            </w:r>
            <w:r w:rsidRPr="000B7170">
              <w:rPr>
                <w:sz w:val="22"/>
                <w:szCs w:val="22"/>
              </w:rPr>
              <w:t>n</w:t>
            </w:r>
            <w:r w:rsidRPr="000B7170">
              <w:rPr>
                <w:sz w:val="22"/>
                <w:szCs w:val="22"/>
              </w:rPr>
              <w:t>tal</w:t>
            </w:r>
          </w:p>
        </w:tc>
        <w:tc>
          <w:tcPr>
            <w:tcW w:w="1672" w:type="dxa"/>
            <w:shd w:val="clear" w:color="auto" w:fill="auto"/>
          </w:tcPr>
          <w:p w:rsidR="002C6A51" w:rsidRPr="000B7170" w:rsidRDefault="002C6A51" w:rsidP="00C952CA">
            <w:pPr>
              <w:pStyle w:val="anormal0"/>
              <w:tabs>
                <w:tab w:val="left" w:pos="342"/>
              </w:tabs>
              <w:jc w:val="center"/>
              <w:rPr>
                <w:sz w:val="22"/>
                <w:szCs w:val="22"/>
              </w:rPr>
            </w:pPr>
            <w:r w:rsidRPr="000B7170">
              <w:rPr>
                <w:sz w:val="22"/>
                <w:szCs w:val="22"/>
              </w:rPr>
              <w:t>Landstigning</w:t>
            </w:r>
          </w:p>
        </w:tc>
        <w:tc>
          <w:tcPr>
            <w:tcW w:w="1145" w:type="dxa"/>
          </w:tcPr>
          <w:p w:rsidR="002C6A51" w:rsidRPr="000B7170" w:rsidRDefault="002C6A51" w:rsidP="00C952CA">
            <w:pPr>
              <w:pStyle w:val="anormal0"/>
              <w:tabs>
                <w:tab w:val="left" w:pos="342"/>
              </w:tabs>
              <w:jc w:val="center"/>
              <w:rPr>
                <w:sz w:val="22"/>
                <w:szCs w:val="22"/>
              </w:rPr>
            </w:pPr>
            <w:r w:rsidRPr="000B7170">
              <w:rPr>
                <w:sz w:val="22"/>
                <w:szCs w:val="22"/>
              </w:rPr>
              <w:t>Handräckning</w:t>
            </w:r>
          </w:p>
          <w:p w:rsidR="002C6A51" w:rsidRPr="000B7170" w:rsidRDefault="002C6A51" w:rsidP="00C952CA">
            <w:pPr>
              <w:pStyle w:val="anormal0"/>
              <w:tabs>
                <w:tab w:val="left" w:pos="342"/>
              </w:tabs>
              <w:jc w:val="center"/>
              <w:rPr>
                <w:sz w:val="22"/>
                <w:szCs w:val="22"/>
              </w:rPr>
            </w:pPr>
          </w:p>
        </w:tc>
      </w:tr>
      <w:tr w:rsidR="000B7170" w:rsidRPr="000B7170" w:rsidTr="00D7318E">
        <w:tc>
          <w:tcPr>
            <w:tcW w:w="872" w:type="dxa"/>
            <w:shd w:val="clear" w:color="auto" w:fill="auto"/>
          </w:tcPr>
          <w:p w:rsidR="002C6A51" w:rsidRPr="000B7170" w:rsidRDefault="002C6A51" w:rsidP="00C952CA">
            <w:pPr>
              <w:pStyle w:val="anormal0"/>
              <w:tabs>
                <w:tab w:val="left" w:pos="342"/>
              </w:tabs>
              <w:rPr>
                <w:sz w:val="22"/>
                <w:szCs w:val="22"/>
              </w:rPr>
            </w:pPr>
            <w:r w:rsidRPr="000B7170">
              <w:rPr>
                <w:sz w:val="22"/>
                <w:szCs w:val="22"/>
              </w:rPr>
              <w:t>2000</w:t>
            </w:r>
          </w:p>
        </w:tc>
        <w:tc>
          <w:tcPr>
            <w:tcW w:w="1137" w:type="dxa"/>
            <w:shd w:val="clear" w:color="auto" w:fill="auto"/>
          </w:tcPr>
          <w:p w:rsidR="002C6A51" w:rsidRPr="000B7170" w:rsidRDefault="002C6A51" w:rsidP="00C952CA">
            <w:pPr>
              <w:pStyle w:val="anormal0"/>
              <w:tabs>
                <w:tab w:val="left" w:pos="342"/>
              </w:tabs>
              <w:jc w:val="center"/>
              <w:rPr>
                <w:sz w:val="22"/>
                <w:szCs w:val="22"/>
              </w:rPr>
            </w:pPr>
            <w:r w:rsidRPr="000B7170">
              <w:rPr>
                <w:sz w:val="22"/>
                <w:szCs w:val="22"/>
              </w:rPr>
              <w:t>32</w:t>
            </w:r>
          </w:p>
        </w:tc>
        <w:tc>
          <w:tcPr>
            <w:tcW w:w="1672" w:type="dxa"/>
            <w:shd w:val="clear" w:color="auto" w:fill="auto"/>
          </w:tcPr>
          <w:p w:rsidR="002C6A51" w:rsidRPr="000B7170" w:rsidRDefault="002C6A51" w:rsidP="00C952CA">
            <w:pPr>
              <w:pStyle w:val="anormal0"/>
              <w:tabs>
                <w:tab w:val="left" w:pos="342"/>
              </w:tabs>
              <w:jc w:val="center"/>
              <w:rPr>
                <w:sz w:val="22"/>
                <w:szCs w:val="22"/>
              </w:rPr>
            </w:pPr>
          </w:p>
        </w:tc>
        <w:tc>
          <w:tcPr>
            <w:tcW w:w="1145" w:type="dxa"/>
          </w:tcPr>
          <w:p w:rsidR="002C6A51" w:rsidRPr="000B7170" w:rsidRDefault="002C6A51" w:rsidP="00C952CA">
            <w:pPr>
              <w:pStyle w:val="anormal0"/>
              <w:tabs>
                <w:tab w:val="left" w:pos="342"/>
              </w:tabs>
              <w:jc w:val="center"/>
              <w:rPr>
                <w:sz w:val="22"/>
                <w:szCs w:val="22"/>
              </w:rPr>
            </w:pPr>
          </w:p>
        </w:tc>
      </w:tr>
      <w:tr w:rsidR="000B7170" w:rsidRPr="000B7170" w:rsidTr="00D7318E">
        <w:tc>
          <w:tcPr>
            <w:tcW w:w="872" w:type="dxa"/>
            <w:shd w:val="clear" w:color="auto" w:fill="auto"/>
          </w:tcPr>
          <w:p w:rsidR="002C6A51" w:rsidRPr="000B7170" w:rsidRDefault="002C6A51" w:rsidP="00C952CA">
            <w:pPr>
              <w:pStyle w:val="anormal0"/>
              <w:tabs>
                <w:tab w:val="left" w:pos="342"/>
              </w:tabs>
              <w:rPr>
                <w:sz w:val="22"/>
                <w:szCs w:val="22"/>
              </w:rPr>
            </w:pPr>
            <w:r w:rsidRPr="000B7170">
              <w:rPr>
                <w:sz w:val="22"/>
                <w:szCs w:val="22"/>
              </w:rPr>
              <w:t>2001</w:t>
            </w:r>
          </w:p>
        </w:tc>
        <w:tc>
          <w:tcPr>
            <w:tcW w:w="1137" w:type="dxa"/>
            <w:shd w:val="clear" w:color="auto" w:fill="auto"/>
          </w:tcPr>
          <w:p w:rsidR="002C6A51" w:rsidRPr="000B7170" w:rsidRDefault="002C6A51" w:rsidP="00C952CA">
            <w:pPr>
              <w:pStyle w:val="anormal0"/>
              <w:tabs>
                <w:tab w:val="left" w:pos="342"/>
              </w:tabs>
              <w:jc w:val="center"/>
              <w:rPr>
                <w:sz w:val="22"/>
                <w:szCs w:val="22"/>
              </w:rPr>
            </w:pPr>
            <w:r w:rsidRPr="000B7170">
              <w:rPr>
                <w:sz w:val="22"/>
                <w:szCs w:val="22"/>
              </w:rPr>
              <w:t>30</w:t>
            </w:r>
          </w:p>
        </w:tc>
        <w:tc>
          <w:tcPr>
            <w:tcW w:w="1672" w:type="dxa"/>
            <w:shd w:val="clear" w:color="auto" w:fill="auto"/>
          </w:tcPr>
          <w:p w:rsidR="002C6A51" w:rsidRPr="000B7170" w:rsidRDefault="002C6A51" w:rsidP="00C952CA">
            <w:pPr>
              <w:pStyle w:val="anormal0"/>
              <w:tabs>
                <w:tab w:val="left" w:pos="342"/>
              </w:tabs>
              <w:jc w:val="center"/>
              <w:rPr>
                <w:sz w:val="22"/>
                <w:szCs w:val="22"/>
              </w:rPr>
            </w:pPr>
          </w:p>
        </w:tc>
        <w:tc>
          <w:tcPr>
            <w:tcW w:w="1145" w:type="dxa"/>
          </w:tcPr>
          <w:p w:rsidR="002C6A51" w:rsidRPr="000B7170" w:rsidRDefault="002C6A51" w:rsidP="00C952CA">
            <w:pPr>
              <w:pStyle w:val="anormal0"/>
              <w:tabs>
                <w:tab w:val="left" w:pos="342"/>
              </w:tabs>
              <w:jc w:val="center"/>
              <w:rPr>
                <w:sz w:val="22"/>
                <w:szCs w:val="22"/>
              </w:rPr>
            </w:pPr>
          </w:p>
        </w:tc>
      </w:tr>
      <w:tr w:rsidR="000B7170" w:rsidRPr="000B7170" w:rsidTr="00D7318E">
        <w:tc>
          <w:tcPr>
            <w:tcW w:w="872" w:type="dxa"/>
            <w:shd w:val="clear" w:color="auto" w:fill="auto"/>
          </w:tcPr>
          <w:p w:rsidR="002C6A51" w:rsidRPr="000B7170" w:rsidRDefault="002C6A51" w:rsidP="00C952CA">
            <w:pPr>
              <w:pStyle w:val="anormal0"/>
              <w:tabs>
                <w:tab w:val="left" w:pos="342"/>
              </w:tabs>
              <w:rPr>
                <w:sz w:val="22"/>
                <w:szCs w:val="22"/>
              </w:rPr>
            </w:pPr>
            <w:r w:rsidRPr="000B7170">
              <w:rPr>
                <w:sz w:val="22"/>
                <w:szCs w:val="22"/>
              </w:rPr>
              <w:t>2002</w:t>
            </w:r>
          </w:p>
        </w:tc>
        <w:tc>
          <w:tcPr>
            <w:tcW w:w="1137" w:type="dxa"/>
            <w:shd w:val="clear" w:color="auto" w:fill="auto"/>
          </w:tcPr>
          <w:p w:rsidR="002C6A51" w:rsidRPr="000B7170" w:rsidRDefault="002C6A51" w:rsidP="00C952CA">
            <w:pPr>
              <w:pStyle w:val="anormal0"/>
              <w:tabs>
                <w:tab w:val="left" w:pos="342"/>
              </w:tabs>
              <w:jc w:val="center"/>
              <w:rPr>
                <w:sz w:val="22"/>
                <w:szCs w:val="22"/>
              </w:rPr>
            </w:pPr>
            <w:r w:rsidRPr="000B7170">
              <w:rPr>
                <w:sz w:val="22"/>
                <w:szCs w:val="22"/>
              </w:rPr>
              <w:t>58</w:t>
            </w:r>
          </w:p>
        </w:tc>
        <w:tc>
          <w:tcPr>
            <w:tcW w:w="1672" w:type="dxa"/>
            <w:shd w:val="clear" w:color="auto" w:fill="auto"/>
          </w:tcPr>
          <w:p w:rsidR="002C6A51" w:rsidRPr="000B7170" w:rsidRDefault="002C6A51" w:rsidP="00C952CA">
            <w:pPr>
              <w:pStyle w:val="anormal0"/>
              <w:tabs>
                <w:tab w:val="left" w:pos="342"/>
              </w:tabs>
              <w:jc w:val="center"/>
              <w:rPr>
                <w:sz w:val="22"/>
                <w:szCs w:val="22"/>
              </w:rPr>
            </w:pPr>
          </w:p>
        </w:tc>
        <w:tc>
          <w:tcPr>
            <w:tcW w:w="1145" w:type="dxa"/>
          </w:tcPr>
          <w:p w:rsidR="002C6A51" w:rsidRPr="000B7170" w:rsidRDefault="002C6A51" w:rsidP="00C952CA">
            <w:pPr>
              <w:pStyle w:val="anormal0"/>
              <w:tabs>
                <w:tab w:val="left" w:pos="342"/>
              </w:tabs>
              <w:jc w:val="center"/>
              <w:rPr>
                <w:sz w:val="22"/>
                <w:szCs w:val="22"/>
              </w:rPr>
            </w:pPr>
          </w:p>
        </w:tc>
      </w:tr>
      <w:tr w:rsidR="000B7170" w:rsidRPr="000B7170" w:rsidTr="00D7318E">
        <w:tc>
          <w:tcPr>
            <w:tcW w:w="872" w:type="dxa"/>
            <w:shd w:val="clear" w:color="auto" w:fill="auto"/>
          </w:tcPr>
          <w:p w:rsidR="002C6A51" w:rsidRPr="000B7170" w:rsidRDefault="002C6A51" w:rsidP="00C952CA">
            <w:pPr>
              <w:pStyle w:val="anormal0"/>
              <w:tabs>
                <w:tab w:val="left" w:pos="342"/>
              </w:tabs>
              <w:rPr>
                <w:sz w:val="22"/>
                <w:szCs w:val="22"/>
              </w:rPr>
            </w:pPr>
            <w:r w:rsidRPr="000B7170">
              <w:rPr>
                <w:sz w:val="22"/>
                <w:szCs w:val="22"/>
              </w:rPr>
              <w:t>2003</w:t>
            </w:r>
          </w:p>
        </w:tc>
        <w:tc>
          <w:tcPr>
            <w:tcW w:w="1137" w:type="dxa"/>
            <w:shd w:val="clear" w:color="auto" w:fill="auto"/>
          </w:tcPr>
          <w:p w:rsidR="002C6A51" w:rsidRPr="000B7170" w:rsidRDefault="002C6A51" w:rsidP="00C952CA">
            <w:pPr>
              <w:pStyle w:val="anormal0"/>
              <w:tabs>
                <w:tab w:val="left" w:pos="342"/>
              </w:tabs>
              <w:jc w:val="center"/>
              <w:rPr>
                <w:sz w:val="22"/>
                <w:szCs w:val="22"/>
              </w:rPr>
            </w:pPr>
            <w:r w:rsidRPr="000B7170">
              <w:rPr>
                <w:sz w:val="22"/>
                <w:szCs w:val="22"/>
              </w:rPr>
              <w:t>26</w:t>
            </w:r>
          </w:p>
        </w:tc>
        <w:tc>
          <w:tcPr>
            <w:tcW w:w="1672" w:type="dxa"/>
            <w:shd w:val="clear" w:color="auto" w:fill="auto"/>
          </w:tcPr>
          <w:p w:rsidR="002C6A51" w:rsidRPr="000B7170" w:rsidRDefault="002C6A51" w:rsidP="00C952CA">
            <w:pPr>
              <w:pStyle w:val="anormal0"/>
              <w:tabs>
                <w:tab w:val="left" w:pos="342"/>
              </w:tabs>
              <w:jc w:val="center"/>
              <w:rPr>
                <w:sz w:val="22"/>
                <w:szCs w:val="22"/>
              </w:rPr>
            </w:pPr>
          </w:p>
        </w:tc>
        <w:tc>
          <w:tcPr>
            <w:tcW w:w="1145" w:type="dxa"/>
          </w:tcPr>
          <w:p w:rsidR="002C6A51" w:rsidRPr="000B7170" w:rsidRDefault="002C6A51" w:rsidP="00C952CA">
            <w:pPr>
              <w:pStyle w:val="anormal0"/>
              <w:tabs>
                <w:tab w:val="left" w:pos="342"/>
              </w:tabs>
              <w:jc w:val="center"/>
              <w:rPr>
                <w:sz w:val="22"/>
                <w:szCs w:val="22"/>
              </w:rPr>
            </w:pPr>
          </w:p>
        </w:tc>
      </w:tr>
      <w:tr w:rsidR="000B7170" w:rsidRPr="000B7170" w:rsidTr="00D7318E">
        <w:tc>
          <w:tcPr>
            <w:tcW w:w="872" w:type="dxa"/>
            <w:shd w:val="clear" w:color="auto" w:fill="auto"/>
          </w:tcPr>
          <w:p w:rsidR="002C6A51" w:rsidRPr="000B7170" w:rsidRDefault="002C6A51" w:rsidP="00C952CA">
            <w:pPr>
              <w:pStyle w:val="anormal0"/>
              <w:tabs>
                <w:tab w:val="left" w:pos="342"/>
              </w:tabs>
              <w:rPr>
                <w:sz w:val="22"/>
                <w:szCs w:val="22"/>
              </w:rPr>
            </w:pPr>
            <w:r w:rsidRPr="000B7170">
              <w:rPr>
                <w:sz w:val="22"/>
                <w:szCs w:val="22"/>
              </w:rPr>
              <w:t>2004</w:t>
            </w:r>
          </w:p>
        </w:tc>
        <w:tc>
          <w:tcPr>
            <w:tcW w:w="1137" w:type="dxa"/>
            <w:shd w:val="clear" w:color="auto" w:fill="auto"/>
          </w:tcPr>
          <w:p w:rsidR="002C6A51" w:rsidRPr="000B7170" w:rsidRDefault="002C6A51" w:rsidP="00C952CA">
            <w:pPr>
              <w:pStyle w:val="anormal0"/>
              <w:tabs>
                <w:tab w:val="left" w:pos="342"/>
              </w:tabs>
              <w:jc w:val="center"/>
              <w:rPr>
                <w:sz w:val="22"/>
                <w:szCs w:val="22"/>
              </w:rPr>
            </w:pPr>
            <w:r w:rsidRPr="000B7170">
              <w:rPr>
                <w:sz w:val="22"/>
                <w:szCs w:val="22"/>
              </w:rPr>
              <w:t>51</w:t>
            </w:r>
          </w:p>
        </w:tc>
        <w:tc>
          <w:tcPr>
            <w:tcW w:w="1672" w:type="dxa"/>
            <w:shd w:val="clear" w:color="auto" w:fill="auto"/>
          </w:tcPr>
          <w:p w:rsidR="002C6A51" w:rsidRPr="000B7170" w:rsidRDefault="002C6A51" w:rsidP="00C952CA">
            <w:pPr>
              <w:pStyle w:val="anormal0"/>
              <w:tabs>
                <w:tab w:val="left" w:pos="342"/>
              </w:tabs>
              <w:jc w:val="center"/>
              <w:rPr>
                <w:sz w:val="22"/>
                <w:szCs w:val="22"/>
              </w:rPr>
            </w:pPr>
          </w:p>
        </w:tc>
        <w:tc>
          <w:tcPr>
            <w:tcW w:w="1145" w:type="dxa"/>
          </w:tcPr>
          <w:p w:rsidR="002C6A51" w:rsidRPr="000B7170" w:rsidRDefault="002C6A51" w:rsidP="00C952CA">
            <w:pPr>
              <w:pStyle w:val="anormal0"/>
              <w:tabs>
                <w:tab w:val="left" w:pos="342"/>
              </w:tabs>
              <w:jc w:val="center"/>
              <w:rPr>
                <w:sz w:val="22"/>
                <w:szCs w:val="22"/>
              </w:rPr>
            </w:pPr>
          </w:p>
        </w:tc>
      </w:tr>
      <w:tr w:rsidR="000B7170" w:rsidRPr="000B7170" w:rsidTr="00D7318E">
        <w:tc>
          <w:tcPr>
            <w:tcW w:w="872" w:type="dxa"/>
            <w:shd w:val="clear" w:color="auto" w:fill="auto"/>
          </w:tcPr>
          <w:p w:rsidR="002C6A51" w:rsidRPr="000B7170" w:rsidRDefault="002C6A51" w:rsidP="00C952CA">
            <w:pPr>
              <w:pStyle w:val="anormal0"/>
              <w:tabs>
                <w:tab w:val="left" w:pos="342"/>
              </w:tabs>
              <w:rPr>
                <w:sz w:val="22"/>
                <w:szCs w:val="22"/>
              </w:rPr>
            </w:pPr>
            <w:r w:rsidRPr="000B7170">
              <w:rPr>
                <w:sz w:val="22"/>
                <w:szCs w:val="22"/>
              </w:rPr>
              <w:t>2005</w:t>
            </w:r>
          </w:p>
        </w:tc>
        <w:tc>
          <w:tcPr>
            <w:tcW w:w="1137" w:type="dxa"/>
            <w:shd w:val="clear" w:color="auto" w:fill="auto"/>
          </w:tcPr>
          <w:p w:rsidR="002C6A51" w:rsidRPr="000B7170" w:rsidRDefault="002C6A51" w:rsidP="00C952CA">
            <w:pPr>
              <w:pStyle w:val="anormal0"/>
              <w:tabs>
                <w:tab w:val="left" w:pos="342"/>
              </w:tabs>
              <w:jc w:val="center"/>
              <w:rPr>
                <w:sz w:val="22"/>
                <w:szCs w:val="22"/>
              </w:rPr>
            </w:pPr>
            <w:r w:rsidRPr="000B7170">
              <w:rPr>
                <w:sz w:val="22"/>
                <w:szCs w:val="22"/>
              </w:rPr>
              <w:t>35</w:t>
            </w:r>
          </w:p>
        </w:tc>
        <w:tc>
          <w:tcPr>
            <w:tcW w:w="1672" w:type="dxa"/>
            <w:shd w:val="clear" w:color="auto" w:fill="auto"/>
          </w:tcPr>
          <w:p w:rsidR="002C6A51" w:rsidRPr="000B7170" w:rsidRDefault="002C6A51" w:rsidP="00C952CA">
            <w:pPr>
              <w:pStyle w:val="anormal0"/>
              <w:tabs>
                <w:tab w:val="left" w:pos="342"/>
              </w:tabs>
              <w:jc w:val="center"/>
              <w:rPr>
                <w:sz w:val="22"/>
                <w:szCs w:val="22"/>
              </w:rPr>
            </w:pPr>
          </w:p>
        </w:tc>
        <w:tc>
          <w:tcPr>
            <w:tcW w:w="1145" w:type="dxa"/>
          </w:tcPr>
          <w:p w:rsidR="002C6A51" w:rsidRPr="000B7170" w:rsidRDefault="002C6A51" w:rsidP="00C952CA">
            <w:pPr>
              <w:pStyle w:val="anormal0"/>
              <w:tabs>
                <w:tab w:val="left" w:pos="342"/>
              </w:tabs>
              <w:jc w:val="center"/>
              <w:rPr>
                <w:sz w:val="22"/>
                <w:szCs w:val="22"/>
              </w:rPr>
            </w:pPr>
          </w:p>
        </w:tc>
      </w:tr>
      <w:tr w:rsidR="000B7170" w:rsidRPr="000B7170" w:rsidTr="00D7318E">
        <w:tc>
          <w:tcPr>
            <w:tcW w:w="872" w:type="dxa"/>
            <w:shd w:val="clear" w:color="auto" w:fill="auto"/>
          </w:tcPr>
          <w:p w:rsidR="002C6A51" w:rsidRPr="000B7170" w:rsidRDefault="002C6A51" w:rsidP="00C952CA">
            <w:pPr>
              <w:pStyle w:val="anormal0"/>
              <w:tabs>
                <w:tab w:val="left" w:pos="342"/>
              </w:tabs>
              <w:rPr>
                <w:sz w:val="22"/>
                <w:szCs w:val="22"/>
              </w:rPr>
            </w:pPr>
            <w:r w:rsidRPr="000B7170">
              <w:rPr>
                <w:sz w:val="22"/>
                <w:szCs w:val="22"/>
              </w:rPr>
              <w:t>2006</w:t>
            </w:r>
          </w:p>
        </w:tc>
        <w:tc>
          <w:tcPr>
            <w:tcW w:w="1137" w:type="dxa"/>
            <w:shd w:val="clear" w:color="auto" w:fill="auto"/>
          </w:tcPr>
          <w:p w:rsidR="002C6A51" w:rsidRPr="000B7170" w:rsidRDefault="002C6A51" w:rsidP="00C952CA">
            <w:pPr>
              <w:pStyle w:val="anormal0"/>
              <w:tabs>
                <w:tab w:val="left" w:pos="342"/>
              </w:tabs>
              <w:jc w:val="center"/>
              <w:rPr>
                <w:sz w:val="22"/>
                <w:szCs w:val="22"/>
              </w:rPr>
            </w:pPr>
            <w:r w:rsidRPr="000B7170">
              <w:rPr>
                <w:sz w:val="22"/>
                <w:szCs w:val="22"/>
              </w:rPr>
              <w:t>22</w:t>
            </w:r>
          </w:p>
        </w:tc>
        <w:tc>
          <w:tcPr>
            <w:tcW w:w="1672" w:type="dxa"/>
            <w:shd w:val="clear" w:color="auto" w:fill="auto"/>
          </w:tcPr>
          <w:p w:rsidR="002C6A51" w:rsidRPr="000B7170" w:rsidRDefault="002C6A51" w:rsidP="00C952CA">
            <w:pPr>
              <w:pStyle w:val="anormal0"/>
              <w:tabs>
                <w:tab w:val="left" w:pos="342"/>
              </w:tabs>
              <w:jc w:val="center"/>
              <w:rPr>
                <w:sz w:val="22"/>
                <w:szCs w:val="22"/>
              </w:rPr>
            </w:pPr>
          </w:p>
        </w:tc>
        <w:tc>
          <w:tcPr>
            <w:tcW w:w="1145" w:type="dxa"/>
          </w:tcPr>
          <w:p w:rsidR="002C6A51" w:rsidRPr="000B7170" w:rsidRDefault="002C6A51" w:rsidP="00C952CA">
            <w:pPr>
              <w:pStyle w:val="anormal0"/>
              <w:tabs>
                <w:tab w:val="left" w:pos="342"/>
              </w:tabs>
              <w:jc w:val="center"/>
              <w:rPr>
                <w:sz w:val="22"/>
                <w:szCs w:val="22"/>
              </w:rPr>
            </w:pPr>
          </w:p>
        </w:tc>
      </w:tr>
      <w:tr w:rsidR="000B7170" w:rsidRPr="000B7170" w:rsidTr="00D7318E">
        <w:tc>
          <w:tcPr>
            <w:tcW w:w="872" w:type="dxa"/>
            <w:shd w:val="clear" w:color="auto" w:fill="auto"/>
          </w:tcPr>
          <w:p w:rsidR="002C6A51" w:rsidRPr="000B7170" w:rsidRDefault="002C6A51" w:rsidP="002C6A51">
            <w:pPr>
              <w:pStyle w:val="anormal0"/>
              <w:tabs>
                <w:tab w:val="left" w:pos="342"/>
              </w:tabs>
              <w:rPr>
                <w:sz w:val="22"/>
                <w:szCs w:val="22"/>
              </w:rPr>
            </w:pPr>
            <w:r w:rsidRPr="000B7170">
              <w:rPr>
                <w:sz w:val="22"/>
                <w:szCs w:val="22"/>
              </w:rPr>
              <w:t>2007</w:t>
            </w:r>
          </w:p>
        </w:tc>
        <w:tc>
          <w:tcPr>
            <w:tcW w:w="1137" w:type="dxa"/>
            <w:shd w:val="clear" w:color="auto" w:fill="auto"/>
          </w:tcPr>
          <w:p w:rsidR="002C6A51" w:rsidRPr="000B7170" w:rsidRDefault="002C6A51" w:rsidP="002C6A51">
            <w:pPr>
              <w:pStyle w:val="anormal0"/>
              <w:tabs>
                <w:tab w:val="left" w:pos="342"/>
              </w:tabs>
              <w:jc w:val="center"/>
              <w:rPr>
                <w:sz w:val="22"/>
                <w:szCs w:val="22"/>
              </w:rPr>
            </w:pPr>
            <w:r w:rsidRPr="000B7170">
              <w:rPr>
                <w:sz w:val="22"/>
                <w:szCs w:val="22"/>
              </w:rPr>
              <w:t>21</w:t>
            </w:r>
          </w:p>
        </w:tc>
        <w:tc>
          <w:tcPr>
            <w:tcW w:w="1672" w:type="dxa"/>
            <w:shd w:val="clear" w:color="auto" w:fill="auto"/>
          </w:tcPr>
          <w:p w:rsidR="002C6A51" w:rsidRPr="000B7170" w:rsidRDefault="002C6A51" w:rsidP="002C6A51">
            <w:pPr>
              <w:pStyle w:val="anormal0"/>
              <w:tabs>
                <w:tab w:val="left" w:pos="342"/>
              </w:tabs>
              <w:jc w:val="center"/>
              <w:rPr>
                <w:sz w:val="22"/>
                <w:szCs w:val="22"/>
              </w:rPr>
            </w:pPr>
          </w:p>
        </w:tc>
        <w:tc>
          <w:tcPr>
            <w:tcW w:w="1145" w:type="dxa"/>
          </w:tcPr>
          <w:p w:rsidR="002C6A51" w:rsidRPr="000B7170" w:rsidRDefault="002C6A51" w:rsidP="002C6A51">
            <w:pPr>
              <w:pStyle w:val="anormal0"/>
              <w:tabs>
                <w:tab w:val="left" w:pos="342"/>
              </w:tabs>
              <w:jc w:val="center"/>
              <w:rPr>
                <w:sz w:val="22"/>
                <w:szCs w:val="22"/>
              </w:rPr>
            </w:pPr>
          </w:p>
        </w:tc>
      </w:tr>
      <w:tr w:rsidR="000B7170" w:rsidRPr="000B7170" w:rsidTr="00D7318E">
        <w:tc>
          <w:tcPr>
            <w:tcW w:w="872" w:type="dxa"/>
            <w:shd w:val="clear" w:color="auto" w:fill="auto"/>
          </w:tcPr>
          <w:p w:rsidR="002C6A51" w:rsidRPr="000B7170" w:rsidRDefault="002C6A51" w:rsidP="002C6A51">
            <w:pPr>
              <w:pStyle w:val="anormal0"/>
              <w:tabs>
                <w:tab w:val="left" w:pos="342"/>
              </w:tabs>
              <w:rPr>
                <w:sz w:val="22"/>
                <w:szCs w:val="22"/>
              </w:rPr>
            </w:pPr>
            <w:r w:rsidRPr="000B7170">
              <w:rPr>
                <w:sz w:val="22"/>
                <w:szCs w:val="22"/>
              </w:rPr>
              <w:t>2008</w:t>
            </w:r>
          </w:p>
        </w:tc>
        <w:tc>
          <w:tcPr>
            <w:tcW w:w="1137" w:type="dxa"/>
            <w:shd w:val="clear" w:color="auto" w:fill="auto"/>
          </w:tcPr>
          <w:p w:rsidR="002C6A51" w:rsidRPr="000B7170" w:rsidRDefault="002C6A51" w:rsidP="002C6A51">
            <w:pPr>
              <w:pStyle w:val="anormal0"/>
              <w:tabs>
                <w:tab w:val="left" w:pos="342"/>
              </w:tabs>
              <w:jc w:val="center"/>
              <w:rPr>
                <w:sz w:val="22"/>
                <w:szCs w:val="22"/>
              </w:rPr>
            </w:pPr>
            <w:r w:rsidRPr="000B7170">
              <w:rPr>
                <w:sz w:val="22"/>
                <w:szCs w:val="22"/>
              </w:rPr>
              <w:t>22</w:t>
            </w:r>
          </w:p>
        </w:tc>
        <w:tc>
          <w:tcPr>
            <w:tcW w:w="1672" w:type="dxa"/>
            <w:shd w:val="clear" w:color="auto" w:fill="auto"/>
          </w:tcPr>
          <w:p w:rsidR="002C6A51" w:rsidRPr="000B7170" w:rsidRDefault="002C6A51" w:rsidP="002C6A51">
            <w:pPr>
              <w:pStyle w:val="anormal0"/>
              <w:tabs>
                <w:tab w:val="left" w:pos="342"/>
              </w:tabs>
              <w:jc w:val="center"/>
              <w:rPr>
                <w:sz w:val="22"/>
                <w:szCs w:val="22"/>
              </w:rPr>
            </w:pPr>
          </w:p>
        </w:tc>
        <w:tc>
          <w:tcPr>
            <w:tcW w:w="1145" w:type="dxa"/>
          </w:tcPr>
          <w:p w:rsidR="002C6A51" w:rsidRPr="000B7170" w:rsidRDefault="002C6A51" w:rsidP="002C6A51">
            <w:pPr>
              <w:pStyle w:val="anormal0"/>
              <w:tabs>
                <w:tab w:val="left" w:pos="342"/>
              </w:tabs>
              <w:jc w:val="center"/>
              <w:rPr>
                <w:sz w:val="22"/>
                <w:szCs w:val="22"/>
              </w:rPr>
            </w:pPr>
          </w:p>
        </w:tc>
      </w:tr>
      <w:tr w:rsidR="000B7170" w:rsidRPr="000B7170" w:rsidTr="00D7318E">
        <w:tc>
          <w:tcPr>
            <w:tcW w:w="872" w:type="dxa"/>
            <w:shd w:val="clear" w:color="auto" w:fill="auto"/>
          </w:tcPr>
          <w:p w:rsidR="002C6A51" w:rsidRPr="000B7170" w:rsidRDefault="002C6A51" w:rsidP="002C6A51">
            <w:pPr>
              <w:pStyle w:val="anormal0"/>
              <w:tabs>
                <w:tab w:val="left" w:pos="342"/>
              </w:tabs>
              <w:rPr>
                <w:sz w:val="22"/>
                <w:szCs w:val="22"/>
              </w:rPr>
            </w:pPr>
            <w:r w:rsidRPr="000B7170">
              <w:rPr>
                <w:sz w:val="22"/>
                <w:szCs w:val="22"/>
              </w:rPr>
              <w:t>2009</w:t>
            </w:r>
          </w:p>
        </w:tc>
        <w:tc>
          <w:tcPr>
            <w:tcW w:w="1137" w:type="dxa"/>
            <w:shd w:val="clear" w:color="auto" w:fill="auto"/>
          </w:tcPr>
          <w:p w:rsidR="002C6A51" w:rsidRPr="000B7170" w:rsidRDefault="002C6A51" w:rsidP="002C6A51">
            <w:pPr>
              <w:pStyle w:val="anormal0"/>
              <w:tabs>
                <w:tab w:val="left" w:pos="342"/>
              </w:tabs>
              <w:jc w:val="center"/>
              <w:rPr>
                <w:sz w:val="22"/>
                <w:szCs w:val="22"/>
              </w:rPr>
            </w:pPr>
            <w:r w:rsidRPr="000B7170">
              <w:rPr>
                <w:sz w:val="22"/>
                <w:szCs w:val="22"/>
              </w:rPr>
              <w:t>26</w:t>
            </w:r>
          </w:p>
        </w:tc>
        <w:tc>
          <w:tcPr>
            <w:tcW w:w="1672" w:type="dxa"/>
            <w:shd w:val="clear" w:color="auto" w:fill="auto"/>
          </w:tcPr>
          <w:p w:rsidR="002C6A51" w:rsidRPr="000B7170" w:rsidRDefault="002C6A51" w:rsidP="002C6A51">
            <w:pPr>
              <w:pStyle w:val="anormal0"/>
              <w:tabs>
                <w:tab w:val="left" w:pos="342"/>
              </w:tabs>
              <w:jc w:val="center"/>
              <w:rPr>
                <w:sz w:val="22"/>
                <w:szCs w:val="22"/>
              </w:rPr>
            </w:pPr>
          </w:p>
        </w:tc>
        <w:tc>
          <w:tcPr>
            <w:tcW w:w="1145" w:type="dxa"/>
          </w:tcPr>
          <w:p w:rsidR="002C6A51" w:rsidRPr="000B7170" w:rsidRDefault="002C6A51" w:rsidP="002C6A51">
            <w:pPr>
              <w:pStyle w:val="anormal0"/>
              <w:tabs>
                <w:tab w:val="left" w:pos="342"/>
              </w:tabs>
              <w:jc w:val="center"/>
              <w:rPr>
                <w:sz w:val="22"/>
                <w:szCs w:val="22"/>
              </w:rPr>
            </w:pPr>
          </w:p>
        </w:tc>
      </w:tr>
      <w:tr w:rsidR="000B7170" w:rsidRPr="000B7170" w:rsidTr="00D7318E">
        <w:tc>
          <w:tcPr>
            <w:tcW w:w="872" w:type="dxa"/>
            <w:shd w:val="clear" w:color="auto" w:fill="auto"/>
          </w:tcPr>
          <w:p w:rsidR="002C6A51" w:rsidRPr="000B7170" w:rsidRDefault="002C6A51" w:rsidP="002C6A51">
            <w:pPr>
              <w:pStyle w:val="anormal0"/>
              <w:tabs>
                <w:tab w:val="left" w:pos="342"/>
              </w:tabs>
              <w:rPr>
                <w:sz w:val="22"/>
                <w:szCs w:val="22"/>
              </w:rPr>
            </w:pPr>
            <w:r w:rsidRPr="000B7170">
              <w:rPr>
                <w:sz w:val="22"/>
                <w:szCs w:val="22"/>
              </w:rPr>
              <w:t>2010</w:t>
            </w:r>
          </w:p>
        </w:tc>
        <w:tc>
          <w:tcPr>
            <w:tcW w:w="1137" w:type="dxa"/>
            <w:shd w:val="clear" w:color="auto" w:fill="auto"/>
          </w:tcPr>
          <w:p w:rsidR="002C6A51" w:rsidRPr="000B7170" w:rsidRDefault="002C6A51" w:rsidP="002C6A51">
            <w:pPr>
              <w:pStyle w:val="anormal0"/>
              <w:tabs>
                <w:tab w:val="left" w:pos="342"/>
              </w:tabs>
              <w:jc w:val="center"/>
              <w:rPr>
                <w:sz w:val="22"/>
                <w:szCs w:val="22"/>
              </w:rPr>
            </w:pPr>
            <w:r w:rsidRPr="000B7170">
              <w:rPr>
                <w:sz w:val="22"/>
                <w:szCs w:val="22"/>
              </w:rPr>
              <w:t>26</w:t>
            </w:r>
          </w:p>
        </w:tc>
        <w:tc>
          <w:tcPr>
            <w:tcW w:w="1672" w:type="dxa"/>
            <w:shd w:val="clear" w:color="auto" w:fill="auto"/>
          </w:tcPr>
          <w:p w:rsidR="002C6A51" w:rsidRPr="000B7170" w:rsidRDefault="002C6A51" w:rsidP="002C6A51">
            <w:pPr>
              <w:pStyle w:val="anormal0"/>
              <w:tabs>
                <w:tab w:val="left" w:pos="342"/>
              </w:tabs>
              <w:jc w:val="center"/>
              <w:rPr>
                <w:sz w:val="22"/>
                <w:szCs w:val="22"/>
              </w:rPr>
            </w:pPr>
            <w:r w:rsidRPr="000B7170">
              <w:rPr>
                <w:sz w:val="22"/>
                <w:szCs w:val="22"/>
              </w:rPr>
              <w:t>8</w:t>
            </w:r>
          </w:p>
        </w:tc>
        <w:tc>
          <w:tcPr>
            <w:tcW w:w="1145" w:type="dxa"/>
          </w:tcPr>
          <w:p w:rsidR="002C6A51" w:rsidRPr="000B7170" w:rsidRDefault="002C6A51" w:rsidP="002C6A51">
            <w:pPr>
              <w:pStyle w:val="anormal0"/>
              <w:tabs>
                <w:tab w:val="left" w:pos="342"/>
              </w:tabs>
              <w:jc w:val="center"/>
              <w:rPr>
                <w:sz w:val="22"/>
                <w:szCs w:val="22"/>
              </w:rPr>
            </w:pPr>
          </w:p>
        </w:tc>
      </w:tr>
      <w:tr w:rsidR="000B7170" w:rsidRPr="000B7170" w:rsidTr="00D7318E">
        <w:tc>
          <w:tcPr>
            <w:tcW w:w="872" w:type="dxa"/>
            <w:shd w:val="clear" w:color="auto" w:fill="auto"/>
          </w:tcPr>
          <w:p w:rsidR="002C6A51" w:rsidRPr="000B7170" w:rsidRDefault="002C6A51" w:rsidP="002C6A51">
            <w:pPr>
              <w:pStyle w:val="anormal0"/>
              <w:tabs>
                <w:tab w:val="left" w:pos="342"/>
              </w:tabs>
              <w:rPr>
                <w:sz w:val="22"/>
                <w:szCs w:val="22"/>
              </w:rPr>
            </w:pPr>
            <w:r w:rsidRPr="000B7170">
              <w:rPr>
                <w:sz w:val="22"/>
                <w:szCs w:val="22"/>
              </w:rPr>
              <w:t>2011</w:t>
            </w:r>
          </w:p>
        </w:tc>
        <w:tc>
          <w:tcPr>
            <w:tcW w:w="1137" w:type="dxa"/>
            <w:shd w:val="clear" w:color="auto" w:fill="auto"/>
          </w:tcPr>
          <w:p w:rsidR="002C6A51" w:rsidRPr="000B7170" w:rsidRDefault="002C6A51" w:rsidP="002C6A51">
            <w:pPr>
              <w:pStyle w:val="anormal0"/>
              <w:tabs>
                <w:tab w:val="left" w:pos="342"/>
              </w:tabs>
              <w:jc w:val="center"/>
              <w:rPr>
                <w:sz w:val="22"/>
                <w:szCs w:val="22"/>
              </w:rPr>
            </w:pPr>
            <w:r w:rsidRPr="000B7170">
              <w:rPr>
                <w:sz w:val="22"/>
                <w:szCs w:val="22"/>
              </w:rPr>
              <w:t>28</w:t>
            </w:r>
          </w:p>
        </w:tc>
        <w:tc>
          <w:tcPr>
            <w:tcW w:w="1672" w:type="dxa"/>
            <w:shd w:val="clear" w:color="auto" w:fill="auto"/>
          </w:tcPr>
          <w:p w:rsidR="002C6A51" w:rsidRPr="000B7170" w:rsidRDefault="002C6A51" w:rsidP="002C6A51">
            <w:pPr>
              <w:pStyle w:val="anormal0"/>
              <w:tabs>
                <w:tab w:val="left" w:pos="342"/>
              </w:tabs>
              <w:jc w:val="center"/>
              <w:rPr>
                <w:sz w:val="22"/>
                <w:szCs w:val="22"/>
              </w:rPr>
            </w:pPr>
            <w:r w:rsidRPr="000B7170">
              <w:rPr>
                <w:sz w:val="22"/>
                <w:szCs w:val="22"/>
              </w:rPr>
              <w:t>11</w:t>
            </w:r>
          </w:p>
        </w:tc>
        <w:tc>
          <w:tcPr>
            <w:tcW w:w="1145" w:type="dxa"/>
          </w:tcPr>
          <w:p w:rsidR="002C6A51" w:rsidRPr="000B7170" w:rsidRDefault="002C6A51" w:rsidP="002C6A51">
            <w:pPr>
              <w:pStyle w:val="anormal0"/>
              <w:tabs>
                <w:tab w:val="left" w:pos="342"/>
              </w:tabs>
              <w:jc w:val="center"/>
              <w:rPr>
                <w:sz w:val="22"/>
                <w:szCs w:val="22"/>
              </w:rPr>
            </w:pPr>
          </w:p>
        </w:tc>
      </w:tr>
      <w:tr w:rsidR="000B7170" w:rsidRPr="000B7170" w:rsidTr="00D7318E">
        <w:tc>
          <w:tcPr>
            <w:tcW w:w="872" w:type="dxa"/>
            <w:shd w:val="clear" w:color="auto" w:fill="auto"/>
          </w:tcPr>
          <w:p w:rsidR="002C6A51" w:rsidRPr="000B7170" w:rsidRDefault="002C6A51" w:rsidP="002C6A51">
            <w:pPr>
              <w:pStyle w:val="anormal0"/>
              <w:tabs>
                <w:tab w:val="left" w:pos="342"/>
              </w:tabs>
              <w:rPr>
                <w:sz w:val="22"/>
                <w:szCs w:val="22"/>
              </w:rPr>
            </w:pPr>
            <w:r w:rsidRPr="000B7170">
              <w:rPr>
                <w:sz w:val="22"/>
                <w:szCs w:val="22"/>
              </w:rPr>
              <w:t>2012</w:t>
            </w:r>
          </w:p>
        </w:tc>
        <w:tc>
          <w:tcPr>
            <w:tcW w:w="1137" w:type="dxa"/>
            <w:shd w:val="clear" w:color="auto" w:fill="auto"/>
          </w:tcPr>
          <w:p w:rsidR="002C6A51" w:rsidRPr="000B7170" w:rsidRDefault="002C6A51" w:rsidP="002C6A51">
            <w:pPr>
              <w:pStyle w:val="anormal0"/>
              <w:tabs>
                <w:tab w:val="left" w:pos="342"/>
              </w:tabs>
              <w:jc w:val="center"/>
              <w:rPr>
                <w:sz w:val="22"/>
                <w:szCs w:val="22"/>
              </w:rPr>
            </w:pPr>
            <w:r w:rsidRPr="000B7170">
              <w:rPr>
                <w:sz w:val="22"/>
                <w:szCs w:val="22"/>
              </w:rPr>
              <w:t>14</w:t>
            </w:r>
          </w:p>
        </w:tc>
        <w:tc>
          <w:tcPr>
            <w:tcW w:w="1672" w:type="dxa"/>
            <w:shd w:val="clear" w:color="auto" w:fill="auto"/>
          </w:tcPr>
          <w:p w:rsidR="002C6A51" w:rsidRPr="000B7170" w:rsidRDefault="002C6A51" w:rsidP="002C6A51">
            <w:pPr>
              <w:pStyle w:val="anormal0"/>
              <w:tabs>
                <w:tab w:val="left" w:pos="342"/>
              </w:tabs>
              <w:jc w:val="center"/>
              <w:rPr>
                <w:sz w:val="22"/>
                <w:szCs w:val="22"/>
              </w:rPr>
            </w:pPr>
            <w:r w:rsidRPr="000B7170">
              <w:rPr>
                <w:sz w:val="22"/>
                <w:szCs w:val="22"/>
              </w:rPr>
              <w:t>11</w:t>
            </w:r>
          </w:p>
        </w:tc>
        <w:tc>
          <w:tcPr>
            <w:tcW w:w="1145" w:type="dxa"/>
          </w:tcPr>
          <w:p w:rsidR="002C6A51" w:rsidRPr="000B7170" w:rsidRDefault="002C6A51" w:rsidP="002C6A51">
            <w:pPr>
              <w:pStyle w:val="anormal0"/>
              <w:tabs>
                <w:tab w:val="left" w:pos="342"/>
              </w:tabs>
              <w:jc w:val="center"/>
              <w:rPr>
                <w:sz w:val="22"/>
                <w:szCs w:val="22"/>
              </w:rPr>
            </w:pPr>
          </w:p>
        </w:tc>
      </w:tr>
      <w:tr w:rsidR="000B7170" w:rsidRPr="000B7170" w:rsidTr="00D7318E">
        <w:tc>
          <w:tcPr>
            <w:tcW w:w="872" w:type="dxa"/>
            <w:shd w:val="clear" w:color="auto" w:fill="auto"/>
          </w:tcPr>
          <w:p w:rsidR="002C6A51" w:rsidRPr="000B7170" w:rsidRDefault="002C6A51" w:rsidP="002C6A51">
            <w:pPr>
              <w:pStyle w:val="anormal0"/>
              <w:tabs>
                <w:tab w:val="left" w:pos="342"/>
              </w:tabs>
              <w:rPr>
                <w:sz w:val="22"/>
                <w:szCs w:val="22"/>
              </w:rPr>
            </w:pPr>
            <w:r w:rsidRPr="000B7170">
              <w:rPr>
                <w:sz w:val="22"/>
                <w:szCs w:val="22"/>
              </w:rPr>
              <w:t>2013</w:t>
            </w:r>
          </w:p>
        </w:tc>
        <w:tc>
          <w:tcPr>
            <w:tcW w:w="1137" w:type="dxa"/>
            <w:shd w:val="clear" w:color="auto" w:fill="auto"/>
          </w:tcPr>
          <w:p w:rsidR="002C6A51" w:rsidRPr="000B7170" w:rsidRDefault="002C6A51" w:rsidP="002C6A51">
            <w:pPr>
              <w:pStyle w:val="anormal0"/>
              <w:tabs>
                <w:tab w:val="left" w:pos="342"/>
              </w:tabs>
              <w:jc w:val="center"/>
              <w:rPr>
                <w:sz w:val="22"/>
                <w:szCs w:val="22"/>
              </w:rPr>
            </w:pPr>
            <w:r w:rsidRPr="000B7170">
              <w:rPr>
                <w:sz w:val="22"/>
                <w:szCs w:val="22"/>
              </w:rPr>
              <w:t>18</w:t>
            </w:r>
          </w:p>
        </w:tc>
        <w:tc>
          <w:tcPr>
            <w:tcW w:w="1672" w:type="dxa"/>
            <w:shd w:val="clear" w:color="auto" w:fill="auto"/>
          </w:tcPr>
          <w:p w:rsidR="002C6A51" w:rsidRPr="000B7170" w:rsidRDefault="002C6A51" w:rsidP="002C6A51">
            <w:pPr>
              <w:pStyle w:val="anormal0"/>
              <w:tabs>
                <w:tab w:val="left" w:pos="342"/>
              </w:tabs>
              <w:jc w:val="center"/>
              <w:rPr>
                <w:sz w:val="22"/>
                <w:szCs w:val="22"/>
              </w:rPr>
            </w:pPr>
            <w:r w:rsidRPr="000B7170">
              <w:rPr>
                <w:sz w:val="22"/>
                <w:szCs w:val="22"/>
              </w:rPr>
              <w:t>6</w:t>
            </w:r>
          </w:p>
        </w:tc>
        <w:tc>
          <w:tcPr>
            <w:tcW w:w="1145" w:type="dxa"/>
          </w:tcPr>
          <w:p w:rsidR="002C6A51" w:rsidRPr="000B7170" w:rsidRDefault="002C6A51" w:rsidP="002C6A51">
            <w:pPr>
              <w:pStyle w:val="anormal0"/>
              <w:tabs>
                <w:tab w:val="left" w:pos="342"/>
              </w:tabs>
              <w:jc w:val="center"/>
              <w:rPr>
                <w:sz w:val="22"/>
                <w:szCs w:val="22"/>
              </w:rPr>
            </w:pPr>
          </w:p>
        </w:tc>
      </w:tr>
      <w:tr w:rsidR="000B7170" w:rsidRPr="000B7170" w:rsidTr="00D7318E">
        <w:tc>
          <w:tcPr>
            <w:tcW w:w="872" w:type="dxa"/>
            <w:shd w:val="clear" w:color="auto" w:fill="auto"/>
          </w:tcPr>
          <w:p w:rsidR="002C6A51" w:rsidRPr="000B7170" w:rsidRDefault="002C6A51" w:rsidP="002C6A51">
            <w:pPr>
              <w:pStyle w:val="anormal0"/>
              <w:tabs>
                <w:tab w:val="left" w:pos="342"/>
              </w:tabs>
              <w:rPr>
                <w:sz w:val="22"/>
                <w:szCs w:val="22"/>
              </w:rPr>
            </w:pPr>
            <w:r w:rsidRPr="000B7170">
              <w:rPr>
                <w:sz w:val="22"/>
                <w:szCs w:val="22"/>
              </w:rPr>
              <w:t>2014</w:t>
            </w:r>
          </w:p>
        </w:tc>
        <w:tc>
          <w:tcPr>
            <w:tcW w:w="1137" w:type="dxa"/>
            <w:shd w:val="clear" w:color="auto" w:fill="auto"/>
          </w:tcPr>
          <w:p w:rsidR="002C6A51" w:rsidRPr="000B7170" w:rsidRDefault="002C6A51" w:rsidP="002C6A51">
            <w:pPr>
              <w:pStyle w:val="anormal0"/>
              <w:tabs>
                <w:tab w:val="left" w:pos="342"/>
              </w:tabs>
              <w:jc w:val="center"/>
              <w:rPr>
                <w:sz w:val="22"/>
                <w:szCs w:val="22"/>
              </w:rPr>
            </w:pPr>
            <w:r w:rsidRPr="000B7170">
              <w:rPr>
                <w:sz w:val="22"/>
                <w:szCs w:val="22"/>
              </w:rPr>
              <w:t>19</w:t>
            </w:r>
          </w:p>
        </w:tc>
        <w:tc>
          <w:tcPr>
            <w:tcW w:w="1672" w:type="dxa"/>
            <w:shd w:val="clear" w:color="auto" w:fill="auto"/>
          </w:tcPr>
          <w:p w:rsidR="002C6A51" w:rsidRPr="000B7170" w:rsidRDefault="002C6A51" w:rsidP="002C6A51">
            <w:pPr>
              <w:pStyle w:val="anormal0"/>
              <w:tabs>
                <w:tab w:val="left" w:pos="342"/>
              </w:tabs>
              <w:jc w:val="center"/>
              <w:rPr>
                <w:sz w:val="22"/>
                <w:szCs w:val="22"/>
              </w:rPr>
            </w:pPr>
            <w:r w:rsidRPr="000B7170">
              <w:rPr>
                <w:sz w:val="22"/>
                <w:szCs w:val="22"/>
              </w:rPr>
              <w:t>5</w:t>
            </w:r>
          </w:p>
        </w:tc>
        <w:tc>
          <w:tcPr>
            <w:tcW w:w="1145" w:type="dxa"/>
          </w:tcPr>
          <w:p w:rsidR="002C6A51" w:rsidRPr="000B7170" w:rsidRDefault="002C6A51" w:rsidP="002C6A51">
            <w:pPr>
              <w:pStyle w:val="anormal0"/>
              <w:tabs>
                <w:tab w:val="left" w:pos="342"/>
              </w:tabs>
              <w:jc w:val="center"/>
              <w:rPr>
                <w:sz w:val="22"/>
                <w:szCs w:val="22"/>
              </w:rPr>
            </w:pPr>
          </w:p>
        </w:tc>
      </w:tr>
      <w:tr w:rsidR="000B7170" w:rsidRPr="000B7170" w:rsidTr="00D7318E">
        <w:tc>
          <w:tcPr>
            <w:tcW w:w="872" w:type="dxa"/>
            <w:tcBorders>
              <w:bottom w:val="single" w:sz="4" w:space="0" w:color="auto"/>
            </w:tcBorders>
            <w:shd w:val="clear" w:color="auto" w:fill="auto"/>
          </w:tcPr>
          <w:p w:rsidR="002C6A51" w:rsidRPr="000B7170" w:rsidRDefault="002C6A51" w:rsidP="002C6A51">
            <w:pPr>
              <w:pStyle w:val="anormal0"/>
              <w:tabs>
                <w:tab w:val="left" w:pos="342"/>
              </w:tabs>
              <w:rPr>
                <w:sz w:val="22"/>
                <w:szCs w:val="22"/>
              </w:rPr>
            </w:pPr>
            <w:r w:rsidRPr="000B7170">
              <w:rPr>
                <w:sz w:val="22"/>
                <w:szCs w:val="22"/>
              </w:rPr>
              <w:t>2015</w:t>
            </w:r>
          </w:p>
        </w:tc>
        <w:tc>
          <w:tcPr>
            <w:tcW w:w="1137" w:type="dxa"/>
            <w:tcBorders>
              <w:bottom w:val="single" w:sz="4" w:space="0" w:color="auto"/>
            </w:tcBorders>
            <w:shd w:val="clear" w:color="auto" w:fill="auto"/>
          </w:tcPr>
          <w:p w:rsidR="002C6A51" w:rsidRPr="000B7170" w:rsidRDefault="002C6A51" w:rsidP="002C6A51">
            <w:pPr>
              <w:pStyle w:val="anormal0"/>
              <w:tabs>
                <w:tab w:val="left" w:pos="342"/>
              </w:tabs>
              <w:jc w:val="center"/>
              <w:rPr>
                <w:sz w:val="22"/>
                <w:szCs w:val="22"/>
              </w:rPr>
            </w:pPr>
            <w:r w:rsidRPr="000B7170">
              <w:rPr>
                <w:sz w:val="22"/>
                <w:szCs w:val="22"/>
              </w:rPr>
              <w:t>12</w:t>
            </w:r>
          </w:p>
        </w:tc>
        <w:tc>
          <w:tcPr>
            <w:tcW w:w="1672" w:type="dxa"/>
            <w:tcBorders>
              <w:bottom w:val="single" w:sz="4" w:space="0" w:color="auto"/>
            </w:tcBorders>
            <w:shd w:val="clear" w:color="auto" w:fill="auto"/>
          </w:tcPr>
          <w:p w:rsidR="002C6A51" w:rsidRPr="000B7170" w:rsidRDefault="002C6A51" w:rsidP="002C6A51">
            <w:pPr>
              <w:pStyle w:val="anormal0"/>
              <w:tabs>
                <w:tab w:val="left" w:pos="342"/>
              </w:tabs>
              <w:jc w:val="center"/>
              <w:rPr>
                <w:sz w:val="22"/>
                <w:szCs w:val="22"/>
              </w:rPr>
            </w:pPr>
            <w:r w:rsidRPr="000B7170">
              <w:rPr>
                <w:sz w:val="22"/>
                <w:szCs w:val="22"/>
              </w:rPr>
              <w:t>3</w:t>
            </w:r>
          </w:p>
        </w:tc>
        <w:tc>
          <w:tcPr>
            <w:tcW w:w="1145" w:type="dxa"/>
            <w:tcBorders>
              <w:bottom w:val="single" w:sz="4" w:space="0" w:color="auto"/>
            </w:tcBorders>
          </w:tcPr>
          <w:p w:rsidR="002C6A51" w:rsidRPr="000B7170" w:rsidRDefault="002C6A51" w:rsidP="002C6A51">
            <w:pPr>
              <w:pStyle w:val="anormal0"/>
              <w:tabs>
                <w:tab w:val="left" w:pos="342"/>
              </w:tabs>
              <w:jc w:val="center"/>
              <w:rPr>
                <w:sz w:val="22"/>
                <w:szCs w:val="22"/>
              </w:rPr>
            </w:pPr>
          </w:p>
        </w:tc>
      </w:tr>
      <w:tr w:rsidR="000B7170" w:rsidRPr="000B7170" w:rsidTr="00D7318E">
        <w:tc>
          <w:tcPr>
            <w:tcW w:w="872" w:type="dxa"/>
            <w:shd w:val="clear" w:color="auto" w:fill="auto"/>
          </w:tcPr>
          <w:p w:rsidR="00D7318E" w:rsidRPr="000B7170" w:rsidRDefault="00D7318E" w:rsidP="002C6A51">
            <w:pPr>
              <w:pStyle w:val="anormal0"/>
              <w:pBdr>
                <w:between w:val="single" w:sz="4" w:space="1" w:color="auto"/>
              </w:pBdr>
              <w:tabs>
                <w:tab w:val="left" w:pos="342"/>
              </w:tabs>
              <w:rPr>
                <w:sz w:val="22"/>
                <w:szCs w:val="22"/>
              </w:rPr>
            </w:pPr>
            <w:r w:rsidRPr="000B7170">
              <w:rPr>
                <w:sz w:val="22"/>
                <w:szCs w:val="22"/>
              </w:rPr>
              <w:lastRenderedPageBreak/>
              <w:t>2016</w:t>
            </w:r>
            <w:r w:rsidR="00943A2A" w:rsidRPr="000B7170">
              <w:rPr>
                <w:rStyle w:val="Fotnotsreferens"/>
                <w:sz w:val="22"/>
                <w:szCs w:val="22"/>
              </w:rPr>
              <w:footnoteReference w:id="1"/>
            </w:r>
          </w:p>
        </w:tc>
        <w:tc>
          <w:tcPr>
            <w:tcW w:w="1137" w:type="dxa"/>
            <w:shd w:val="clear" w:color="auto" w:fill="auto"/>
          </w:tcPr>
          <w:p w:rsidR="00D7318E" w:rsidRPr="000B7170" w:rsidRDefault="00D7318E" w:rsidP="002C6A51">
            <w:pPr>
              <w:pStyle w:val="anormal0"/>
              <w:tabs>
                <w:tab w:val="left" w:pos="342"/>
              </w:tabs>
              <w:jc w:val="center"/>
              <w:rPr>
                <w:sz w:val="22"/>
                <w:szCs w:val="22"/>
              </w:rPr>
            </w:pPr>
            <w:r w:rsidRPr="000B7170">
              <w:rPr>
                <w:sz w:val="22"/>
                <w:szCs w:val="22"/>
              </w:rPr>
              <w:t>27</w:t>
            </w:r>
          </w:p>
        </w:tc>
        <w:tc>
          <w:tcPr>
            <w:tcW w:w="1672" w:type="dxa"/>
            <w:shd w:val="clear" w:color="auto" w:fill="auto"/>
          </w:tcPr>
          <w:p w:rsidR="00D7318E" w:rsidRPr="000B7170" w:rsidRDefault="00D7318E" w:rsidP="002C6A51">
            <w:pPr>
              <w:pStyle w:val="anormal0"/>
              <w:tabs>
                <w:tab w:val="left" w:pos="342"/>
              </w:tabs>
              <w:jc w:val="center"/>
              <w:rPr>
                <w:sz w:val="22"/>
                <w:szCs w:val="22"/>
              </w:rPr>
            </w:pPr>
            <w:r w:rsidRPr="000B7170">
              <w:rPr>
                <w:sz w:val="22"/>
                <w:szCs w:val="22"/>
              </w:rPr>
              <w:t>9</w:t>
            </w:r>
          </w:p>
        </w:tc>
        <w:tc>
          <w:tcPr>
            <w:tcW w:w="1145" w:type="dxa"/>
          </w:tcPr>
          <w:p w:rsidR="00D7318E" w:rsidRPr="000B7170" w:rsidRDefault="00D7318E" w:rsidP="002C6A51">
            <w:pPr>
              <w:pStyle w:val="anormal0"/>
              <w:tabs>
                <w:tab w:val="left" w:pos="342"/>
              </w:tabs>
              <w:jc w:val="center"/>
              <w:rPr>
                <w:sz w:val="22"/>
                <w:szCs w:val="22"/>
              </w:rPr>
            </w:pPr>
            <w:r w:rsidRPr="000B7170">
              <w:rPr>
                <w:sz w:val="22"/>
                <w:szCs w:val="22"/>
              </w:rPr>
              <w:t>1</w:t>
            </w:r>
          </w:p>
        </w:tc>
      </w:tr>
      <w:tr w:rsidR="000B7170" w:rsidRPr="000B7170" w:rsidTr="00D7318E">
        <w:tc>
          <w:tcPr>
            <w:tcW w:w="872" w:type="dxa"/>
            <w:shd w:val="clear" w:color="auto" w:fill="auto"/>
          </w:tcPr>
          <w:p w:rsidR="00D7318E" w:rsidRPr="000B7170" w:rsidRDefault="00D7318E" w:rsidP="002C6A51">
            <w:pPr>
              <w:pStyle w:val="anormal0"/>
              <w:pBdr>
                <w:between w:val="single" w:sz="4" w:space="1" w:color="auto"/>
              </w:pBdr>
              <w:tabs>
                <w:tab w:val="left" w:pos="342"/>
              </w:tabs>
              <w:rPr>
                <w:sz w:val="22"/>
                <w:szCs w:val="22"/>
              </w:rPr>
            </w:pPr>
            <w:r w:rsidRPr="000B7170">
              <w:rPr>
                <w:sz w:val="22"/>
                <w:szCs w:val="22"/>
              </w:rPr>
              <w:t>2017</w:t>
            </w:r>
          </w:p>
        </w:tc>
        <w:tc>
          <w:tcPr>
            <w:tcW w:w="1137" w:type="dxa"/>
            <w:shd w:val="clear" w:color="auto" w:fill="auto"/>
          </w:tcPr>
          <w:p w:rsidR="00D7318E" w:rsidRPr="000B7170" w:rsidRDefault="00D7318E" w:rsidP="002C6A51">
            <w:pPr>
              <w:pStyle w:val="anormal0"/>
              <w:tabs>
                <w:tab w:val="left" w:pos="342"/>
              </w:tabs>
              <w:jc w:val="center"/>
              <w:rPr>
                <w:sz w:val="22"/>
                <w:szCs w:val="22"/>
              </w:rPr>
            </w:pPr>
            <w:r w:rsidRPr="000B7170">
              <w:rPr>
                <w:sz w:val="22"/>
                <w:szCs w:val="22"/>
              </w:rPr>
              <w:t>29</w:t>
            </w:r>
          </w:p>
        </w:tc>
        <w:tc>
          <w:tcPr>
            <w:tcW w:w="1672" w:type="dxa"/>
            <w:shd w:val="clear" w:color="auto" w:fill="auto"/>
          </w:tcPr>
          <w:p w:rsidR="00D7318E" w:rsidRPr="000B7170" w:rsidRDefault="00D7318E" w:rsidP="002C6A51">
            <w:pPr>
              <w:pStyle w:val="anormal0"/>
              <w:tabs>
                <w:tab w:val="left" w:pos="342"/>
              </w:tabs>
              <w:jc w:val="center"/>
              <w:rPr>
                <w:sz w:val="22"/>
                <w:szCs w:val="22"/>
              </w:rPr>
            </w:pPr>
            <w:r w:rsidRPr="000B7170">
              <w:rPr>
                <w:sz w:val="22"/>
                <w:szCs w:val="22"/>
              </w:rPr>
              <w:t>6</w:t>
            </w:r>
          </w:p>
        </w:tc>
        <w:tc>
          <w:tcPr>
            <w:tcW w:w="1145" w:type="dxa"/>
          </w:tcPr>
          <w:p w:rsidR="00D7318E" w:rsidRPr="000B7170" w:rsidRDefault="00D7318E" w:rsidP="002C6A51">
            <w:pPr>
              <w:pStyle w:val="anormal0"/>
              <w:tabs>
                <w:tab w:val="left" w:pos="342"/>
              </w:tabs>
              <w:jc w:val="center"/>
              <w:rPr>
                <w:sz w:val="22"/>
                <w:szCs w:val="22"/>
              </w:rPr>
            </w:pPr>
            <w:r w:rsidRPr="000B7170">
              <w:rPr>
                <w:sz w:val="22"/>
                <w:szCs w:val="22"/>
              </w:rPr>
              <w:t>1</w:t>
            </w:r>
          </w:p>
        </w:tc>
      </w:tr>
    </w:tbl>
    <w:p w:rsidR="001A6871" w:rsidRPr="000B7170" w:rsidRDefault="001A6871" w:rsidP="0057224C">
      <w:pPr>
        <w:shd w:val="clear" w:color="auto" w:fill="FFFFFF"/>
        <w:spacing w:after="165"/>
        <w:rPr>
          <w:rFonts w:ascii="Helvetica" w:hAnsi="Helvetica" w:cs="Helvetica"/>
          <w:lang w:val="sv-FI"/>
        </w:rPr>
      </w:pPr>
    </w:p>
    <w:p w:rsidR="0057224C" w:rsidRPr="000B7170" w:rsidRDefault="0057224C" w:rsidP="007E63B2">
      <w:pPr>
        <w:pStyle w:val="Rubrik2"/>
        <w:numPr>
          <w:ilvl w:val="0"/>
          <w:numId w:val="0"/>
        </w:numPr>
        <w:rPr>
          <w:rFonts w:ascii="Times New Roman" w:hAnsi="Times New Roman"/>
          <w:sz w:val="22"/>
          <w:szCs w:val="22"/>
        </w:rPr>
      </w:pPr>
    </w:p>
    <w:p w:rsidR="003F29AD" w:rsidRPr="000B7170" w:rsidRDefault="007E63B2" w:rsidP="00935BD7">
      <w:pPr>
        <w:pStyle w:val="RubrikB"/>
      </w:pPr>
      <w:bookmarkStart w:id="25" w:name="_Toc508271008"/>
      <w:r w:rsidRPr="000B7170">
        <w:t>5</w:t>
      </w:r>
      <w:r w:rsidR="003F29AD" w:rsidRPr="000B7170">
        <w:t>.</w:t>
      </w:r>
      <w:r w:rsidR="00DF0CD8" w:rsidRPr="000B7170">
        <w:t>5</w:t>
      </w:r>
      <w:r w:rsidR="003F29AD" w:rsidRPr="000B7170">
        <w:t xml:space="preserve"> </w:t>
      </w:r>
      <w:r w:rsidR="002C6A51" w:rsidRPr="000B7170">
        <w:t>Riktlinjer för handräckning</w:t>
      </w:r>
      <w:bookmarkEnd w:id="25"/>
      <w:r w:rsidR="00C5773B" w:rsidRPr="000B7170">
        <w:t xml:space="preserve"> </w:t>
      </w:r>
      <w:r w:rsidR="003F29AD" w:rsidRPr="000B7170">
        <w:t xml:space="preserve"> </w:t>
      </w:r>
    </w:p>
    <w:p w:rsidR="00C85CD0" w:rsidRPr="000B7170" w:rsidRDefault="00C85CD0" w:rsidP="00D7318E">
      <w:pPr>
        <w:pStyle w:val="ANormal"/>
      </w:pPr>
      <w:r w:rsidRPr="000B7170">
        <w:rPr>
          <w:szCs w:val="22"/>
        </w:rPr>
        <w:t xml:space="preserve">Landskapsregeringen fastställde den 16 november 2017 riktlinjer för handräckning i </w:t>
      </w:r>
      <w:r w:rsidRPr="000B7170">
        <w:t>situationer då landskapets myndigheter behöver begära handräckning av riksmyndigheterna</w:t>
      </w:r>
      <w:r w:rsidRPr="000B7170">
        <w:rPr>
          <w:szCs w:val="22"/>
        </w:rPr>
        <w:t>.</w:t>
      </w:r>
      <w:r w:rsidRPr="000B7170">
        <w:t xml:space="preserve"> I riktlinjerna fastställs närmare på vi</w:t>
      </w:r>
      <w:r w:rsidRPr="000B7170">
        <w:t>l</w:t>
      </w:r>
      <w:r w:rsidRPr="000B7170">
        <w:t>ket sätt handräckning ska begäras och på vilket sätt frågan om handräc</w:t>
      </w:r>
      <w:r w:rsidRPr="000B7170">
        <w:t>k</w:t>
      </w:r>
      <w:r w:rsidRPr="000B7170">
        <w:t xml:space="preserve">ning ska beredas, både gällande civil handräckning men även gällande handräckning från försvarsmakten. </w:t>
      </w:r>
      <w:r w:rsidR="009B49CA" w:rsidRPr="000B7170">
        <w:t>H</w:t>
      </w:r>
      <w:r w:rsidRPr="000B7170">
        <w:t xml:space="preserve">andräckning </w:t>
      </w:r>
      <w:r w:rsidR="009B49CA" w:rsidRPr="000B7170">
        <w:t xml:space="preserve">ska </w:t>
      </w:r>
      <w:r w:rsidRPr="000B7170">
        <w:t xml:space="preserve">alltid i första hand begäras av civila myndigheter. </w:t>
      </w:r>
    </w:p>
    <w:p w:rsidR="00C85CD0" w:rsidRPr="000B7170" w:rsidRDefault="00D7318E" w:rsidP="00D7318E">
      <w:pPr>
        <w:pStyle w:val="ANormal"/>
      </w:pPr>
      <w:r w:rsidRPr="000B7170">
        <w:tab/>
      </w:r>
      <w:r w:rsidR="00C85CD0" w:rsidRPr="000B7170">
        <w:t>Handräckning från försvarsmakten kan övervägas först då alla civila möjligheter är uttömda. Man ska i dessa fall även ta ställning till om up</w:t>
      </w:r>
      <w:r w:rsidR="00C85CD0" w:rsidRPr="000B7170">
        <w:t>p</w:t>
      </w:r>
      <w:r w:rsidR="00C85CD0" w:rsidRPr="000B7170">
        <w:t xml:space="preserve">giften är nödvändig att utföra </w:t>
      </w:r>
      <w:r w:rsidR="009B49CA" w:rsidRPr="000B7170">
        <w:t xml:space="preserve">eller </w:t>
      </w:r>
      <w:r w:rsidR="00C85CD0" w:rsidRPr="000B7170">
        <w:t>om man kan lämna den utan åtgärd.  E</w:t>
      </w:r>
      <w:r w:rsidR="00C85CD0" w:rsidRPr="000B7170">
        <w:t>f</w:t>
      </w:r>
      <w:r w:rsidR="00C85CD0" w:rsidRPr="000B7170">
        <w:t>tersom myndigheternas resurser är begränsade är myndighetssamarbete nödvändigt och därför uppkommer dock ibland den situationen att det e</w:t>
      </w:r>
      <w:r w:rsidR="00C85CD0" w:rsidRPr="000B7170">
        <w:t>n</w:t>
      </w:r>
      <w:r w:rsidR="00C85CD0" w:rsidRPr="000B7170">
        <w:t>bart är försvarsmakten som har den specialpersonal och det specialmateriel som behövs för att utföra en uppgift</w:t>
      </w:r>
      <w:r w:rsidR="009B49CA" w:rsidRPr="000B7170">
        <w:t xml:space="preserve"> som är nödvändig</w:t>
      </w:r>
      <w:r w:rsidR="00C85CD0" w:rsidRPr="000B7170">
        <w:t>. Handräckning från försvarsmakten ingår inte som ett led i landskapets krisbere</w:t>
      </w:r>
      <w:r w:rsidR="00C85CD0" w:rsidRPr="000B7170">
        <w:t>d</w:t>
      </w:r>
      <w:r w:rsidR="00C85CD0" w:rsidRPr="000B7170">
        <w:t xml:space="preserve">skap/beredskapsplanering och kan inte ske rutinmässigt. </w:t>
      </w:r>
    </w:p>
    <w:p w:rsidR="00CC03A9" w:rsidRPr="000B7170" w:rsidRDefault="00CC03A9" w:rsidP="00D7318E">
      <w:pPr>
        <w:pStyle w:val="ANormal"/>
      </w:pPr>
    </w:p>
    <w:p w:rsidR="00CC03A9" w:rsidRPr="000B7170" w:rsidRDefault="007E63B2" w:rsidP="00DF0CD8">
      <w:pPr>
        <w:pStyle w:val="RubrikB"/>
      </w:pPr>
      <w:bookmarkStart w:id="26" w:name="_Toc477519877"/>
      <w:bookmarkStart w:id="27" w:name="_Toc508271009"/>
      <w:r w:rsidRPr="000B7170">
        <w:t>5</w:t>
      </w:r>
      <w:r w:rsidR="00DF0CD8" w:rsidRPr="000B7170">
        <w:t xml:space="preserve">.6. </w:t>
      </w:r>
      <w:r w:rsidR="00CC03A9" w:rsidRPr="000B7170">
        <w:t>Handräckning inom oljeskyddet</w:t>
      </w:r>
      <w:bookmarkEnd w:id="26"/>
      <w:bookmarkEnd w:id="27"/>
    </w:p>
    <w:p w:rsidR="00CC03A9" w:rsidRPr="000B7170" w:rsidRDefault="00CC03A9" w:rsidP="00D7318E">
      <w:pPr>
        <w:pStyle w:val="ANormal"/>
      </w:pPr>
      <w:r w:rsidRPr="000B7170">
        <w:t>Myndighetsansvaret för oljeskyddet både på land och till havs åligger lan</w:t>
      </w:r>
      <w:r w:rsidRPr="000B7170">
        <w:t>d</w:t>
      </w:r>
      <w:r w:rsidRPr="000B7170">
        <w:t>skapsregeringen. Landskapsregeringen har ett samverkansavtal med de kommunala räddningsmyndigheterna i frågor som rör oljeskadebekäm</w:t>
      </w:r>
      <w:r w:rsidRPr="000B7170">
        <w:t>p</w:t>
      </w:r>
      <w:r w:rsidRPr="000B7170">
        <w:t>ningen. Genom avtalet är räddningsmyndigheterna även oljeskademyndi</w:t>
      </w:r>
      <w:r w:rsidRPr="000B7170">
        <w:t>g</w:t>
      </w:r>
      <w:r w:rsidRPr="000B7170">
        <w:t>heter och har utökade befogenheter att vidta åtgärder i samband med olj</w:t>
      </w:r>
      <w:r w:rsidRPr="000B7170">
        <w:t>e</w:t>
      </w:r>
      <w:r w:rsidRPr="000B7170">
        <w:t>skadebekämpningen. Beredskapen har blivit bättre i och med att det nu finns räddningsledarjour dygnet runt även för oljeskador.</w:t>
      </w:r>
    </w:p>
    <w:p w:rsidR="00CC03A9" w:rsidRPr="000B7170" w:rsidRDefault="00D7318E" w:rsidP="00D7318E">
      <w:pPr>
        <w:pStyle w:val="ANormal"/>
      </w:pPr>
      <w:r w:rsidRPr="000B7170">
        <w:tab/>
      </w:r>
      <w:r w:rsidR="00CC03A9" w:rsidRPr="000B7170">
        <w:t>Bekämpningen av oljeskador till havs sköts i praktiken av Ålands sj</w:t>
      </w:r>
      <w:r w:rsidR="00CC03A9" w:rsidRPr="000B7170">
        <w:t>ö</w:t>
      </w:r>
      <w:r w:rsidR="00CC03A9" w:rsidRPr="000B7170">
        <w:t>räddningssällskap enligt ett avtal med landskapsregeringen. Vid mindre fa</w:t>
      </w:r>
      <w:r w:rsidR="00CC03A9" w:rsidRPr="000B7170">
        <w:t>r</w:t>
      </w:r>
      <w:r w:rsidR="00CC03A9" w:rsidRPr="000B7170">
        <w:t>tygsolyckor kan räddningsledaren begära handräckning direkt av Egentliga Finlands- eller Satakunda Räddningsverk. I landskapet finns inget fartyg som är utrustat för bekämpning av kemikalieolyckor, varför handräckning i sådana fall kommer att vara nödvändigt. Finland har fem sådana fartyg, varav fyra drivs av gränsbevakningen och ett av marinen.</w:t>
      </w:r>
    </w:p>
    <w:p w:rsidR="00CC03A9" w:rsidRPr="000B7170" w:rsidRDefault="00D7318E" w:rsidP="00D7318E">
      <w:pPr>
        <w:pStyle w:val="ANormal"/>
      </w:pPr>
      <w:r w:rsidRPr="000B7170">
        <w:tab/>
      </w:r>
      <w:r w:rsidR="00CC03A9" w:rsidRPr="000B7170">
        <w:t>Gränsbevakningsväsendet i Finland deltar vid bekämpningen av skador och olyckor på åländska havsområden och vid större olyckor kan lan</w:t>
      </w:r>
      <w:r w:rsidR="00CC03A9" w:rsidRPr="000B7170">
        <w:t>d</w:t>
      </w:r>
      <w:r w:rsidR="00CC03A9" w:rsidRPr="000B7170">
        <w:t>skapsregeringen vända sig till Finlands miljöcentral, SYKE. Riksmyndi</w:t>
      </w:r>
      <w:r w:rsidR="00CC03A9" w:rsidRPr="000B7170">
        <w:t>g</w:t>
      </w:r>
      <w:r w:rsidR="00CC03A9" w:rsidRPr="000B7170">
        <w:t xml:space="preserve">heterna är enligt 31 § självstyrelselagen skyldiga att inom gränserna för sin allmänna behörighet bistå landskapsmyndigheterna. </w:t>
      </w:r>
      <w:r w:rsidR="00115E56" w:rsidRPr="000B7170">
        <w:t>De av l</w:t>
      </w:r>
      <w:r w:rsidR="00CC03A9" w:rsidRPr="000B7170">
        <w:t>andskapsreg</w:t>
      </w:r>
      <w:r w:rsidR="00CC03A9" w:rsidRPr="000B7170">
        <w:t>e</w:t>
      </w:r>
      <w:r w:rsidR="00CC03A9" w:rsidRPr="000B7170">
        <w:t>ringen fastställ</w:t>
      </w:r>
      <w:r w:rsidR="00115E56" w:rsidRPr="000B7170">
        <w:t>da</w:t>
      </w:r>
      <w:r w:rsidR="00CC03A9" w:rsidRPr="000B7170">
        <w:t xml:space="preserve"> riktlinjer</w:t>
      </w:r>
      <w:r w:rsidR="00115E56" w:rsidRPr="000B7170">
        <w:t>na</w:t>
      </w:r>
      <w:r w:rsidR="00CC03A9" w:rsidRPr="000B7170">
        <w:t xml:space="preserve"> för begäran om handräckning omfattar även handräckning inom oljeskyddet. </w:t>
      </w:r>
    </w:p>
    <w:p w:rsidR="00935BD7" w:rsidRPr="000B7170" w:rsidRDefault="00CC03A9" w:rsidP="00312B77">
      <w:pPr>
        <w:pStyle w:val="ANormal"/>
      </w:pPr>
      <w:r w:rsidRPr="000B7170">
        <w:tab/>
        <w:t>Oljeskyddet i riket genomgår en stor förändring då överföringen av det operativa ledningsansvaret vid miljöolyckor vid havsområden överförs från miljöministeriet till inrikesministeriet från och med 1.1.2019. I praktiken ska Gränsbevakningsväsendet leda bekämpningen av fartygsoljeskador och fartygskemikalieolyckor till havs. Avsikten är att propositionen överlämnas till riksdagen under våren 2018. Förslaget innebär att lagen om bekä</w:t>
      </w:r>
      <w:r w:rsidRPr="000B7170">
        <w:t>m</w:t>
      </w:r>
      <w:r w:rsidRPr="000B7170">
        <w:t>pande av oljeskador ska upphävas och bestämmelserna integreras i räd</w:t>
      </w:r>
      <w:r w:rsidRPr="000B7170">
        <w:t>d</w:t>
      </w:r>
      <w:r w:rsidRPr="000B7170">
        <w:t xml:space="preserve">ningslagen. </w:t>
      </w:r>
      <w:r w:rsidR="00115E56" w:rsidRPr="000B7170">
        <w:t>Landskapsregeringen följer hur beredningen framskrider.</w:t>
      </w:r>
    </w:p>
    <w:p w:rsidR="00B63922" w:rsidRPr="000B7170" w:rsidRDefault="00B63922" w:rsidP="00935BD7">
      <w:pPr>
        <w:pStyle w:val="ANormal"/>
      </w:pPr>
    </w:p>
    <w:p w:rsidR="00B63922" w:rsidRPr="000B7170" w:rsidRDefault="007E63B2" w:rsidP="00B63922">
      <w:pPr>
        <w:pStyle w:val="RubrikA"/>
        <w:rPr>
          <w:lang w:eastAsia="en-US"/>
        </w:rPr>
      </w:pPr>
      <w:bookmarkStart w:id="28" w:name="_Toc508271010"/>
      <w:r w:rsidRPr="000B7170">
        <w:rPr>
          <w:lang w:eastAsia="en-US"/>
        </w:rPr>
        <w:lastRenderedPageBreak/>
        <w:t>6</w:t>
      </w:r>
      <w:r w:rsidR="00B63922" w:rsidRPr="000B7170">
        <w:rPr>
          <w:lang w:eastAsia="en-US"/>
        </w:rPr>
        <w:t>. Ålandsexemplet</w:t>
      </w:r>
      <w:bookmarkEnd w:id="28"/>
    </w:p>
    <w:p w:rsidR="00B63922" w:rsidRPr="000B7170" w:rsidRDefault="007E63B2" w:rsidP="00B63922">
      <w:pPr>
        <w:pStyle w:val="RubrikB"/>
        <w:rPr>
          <w:lang w:eastAsia="en-US"/>
        </w:rPr>
      </w:pPr>
      <w:bookmarkStart w:id="29" w:name="_Toc508271011"/>
      <w:r w:rsidRPr="000B7170">
        <w:rPr>
          <w:lang w:eastAsia="en-US"/>
        </w:rPr>
        <w:t>6</w:t>
      </w:r>
      <w:r w:rsidR="00B63922" w:rsidRPr="000B7170">
        <w:rPr>
          <w:lang w:eastAsia="en-US"/>
        </w:rPr>
        <w:t>.1 Kontaktgruppen mellan utrikesministeriet och landskapsregeringen</w:t>
      </w:r>
      <w:bookmarkEnd w:id="29"/>
      <w:r w:rsidR="00B63922" w:rsidRPr="000B7170">
        <w:rPr>
          <w:lang w:eastAsia="en-US"/>
        </w:rPr>
        <w:t xml:space="preserve"> </w:t>
      </w:r>
    </w:p>
    <w:p w:rsidR="002C6A51" w:rsidRPr="000B7170" w:rsidRDefault="002C6A51" w:rsidP="002C6A51">
      <w:pPr>
        <w:pStyle w:val="ANormal"/>
        <w:rPr>
          <w:lang w:val="sv-FI"/>
        </w:rPr>
      </w:pPr>
      <w:r w:rsidRPr="000B7170">
        <w:rPr>
          <w:lang w:val="sv-FI"/>
        </w:rPr>
        <w:t>Kontaktgruppen mellan utrikesministeriet och Ålands landskapsregering har till syfte att utveckla och öka Ålandsexemplets användning i interna</w:t>
      </w:r>
      <w:r w:rsidRPr="000B7170">
        <w:rPr>
          <w:lang w:val="sv-FI"/>
        </w:rPr>
        <w:t>t</w:t>
      </w:r>
      <w:r w:rsidRPr="000B7170">
        <w:rPr>
          <w:lang w:val="sv-FI"/>
        </w:rPr>
        <w:t xml:space="preserve">ionella sammanhang samt att utveckla och utöka informationen om samt kontakterna till Åland. Kontaktgruppen har under perioden haft 4 möten. </w:t>
      </w:r>
    </w:p>
    <w:p w:rsidR="002C6A51" w:rsidRPr="000B7170" w:rsidRDefault="002C6A51" w:rsidP="002C6A51">
      <w:pPr>
        <w:pStyle w:val="ANormal"/>
        <w:rPr>
          <w:lang w:val="sv-FI"/>
        </w:rPr>
      </w:pPr>
      <w:r w:rsidRPr="000B7170">
        <w:rPr>
          <w:lang w:val="sv-FI"/>
        </w:rPr>
        <w:t>Kontaktgruppen har under året aktivt bidragit till utbildning om Åland vid statsrådet och utrikesministeriet och sett till att information om Åland finns tillgänglig för utrikesförvaltningen och att Ålandsinformationen kontinue</w:t>
      </w:r>
      <w:r w:rsidRPr="000B7170">
        <w:rPr>
          <w:lang w:val="sv-FI"/>
        </w:rPr>
        <w:t>r</w:t>
      </w:r>
      <w:r w:rsidRPr="000B7170">
        <w:rPr>
          <w:lang w:val="sv-FI"/>
        </w:rPr>
        <w:t>ligt uppdateras på utrikesministeriets webbplats och intranät. Till kontak</w:t>
      </w:r>
      <w:r w:rsidRPr="000B7170">
        <w:rPr>
          <w:lang w:val="sv-FI"/>
        </w:rPr>
        <w:t>t</w:t>
      </w:r>
      <w:r w:rsidRPr="000B7170">
        <w:rPr>
          <w:lang w:val="sv-FI"/>
        </w:rPr>
        <w:t>gruppens möten kallas sakkunniga enligt önskemål; gruppen diskuterade under året med sakkunniga tjänstemän från utrikesförvaltningen bl a anor</w:t>
      </w:r>
      <w:r w:rsidRPr="000B7170">
        <w:rPr>
          <w:lang w:val="sv-FI"/>
        </w:rPr>
        <w:t>d</w:t>
      </w:r>
      <w:r w:rsidRPr="000B7170">
        <w:rPr>
          <w:lang w:val="sv-FI"/>
        </w:rPr>
        <w:t>nandet av ett Europapolitiskt evenemang på Åland under våren 2018, ha</w:t>
      </w:r>
      <w:r w:rsidRPr="000B7170">
        <w:rPr>
          <w:lang w:val="sv-FI"/>
        </w:rPr>
        <w:t>n</w:t>
      </w:r>
      <w:r w:rsidRPr="000B7170">
        <w:rPr>
          <w:lang w:val="sv-FI"/>
        </w:rPr>
        <w:t>teringen av Åland i officiella sammanhang som exempelvis evenemang som ordnades med anledning av Finland 100 år, aktuella europafrågor och det säkerhetspolitiska läget i Östersjön.</w:t>
      </w:r>
    </w:p>
    <w:p w:rsidR="002C6A51" w:rsidRPr="000B7170" w:rsidRDefault="002C6A51" w:rsidP="002C6A51">
      <w:pPr>
        <w:pStyle w:val="ANormal"/>
        <w:rPr>
          <w:lang w:val="sv-FI"/>
        </w:rPr>
      </w:pPr>
      <w:r w:rsidRPr="000B7170">
        <w:rPr>
          <w:lang w:val="sv-FI"/>
        </w:rPr>
        <w:t>     Det finns ett behov av goda strukturerade kontakter mellan landskapsr</w:t>
      </w:r>
      <w:r w:rsidRPr="000B7170">
        <w:rPr>
          <w:lang w:val="sv-FI"/>
        </w:rPr>
        <w:t>e</w:t>
      </w:r>
      <w:r w:rsidRPr="000B7170">
        <w:rPr>
          <w:lang w:val="sv-FI"/>
        </w:rPr>
        <w:t>geringen och utrikesministeriet och i dessa kontakter utgör kontaktgruppen ett bra forum. I kontaktgruppen finns möjlighet att även diskutera aktuella ärenden som inte direkt hänför sig till Ålandsexemplet. Genom kontak</w:t>
      </w:r>
      <w:r w:rsidRPr="000B7170">
        <w:rPr>
          <w:lang w:val="sv-FI"/>
        </w:rPr>
        <w:t>t</w:t>
      </w:r>
      <w:r w:rsidRPr="000B7170">
        <w:rPr>
          <w:lang w:val="sv-FI"/>
        </w:rPr>
        <w:t>gruppens arbete ges naturligt tillfälle till ett årligt möte med utrikesm</w:t>
      </w:r>
      <w:r w:rsidRPr="000B7170">
        <w:rPr>
          <w:lang w:val="sv-FI"/>
        </w:rPr>
        <w:t>i</w:t>
      </w:r>
      <w:r w:rsidRPr="000B7170">
        <w:rPr>
          <w:lang w:val="sv-FI"/>
        </w:rPr>
        <w:t>nistern där möjligheten finns att förutom kontaktgruppens verksamhet även diskutera andra aktuella frågor inom utrikesministeriets verksamhetso</w:t>
      </w:r>
      <w:r w:rsidRPr="000B7170">
        <w:rPr>
          <w:lang w:val="sv-FI"/>
        </w:rPr>
        <w:t>m</w:t>
      </w:r>
      <w:r w:rsidRPr="000B7170">
        <w:rPr>
          <w:lang w:val="sv-FI"/>
        </w:rPr>
        <w:t>råde, vilket är värdefullt. Landskapsregeringen sätter stor vikt vid att up</w:t>
      </w:r>
      <w:r w:rsidRPr="000B7170">
        <w:rPr>
          <w:lang w:val="sv-FI"/>
        </w:rPr>
        <w:t>p</w:t>
      </w:r>
      <w:r w:rsidRPr="000B7170">
        <w:rPr>
          <w:lang w:val="sv-FI"/>
        </w:rPr>
        <w:t xml:space="preserve">rätthålla kontaktgruppen som ett samarbetsorgan som båda parter har nytta av. </w:t>
      </w:r>
    </w:p>
    <w:p w:rsidR="002C6A51" w:rsidRPr="000B7170" w:rsidRDefault="002C6A51" w:rsidP="002C6A51">
      <w:pPr>
        <w:pStyle w:val="ANormal"/>
        <w:rPr>
          <w:lang w:val="sv-FI"/>
        </w:rPr>
      </w:pPr>
      <w:bookmarkStart w:id="30" w:name="_Hlk504138320"/>
      <w:r w:rsidRPr="000B7170">
        <w:rPr>
          <w:lang w:val="sv-FI"/>
        </w:rPr>
        <w:t>    Ålandsexemplet väcker fortsättningsvis intresse runt om i världen. Lan</w:t>
      </w:r>
      <w:r w:rsidRPr="000B7170">
        <w:rPr>
          <w:lang w:val="sv-FI"/>
        </w:rPr>
        <w:t>d</w:t>
      </w:r>
      <w:r w:rsidRPr="000B7170">
        <w:rPr>
          <w:lang w:val="sv-FI"/>
        </w:rPr>
        <w:t>skapsregeringen har under år 2017 tagit emot 5 grupper som besökt Åland i syfte att studera Ålandexemplet. Därtill har två ambassadörer vid sina b</w:t>
      </w:r>
      <w:r w:rsidRPr="000B7170">
        <w:rPr>
          <w:lang w:val="sv-FI"/>
        </w:rPr>
        <w:t>e</w:t>
      </w:r>
      <w:r w:rsidRPr="000B7170">
        <w:rPr>
          <w:lang w:val="sv-FI"/>
        </w:rPr>
        <w:t>sök till Åland även varit intresserade av att närmare bekanta sig med Ålandsexemplet.</w:t>
      </w:r>
    </w:p>
    <w:bookmarkEnd w:id="30"/>
    <w:p w:rsidR="002C6A51" w:rsidRPr="000B7170" w:rsidRDefault="002C6A51" w:rsidP="002C6A51">
      <w:pPr>
        <w:pStyle w:val="ANormal"/>
        <w:rPr>
          <w:lang w:val="sv-FI"/>
        </w:rPr>
      </w:pPr>
      <w:r w:rsidRPr="000B7170">
        <w:rPr>
          <w:lang w:val="sv-FI"/>
        </w:rPr>
        <w:t>     Kontaktgruppen har under år 2017 att fortsatt hålla regelbundna tem</w:t>
      </w:r>
      <w:r w:rsidRPr="000B7170">
        <w:rPr>
          <w:lang w:val="sv-FI"/>
        </w:rPr>
        <w:t>a</w:t>
      </w:r>
      <w:r w:rsidRPr="000B7170">
        <w:rPr>
          <w:lang w:val="sv-FI"/>
        </w:rPr>
        <w:t>möten där ledande tjänstemän vid utrikesförvaltningen medverkar.</w:t>
      </w:r>
    </w:p>
    <w:p w:rsidR="00B63922" w:rsidRPr="000B7170" w:rsidRDefault="00B63922" w:rsidP="00B63922">
      <w:pPr>
        <w:pStyle w:val="ANormal"/>
        <w:rPr>
          <w:lang w:val="sv-FI" w:eastAsia="sv-FI"/>
        </w:rPr>
      </w:pPr>
    </w:p>
    <w:p w:rsidR="00B63922" w:rsidRPr="000B7170" w:rsidRDefault="007E63B2" w:rsidP="00B63922">
      <w:pPr>
        <w:pStyle w:val="RubrikA"/>
      </w:pPr>
      <w:bookmarkStart w:id="31" w:name="_Toc508271012"/>
      <w:r w:rsidRPr="000B7170">
        <w:t>7</w:t>
      </w:r>
      <w:r w:rsidR="00B63922" w:rsidRPr="000B7170">
        <w:t>. Det ekonomiska systemet</w:t>
      </w:r>
      <w:bookmarkEnd w:id="31"/>
    </w:p>
    <w:p w:rsidR="00B63922" w:rsidRPr="000B7170" w:rsidRDefault="007E63B2" w:rsidP="00B63922">
      <w:pPr>
        <w:pStyle w:val="RubrikB"/>
      </w:pPr>
      <w:bookmarkStart w:id="32" w:name="_Toc508271013"/>
      <w:r w:rsidRPr="000B7170">
        <w:t>7</w:t>
      </w:r>
      <w:r w:rsidR="00B63922" w:rsidRPr="000B7170">
        <w:t>.1 Avräkningsgrunden</w:t>
      </w:r>
      <w:bookmarkEnd w:id="32"/>
    </w:p>
    <w:p w:rsidR="00963B50" w:rsidRPr="000B7170" w:rsidRDefault="00963B50" w:rsidP="00963B50">
      <w:pPr>
        <w:pStyle w:val="ANormal"/>
        <w:rPr>
          <w:lang w:val="sv-FI" w:eastAsia="sv-FI"/>
        </w:rPr>
      </w:pPr>
      <w:r w:rsidRPr="000B7170">
        <w:rPr>
          <w:lang w:val="sv-FI" w:eastAsia="sv-FI"/>
        </w:rPr>
        <w:t>I sitt betänkande (nr 2/2013-2014) konstaterade självstyrelsepolitiska nämnden att de ser mycket allvarligt på att den under år 2012 tillsatta a</w:t>
      </w:r>
      <w:r w:rsidRPr="000B7170">
        <w:rPr>
          <w:lang w:val="sv-FI" w:eastAsia="sv-FI"/>
        </w:rPr>
        <w:t>r</w:t>
      </w:r>
      <w:r w:rsidRPr="000B7170">
        <w:rPr>
          <w:lang w:val="sv-FI" w:eastAsia="sv-FI"/>
        </w:rPr>
        <w:t>betsgruppens för översyn av det ekonomiska systemet avstod från att lämna ett konkret förslag till ändring av avräkningsgrunden. I den senare tillsatta Ålandskommitténs mandat ingår att oberoende av vilka förslag kommittén lägger fram om skattebehörigheten föreslå ett avräknings- eller annat s</w:t>
      </w:r>
      <w:r w:rsidRPr="000B7170">
        <w:rPr>
          <w:lang w:val="sv-FI" w:eastAsia="sv-FI"/>
        </w:rPr>
        <w:t>y</w:t>
      </w:r>
      <w:r w:rsidRPr="000B7170">
        <w:rPr>
          <w:lang w:val="sv-FI" w:eastAsia="sv-FI"/>
        </w:rPr>
        <w:t>stem där den finansiella utjämningen mellan landskapet och riket smidigt kan ändra när förhållandena ändras.</w:t>
      </w:r>
    </w:p>
    <w:p w:rsidR="00963B50" w:rsidRPr="000B7170" w:rsidRDefault="00963B50" w:rsidP="00963B50">
      <w:pPr>
        <w:pStyle w:val="ANormal"/>
        <w:rPr>
          <w:lang w:val="sv-FI" w:eastAsia="sv-FI"/>
        </w:rPr>
      </w:pPr>
      <w:r w:rsidRPr="000B7170">
        <w:rPr>
          <w:lang w:val="sv-FI" w:eastAsia="sv-FI"/>
        </w:rPr>
        <w:tab/>
        <w:t>På basis av ovan nämnda arbetsgrupps förslag hölls det under våren 2014 fortsatta kontakter med finansministeriet i syfte att få till stånd och formulera en gemensam begäran om utlåtande från Ålandsdelegationen i enlighet med 56 § självstyrelselagen. Arbetet har fortgått med geme</w:t>
      </w:r>
      <w:r w:rsidRPr="000B7170">
        <w:rPr>
          <w:lang w:val="sv-FI" w:eastAsia="sv-FI"/>
        </w:rPr>
        <w:t>n</w:t>
      </w:r>
      <w:r w:rsidRPr="000B7170">
        <w:rPr>
          <w:lang w:val="sv-FI" w:eastAsia="sv-FI"/>
        </w:rPr>
        <w:t>samma arbetsmöten såväl i Helsingfors som i Mariehamn fram till maj 2015.</w:t>
      </w:r>
    </w:p>
    <w:p w:rsidR="00963B50" w:rsidRPr="000B7170" w:rsidRDefault="00963B50" w:rsidP="00963B50">
      <w:pPr>
        <w:pStyle w:val="ANormal"/>
        <w:rPr>
          <w:lang w:val="sv-FI" w:eastAsia="sv-FI"/>
        </w:rPr>
      </w:pPr>
      <w:r w:rsidRPr="000B7170">
        <w:rPr>
          <w:lang w:val="sv-FI" w:eastAsia="sv-FI"/>
        </w:rPr>
        <w:tab/>
        <w:t>Ålandsdelegationen lämnade sitt utlåtande till finansministeriet den 21 september 2015 (ÅD nr 26/15). I sitt utlåtande konstaterar Ålandsdelega</w:t>
      </w:r>
      <w:r w:rsidRPr="000B7170">
        <w:rPr>
          <w:lang w:val="sv-FI" w:eastAsia="sv-FI"/>
        </w:rPr>
        <w:t>t</w:t>
      </w:r>
      <w:r w:rsidRPr="000B7170">
        <w:rPr>
          <w:lang w:val="sv-FI" w:eastAsia="sv-FI"/>
        </w:rPr>
        <w:t xml:space="preserve">ionen att det inte kan anses ankomma på Ålandsdelegationen att uttala sig om vilka konkreta ändringar beträffande hanteringen av inkomster som är </w:t>
      </w:r>
      <w:r w:rsidRPr="000B7170">
        <w:rPr>
          <w:lang w:val="sv-FI" w:eastAsia="sv-FI"/>
        </w:rPr>
        <w:lastRenderedPageBreak/>
        <w:t>av sådan art, att en ändring av avräkningsgrunden kan aktualiseras. Åland</w:t>
      </w:r>
      <w:r w:rsidRPr="000B7170">
        <w:rPr>
          <w:lang w:val="sv-FI" w:eastAsia="sv-FI"/>
        </w:rPr>
        <w:t>s</w:t>
      </w:r>
      <w:r w:rsidRPr="000B7170">
        <w:rPr>
          <w:lang w:val="sv-FI" w:eastAsia="sv-FI"/>
        </w:rPr>
        <w:t>delegationen konstaterade vidare att avräkningsgrunden inte ändrats under den tid självstyrelselagen varit i kraft, och att en översyn av avräkning</w:t>
      </w:r>
      <w:r w:rsidRPr="000B7170">
        <w:rPr>
          <w:lang w:val="sv-FI" w:eastAsia="sv-FI"/>
        </w:rPr>
        <w:t>s</w:t>
      </w:r>
      <w:r w:rsidRPr="000B7170">
        <w:rPr>
          <w:lang w:val="sv-FI" w:eastAsia="sv-FI"/>
        </w:rPr>
        <w:t>grunden därför är befogad. En ändring kan aktualiseras genom en reg</w:t>
      </w:r>
      <w:r w:rsidRPr="000B7170">
        <w:rPr>
          <w:lang w:val="sv-FI" w:eastAsia="sv-FI"/>
        </w:rPr>
        <w:t>e</w:t>
      </w:r>
      <w:r w:rsidRPr="000B7170">
        <w:rPr>
          <w:lang w:val="sv-FI" w:eastAsia="sv-FI"/>
        </w:rPr>
        <w:t>ringsproposition eller genom lagtingsinitiativ.</w:t>
      </w:r>
    </w:p>
    <w:p w:rsidR="00963B50" w:rsidRPr="000B7170" w:rsidRDefault="00963B50" w:rsidP="00963B50">
      <w:pPr>
        <w:pStyle w:val="ANormal"/>
        <w:rPr>
          <w:lang w:val="sv-FI" w:eastAsia="sv-FI"/>
        </w:rPr>
      </w:pPr>
      <w:r w:rsidRPr="000B7170">
        <w:rPr>
          <w:lang w:val="sv-FI" w:eastAsia="sv-FI"/>
        </w:rPr>
        <w:tab/>
        <w:t>Landskapsregeringen har fortsatt den inledda politiska diskussionen med regeringen i saken i samband med förändringarna med anledning av vård- och landskapsreformen samt reformen av självstyrelselagen. Det är sannolikt att beslut om avräkningsgrunden kommer att fattas i samband med de processer som pågår gällande de ovan nämnda reformerna.</w:t>
      </w:r>
    </w:p>
    <w:p w:rsidR="00963B50" w:rsidRPr="000B7170" w:rsidRDefault="00963B50" w:rsidP="00963B50">
      <w:pPr>
        <w:pStyle w:val="ANormal"/>
        <w:rPr>
          <w:lang w:val="sv-FI" w:eastAsia="sv-FI"/>
        </w:rPr>
      </w:pPr>
      <w:r w:rsidRPr="000B7170">
        <w:rPr>
          <w:lang w:val="sv-FI" w:eastAsia="sv-FI"/>
        </w:rPr>
        <w:tab/>
        <w:t>I landskapsregeringens yttrande till grundlagsutskottet den 14 juni 2017 angavs följande:</w:t>
      </w:r>
    </w:p>
    <w:p w:rsidR="00963B50" w:rsidRPr="000B7170" w:rsidRDefault="00963B50" w:rsidP="00963B50">
      <w:pPr>
        <w:pStyle w:val="ANormal"/>
        <w:ind w:left="851"/>
        <w:rPr>
          <w:lang w:val="sv-FI" w:eastAsia="sv-FI"/>
        </w:rPr>
      </w:pPr>
      <w:r w:rsidRPr="000B7170">
        <w:rPr>
          <w:lang w:val="sv-FI" w:eastAsia="sv-FI"/>
        </w:rPr>
        <w:t>”Landskapsregeringen konstaterar att efter förhandlingarna på r</w:t>
      </w:r>
      <w:r w:rsidRPr="000B7170">
        <w:rPr>
          <w:lang w:val="sv-FI" w:eastAsia="sv-FI"/>
        </w:rPr>
        <w:t>e</w:t>
      </w:r>
      <w:r w:rsidRPr="000B7170">
        <w:rPr>
          <w:lang w:val="sv-FI" w:eastAsia="sv-FI"/>
        </w:rPr>
        <w:t>geringsnivå är det riksdagen och lagtinget som enligt 47 § 5 mom. självstyrelselagen äger besluta om en ändring av avräkningsgru</w:t>
      </w:r>
      <w:r w:rsidRPr="000B7170">
        <w:rPr>
          <w:lang w:val="sv-FI" w:eastAsia="sv-FI"/>
        </w:rPr>
        <w:t>n</w:t>
      </w:r>
      <w:r w:rsidRPr="000B7170">
        <w:rPr>
          <w:lang w:val="sv-FI" w:eastAsia="sv-FI"/>
        </w:rPr>
        <w:t>den. För att en ändring av avräkningsgrunden ska kunna geno</w:t>
      </w:r>
      <w:r w:rsidRPr="000B7170">
        <w:rPr>
          <w:lang w:val="sv-FI" w:eastAsia="sv-FI"/>
        </w:rPr>
        <w:t>m</w:t>
      </w:r>
      <w:r w:rsidRPr="000B7170">
        <w:rPr>
          <w:lang w:val="sv-FI" w:eastAsia="sv-FI"/>
        </w:rPr>
        <w:t xml:space="preserve">föras krävs att båda parlamenten omfattar ändringen och därmed den föreslagna nivån. </w:t>
      </w:r>
    </w:p>
    <w:p w:rsidR="00963B50" w:rsidRPr="000B7170" w:rsidRDefault="00963B50" w:rsidP="00963B50">
      <w:pPr>
        <w:pStyle w:val="ANormal"/>
        <w:ind w:left="851"/>
        <w:rPr>
          <w:lang w:val="sv-FI" w:eastAsia="sv-FI"/>
        </w:rPr>
      </w:pPr>
      <w:r w:rsidRPr="000B7170">
        <w:rPr>
          <w:lang w:val="sv-FI" w:eastAsia="sv-FI"/>
        </w:rPr>
        <w:t>I det fall det inte finns politisk vilja att ändra självstyrelselagen är den naturliga lösningen för att säkerställa landskapets finansiering att även den i självstyrelselagen angivna avräkningsgrunden om 0,45 % kvarstår oförändrad tills en godtagbar helhetslösning kan åstadkommas. Därigenom garanterar den förhöjda avräkningen även en kompensation för den uteblivna skattegottgörelsen, som Ålandsdelegationen räknar ut.</w:t>
      </w:r>
    </w:p>
    <w:p w:rsidR="00963B50" w:rsidRPr="000B7170" w:rsidRDefault="00963B50" w:rsidP="00963B50">
      <w:pPr>
        <w:pStyle w:val="ANormal"/>
        <w:ind w:left="851"/>
        <w:rPr>
          <w:lang w:val="sv-FI" w:eastAsia="sv-FI"/>
        </w:rPr>
      </w:pPr>
      <w:r w:rsidRPr="000B7170">
        <w:rPr>
          <w:lang w:val="sv-FI" w:eastAsia="sv-FI"/>
        </w:rPr>
        <w:t>Landskapsregeringen avser iså fall återbetala mellanskillnaden mellan den förhöjda avräkning som social- och hälsovårdsrefo</w:t>
      </w:r>
      <w:r w:rsidRPr="000B7170">
        <w:rPr>
          <w:lang w:val="sv-FI" w:eastAsia="sv-FI"/>
        </w:rPr>
        <w:t>r</w:t>
      </w:r>
      <w:r w:rsidRPr="000B7170">
        <w:rPr>
          <w:lang w:val="sv-FI" w:eastAsia="sv-FI"/>
        </w:rPr>
        <w:t>men förorsakar och den summa avräkningen borde ge utan refo</w:t>
      </w:r>
      <w:r w:rsidRPr="000B7170">
        <w:rPr>
          <w:lang w:val="sv-FI" w:eastAsia="sv-FI"/>
        </w:rPr>
        <w:t>r</w:t>
      </w:r>
      <w:r w:rsidRPr="000B7170">
        <w:rPr>
          <w:lang w:val="sv-FI" w:eastAsia="sv-FI"/>
        </w:rPr>
        <w:t>men. Vid beräkningen ska den av Ålandsdelegationen beräknade fiktiva skattegottgörelsen, förändringen av samfundsbeskattnin</w:t>
      </w:r>
      <w:r w:rsidRPr="000B7170">
        <w:rPr>
          <w:lang w:val="sv-FI" w:eastAsia="sv-FI"/>
        </w:rPr>
        <w:t>g</w:t>
      </w:r>
      <w:r w:rsidRPr="000B7170">
        <w:rPr>
          <w:lang w:val="sv-FI" w:eastAsia="sv-FI"/>
        </w:rPr>
        <w:t>en samt en förhöjning om 15 miljoner euro som landskapsreg</w:t>
      </w:r>
      <w:r w:rsidRPr="000B7170">
        <w:rPr>
          <w:lang w:val="sv-FI" w:eastAsia="sv-FI"/>
        </w:rPr>
        <w:t>e</w:t>
      </w:r>
      <w:r w:rsidRPr="000B7170">
        <w:rPr>
          <w:lang w:val="sv-FI" w:eastAsia="sv-FI"/>
        </w:rPr>
        <w:t>ringen äskat om beaktas.”.</w:t>
      </w:r>
    </w:p>
    <w:p w:rsidR="00B63922" w:rsidRPr="000B7170" w:rsidRDefault="00963B50" w:rsidP="00312B77">
      <w:pPr>
        <w:pStyle w:val="ANormal"/>
        <w:rPr>
          <w:lang w:val="sv-FI" w:eastAsia="sv-FI"/>
        </w:rPr>
      </w:pPr>
      <w:r w:rsidRPr="000B7170">
        <w:rPr>
          <w:lang w:val="sv-FI" w:eastAsia="sv-FI"/>
        </w:rPr>
        <w:tab/>
        <w:t> Landskapsregeringen önskar i det längsta undvika en lösning som den ovan nämnda men om ingen förändring av själstyrelselagstiftningen åsta</w:t>
      </w:r>
      <w:r w:rsidRPr="000B7170">
        <w:rPr>
          <w:lang w:val="sv-FI" w:eastAsia="sv-FI"/>
        </w:rPr>
        <w:t>d</w:t>
      </w:r>
      <w:r w:rsidRPr="000B7170">
        <w:rPr>
          <w:lang w:val="sv-FI" w:eastAsia="sv-FI"/>
        </w:rPr>
        <w:t>kommes kan den bli verklighet.</w:t>
      </w:r>
    </w:p>
    <w:p w:rsidR="00312B77" w:rsidRPr="000B7170" w:rsidRDefault="00312B77" w:rsidP="00312B77">
      <w:pPr>
        <w:pStyle w:val="ANormal"/>
        <w:rPr>
          <w:lang w:val="sv-FI" w:eastAsia="sv-FI"/>
        </w:rPr>
      </w:pPr>
    </w:p>
    <w:p w:rsidR="000323F6" w:rsidRPr="000B7170" w:rsidRDefault="007E63B2" w:rsidP="000323F6">
      <w:pPr>
        <w:pStyle w:val="RubrikB"/>
      </w:pPr>
      <w:bookmarkStart w:id="33" w:name="_Toc508271014"/>
      <w:r w:rsidRPr="000B7170">
        <w:t>7</w:t>
      </w:r>
      <w:r w:rsidR="00DF0CD8" w:rsidRPr="000B7170">
        <w:t>.2.</w:t>
      </w:r>
      <w:r w:rsidR="000323F6" w:rsidRPr="000B7170">
        <w:t>Allmäntjänstgöring för läkare</w:t>
      </w:r>
      <w:bookmarkEnd w:id="33"/>
    </w:p>
    <w:p w:rsidR="000323F6" w:rsidRPr="000B7170" w:rsidRDefault="000323F6" w:rsidP="000323F6">
      <w:pPr>
        <w:pStyle w:val="ANormal"/>
      </w:pPr>
      <w:r w:rsidRPr="000B7170">
        <w:rPr>
          <w:szCs w:val="24"/>
        </w:rPr>
        <w:t xml:space="preserve">AT-tjänstgöringen är i dagsläge en mycket viktig grund för att rekrytera svenskspråkiga läkare till ÅHS. </w:t>
      </w:r>
      <w:r w:rsidRPr="000B7170">
        <w:t>Under 2017 fortsatte arbetet att kunna fö</w:t>
      </w:r>
      <w:r w:rsidRPr="000B7170">
        <w:t>r</w:t>
      </w:r>
      <w:r w:rsidRPr="000B7170">
        <w:t>säkra svenskt-åländskt samarbete kring AT-läkartjänstgöringen. Socialst</w:t>
      </w:r>
      <w:r w:rsidRPr="000B7170">
        <w:t>y</w:t>
      </w:r>
      <w:r w:rsidRPr="000B7170">
        <w:t>relsen informerade den 15.2.2017 att det finns från Socialstyrelsen sida fö</w:t>
      </w:r>
      <w:r w:rsidRPr="000B7170">
        <w:t>r</w:t>
      </w:r>
      <w:r w:rsidRPr="000B7170">
        <w:t xml:space="preserve">utsättningar att fortsätta AT-tjänstgöring på Åland. Akademiska sjukhuset i Uppsala som är ansvarig för att tjänstgöringen motsvarar de ställda kraven. Socialstyrelsen gör en bedömning i varje enskilt fall före beslutet om svensk legitimation. </w:t>
      </w:r>
    </w:p>
    <w:p w:rsidR="000323F6" w:rsidRPr="000B7170" w:rsidRDefault="000323F6" w:rsidP="000323F6">
      <w:pPr>
        <w:pStyle w:val="ANormal"/>
      </w:pPr>
      <w:r w:rsidRPr="000B7170">
        <w:tab/>
        <w:t>Angående legitimation i riket antog riksdagen den 16.6.2017 förän</w:t>
      </w:r>
      <w:r w:rsidRPr="000B7170">
        <w:t>d</w:t>
      </w:r>
      <w:r w:rsidRPr="000B7170">
        <w:t>ringen i 6a paragrafen i lagen om yrkesutbildade personer inom hälso- och sjukvården (FFS 559/1994) efter intensiva kontakter med såväl tjänstemän som ansvarig minister. Båda dessa resultaten möjliggör att även läkare som blivit utexaminerade efter den 1.1.2012 kan fullgöra sin AT-tjänstgöring på Åland.</w:t>
      </w:r>
    </w:p>
    <w:p w:rsidR="000323F6" w:rsidRPr="000B7170" w:rsidRDefault="000323F6" w:rsidP="000323F6">
      <w:pPr>
        <w:pStyle w:val="ANormal"/>
        <w:rPr>
          <w:szCs w:val="24"/>
        </w:rPr>
      </w:pPr>
      <w:r w:rsidRPr="000B7170">
        <w:rPr>
          <w:szCs w:val="24"/>
        </w:rPr>
        <w:tab/>
        <w:t>Socialdepartementet i Sverige har dock den 22.11.2017 skickat ut pr</w:t>
      </w:r>
      <w:r w:rsidRPr="000B7170">
        <w:rPr>
          <w:szCs w:val="24"/>
        </w:rPr>
        <w:t>o</w:t>
      </w:r>
      <w:r w:rsidRPr="000B7170">
        <w:rPr>
          <w:szCs w:val="24"/>
        </w:rPr>
        <w:t>memorian ”Bastjänstgöring för läkare” (DS 2017:56). Förslaget innebär att läkarexamen ska leda direkt till läkarlegitimation utan krav på ytterligare praktisk tjänstgöring dessförinnan. Förslaget till lag om ändring i hälso- och sjukvårdslagen (2017:30) 10 kap 5 § lyder: ” I landstingen ska det fi</w:t>
      </w:r>
      <w:r w:rsidRPr="000B7170">
        <w:rPr>
          <w:szCs w:val="24"/>
        </w:rPr>
        <w:t>n</w:t>
      </w:r>
      <w:r w:rsidRPr="000B7170">
        <w:rPr>
          <w:szCs w:val="24"/>
        </w:rPr>
        <w:lastRenderedPageBreak/>
        <w:t>nas möjligheter till anställning för läkares specialiseringstjänstgöring inkl</w:t>
      </w:r>
      <w:r w:rsidRPr="000B7170">
        <w:rPr>
          <w:szCs w:val="24"/>
        </w:rPr>
        <w:t>u</w:t>
      </w:r>
      <w:r w:rsidRPr="000B7170">
        <w:rPr>
          <w:szCs w:val="24"/>
        </w:rPr>
        <w:t>sive bastjänstgöring i en omfattning som motsvarar det planerade framtida behovet av läkare med specialistkompetens i klinisk verksamhet.” Denna lag planeras träda i kraft den 1 juli 2020. Detta betyder att AT-tjänstgöring på Åland avslutas inom några år om planerna verkställs. Landskapsreg</w:t>
      </w:r>
      <w:r w:rsidRPr="000B7170">
        <w:rPr>
          <w:szCs w:val="24"/>
        </w:rPr>
        <w:t>e</w:t>
      </w:r>
      <w:r w:rsidRPr="000B7170">
        <w:rPr>
          <w:szCs w:val="24"/>
        </w:rPr>
        <w:t xml:space="preserve">ringen bör därför tillsammans med ÅHS påbörja ett arbete som tryggar den fortsatta tillgången av svenskspråkiga läkare. </w:t>
      </w:r>
    </w:p>
    <w:p w:rsidR="00D41BB2" w:rsidRPr="000B7170" w:rsidRDefault="00D41BB2" w:rsidP="00B63922">
      <w:pPr>
        <w:pStyle w:val="ANormal"/>
        <w:rPr>
          <w:lang w:eastAsia="sv-FI"/>
        </w:rPr>
      </w:pPr>
    </w:p>
    <w:p w:rsidR="00D41BB2" w:rsidRPr="000B7170" w:rsidRDefault="007E63B2" w:rsidP="00D41BB2">
      <w:pPr>
        <w:pStyle w:val="RubrikA"/>
      </w:pPr>
      <w:bookmarkStart w:id="34" w:name="_Toc508271015"/>
      <w:r w:rsidRPr="000B7170">
        <w:t>8</w:t>
      </w:r>
      <w:r w:rsidR="00D41BB2" w:rsidRPr="000B7170">
        <w:t>. Socialpolitik</w:t>
      </w:r>
      <w:bookmarkEnd w:id="34"/>
      <w:r w:rsidR="00D41BB2" w:rsidRPr="000B7170">
        <w:t xml:space="preserve"> </w:t>
      </w:r>
    </w:p>
    <w:p w:rsidR="00804FFC" w:rsidRPr="000B7170" w:rsidRDefault="00804FFC" w:rsidP="00804FFC">
      <w:pPr>
        <w:pStyle w:val="ANormal"/>
      </w:pPr>
      <w:r w:rsidRPr="000B7170">
        <w:t>Landskapsregeringen konstaterar att det inom det socialpolitiska området fortsättningsvis pågår stora samtidiga reformer i riket. Reformerna geno</w:t>
      </w:r>
      <w:r w:rsidRPr="000B7170">
        <w:t>m</w:t>
      </w:r>
      <w:r w:rsidRPr="000B7170">
        <w:t>förs delvis med en mycket stram tidtabell.</w:t>
      </w:r>
    </w:p>
    <w:p w:rsidR="00804FFC" w:rsidRPr="000B7170" w:rsidRDefault="00804FFC" w:rsidP="00804FFC">
      <w:pPr>
        <w:pStyle w:val="ANormal"/>
      </w:pPr>
      <w:r w:rsidRPr="000B7170">
        <w:tab/>
        <w:t>Landskapsregeringen anser att det är av yttersta vikt att man i riket tar hänsyn till Ålands särställning vid framtagande av ny lagstiftning. Självst</w:t>
      </w:r>
      <w:r w:rsidRPr="000B7170">
        <w:t>y</w:t>
      </w:r>
      <w:r w:rsidRPr="000B7170">
        <w:t>relselagens bestämmelser om Ålands respektive rikets lagstiftningsbehöri</w:t>
      </w:r>
      <w:r w:rsidRPr="000B7170">
        <w:t>g</w:t>
      </w:r>
      <w:r w:rsidRPr="000B7170">
        <w:t>het bör övervägas som en helhet för att en korrekt bedömning av följderna av ny eller ändrad lagstiftning ska kunna göras. Landskapsregeringen bet</w:t>
      </w:r>
      <w:r w:rsidRPr="000B7170">
        <w:t>o</w:t>
      </w:r>
      <w:r w:rsidRPr="000B7170">
        <w:t>nar fortsättningsvis vikten av att beredningsmaterial såsom propositioner tillställs på svenska och även att tiden för utlåtande är tillräcklig för att mö</w:t>
      </w:r>
      <w:r w:rsidRPr="000B7170">
        <w:t>j</w:t>
      </w:r>
      <w:r w:rsidRPr="000B7170">
        <w:t>liggöra en bedömning av lagförslagens konsekvenser för Ålands del och för att genomföra eventuella nödvändiga ändringar i den åländska lagstiftnin</w:t>
      </w:r>
      <w:r w:rsidRPr="000B7170">
        <w:t>g</w:t>
      </w:r>
      <w:r w:rsidRPr="000B7170">
        <w:t>en.</w:t>
      </w:r>
    </w:p>
    <w:p w:rsidR="00804FFC" w:rsidRPr="000B7170" w:rsidRDefault="00804FFC" w:rsidP="00804FFC">
      <w:pPr>
        <w:pStyle w:val="ANormal"/>
      </w:pPr>
      <w:r w:rsidRPr="000B7170">
        <w:tab/>
        <w:t>Landskapsregeringen konstaterar att den omfattande och snabba la</w:t>
      </w:r>
      <w:r w:rsidRPr="000B7170">
        <w:t>g</w:t>
      </w:r>
      <w:r w:rsidRPr="000B7170">
        <w:t>stiftningstakten samt anpassningen av lagstiftningen till nya organisations och finansiella lösningar i riket i allt högre grad försvårar tillämpningen av blankettlagstiftning inom det sociala området.</w:t>
      </w:r>
    </w:p>
    <w:p w:rsidR="00D41BB2" w:rsidRPr="000B7170" w:rsidRDefault="00D41BB2" w:rsidP="00D41BB2"/>
    <w:p w:rsidR="00D41BB2" w:rsidRPr="000B7170" w:rsidRDefault="007E63B2" w:rsidP="00D41BB2">
      <w:pPr>
        <w:pStyle w:val="RubrikA"/>
      </w:pPr>
      <w:bookmarkStart w:id="35" w:name="_Toc508271016"/>
      <w:r w:rsidRPr="000B7170">
        <w:t>9</w:t>
      </w:r>
      <w:r w:rsidR="00D41BB2" w:rsidRPr="000B7170">
        <w:t>. Miljö</w:t>
      </w:r>
      <w:bookmarkEnd w:id="35"/>
    </w:p>
    <w:p w:rsidR="00804FFC" w:rsidRPr="000B7170" w:rsidRDefault="00804FFC" w:rsidP="00804FFC">
      <w:pPr>
        <w:pStyle w:val="ANormal"/>
      </w:pPr>
      <w:r w:rsidRPr="000B7170">
        <w:t xml:space="preserve">Landskapsregeringen har under ett antal år diskuterat med miljöministeriet hur producentansvaret skulle kunna förenklas för de åländska företagarna. En åtgärd som har diskuterats är en överenskommelseförordning </w:t>
      </w:r>
      <w:r w:rsidR="00E63DA9" w:rsidRPr="000B7170">
        <w:t>genom vilken</w:t>
      </w:r>
      <w:r w:rsidRPr="000B7170">
        <w:t xml:space="preserve"> närings-, trafik- och miljöcentralen i Birkaland</w:t>
      </w:r>
      <w:r w:rsidR="00E63DA9" w:rsidRPr="000B7170">
        <w:t xml:space="preserve"> skulle anförtros fö</w:t>
      </w:r>
      <w:r w:rsidR="00E63DA9" w:rsidRPr="000B7170">
        <w:t>r</w:t>
      </w:r>
      <w:r w:rsidR="00E63DA9" w:rsidRPr="000B7170">
        <w:t>valtningsuppgifterna</w:t>
      </w:r>
      <w:r w:rsidRPr="000B7170">
        <w:t>. För att närmare utreda möjligheterna har landskap</w:t>
      </w:r>
      <w:r w:rsidRPr="000B7170">
        <w:t>s</w:t>
      </w:r>
      <w:r w:rsidRPr="000B7170">
        <w:t>regeringen och miljöministeriet gemensamt beställt en utredning av en a</w:t>
      </w:r>
      <w:r w:rsidRPr="000B7170">
        <w:t>d</w:t>
      </w:r>
      <w:r w:rsidRPr="000B7170">
        <w:t xml:space="preserve">vokatbyrå. </w:t>
      </w:r>
    </w:p>
    <w:p w:rsidR="00804FFC" w:rsidRPr="000B7170" w:rsidRDefault="00804FFC" w:rsidP="00804FFC">
      <w:pPr>
        <w:pStyle w:val="ANormal"/>
      </w:pPr>
      <w:r w:rsidRPr="000B7170">
        <w:tab/>
      </w:r>
      <w:r w:rsidR="00E63DA9" w:rsidRPr="000B7170">
        <w:t>D</w:t>
      </w:r>
      <w:r w:rsidRPr="000B7170">
        <w:t>e</w:t>
      </w:r>
      <w:r w:rsidR="00E63DA9" w:rsidRPr="000B7170">
        <w:t>t</w:t>
      </w:r>
      <w:r w:rsidRPr="000B7170">
        <w:t xml:space="preserve"> påbörjade </w:t>
      </w:r>
      <w:r w:rsidR="00E63DA9" w:rsidRPr="000B7170">
        <w:t xml:space="preserve">arbetet med en </w:t>
      </w:r>
      <w:r w:rsidRPr="000B7170">
        <w:t xml:space="preserve">överenskommelseförordning gällande uppgifter på kemikalieområdet har inte kunnat slutföras eftersom </w:t>
      </w:r>
      <w:r w:rsidR="00E63DA9" w:rsidRPr="000B7170">
        <w:t xml:space="preserve">något ställningstagande från </w:t>
      </w:r>
      <w:r w:rsidRPr="000B7170">
        <w:t xml:space="preserve">berörd myndighet i riket inte trots flera påminnelser </w:t>
      </w:r>
      <w:r w:rsidR="00E63DA9" w:rsidRPr="000B7170">
        <w:t>erhållits</w:t>
      </w:r>
      <w:r w:rsidRPr="000B7170">
        <w:t xml:space="preserve">. </w:t>
      </w:r>
    </w:p>
    <w:p w:rsidR="00804FFC" w:rsidRPr="000B7170" w:rsidRDefault="00E63DA9" w:rsidP="00804FFC">
      <w:pPr>
        <w:pStyle w:val="ANormal"/>
      </w:pPr>
      <w:r w:rsidRPr="000B7170">
        <w:tab/>
      </w:r>
      <w:r w:rsidR="00804FFC" w:rsidRPr="000B7170">
        <w:t>Åland är det viktigaste landskapet i Finland när det gäller biologisk mångfald. Det är nödvändigt att samarbeta med rikets miljöförvaltning i hotbedömning av biotoper och arter, särskilt för myrar, vårdbiotoper och kärlväxter. I rapportering enligt habitatdirektivet och fågeldirektivet sama</w:t>
      </w:r>
      <w:r w:rsidR="00804FFC" w:rsidRPr="000B7170">
        <w:t>r</w:t>
      </w:r>
      <w:r w:rsidR="00804FFC" w:rsidRPr="000B7170">
        <w:t>betar landskapsregeringen också aktivt med riksmyndigheterna. Åland har ansvaret för sådana arter i direktiven som bara finns här och inte annanstans i Finland. Invasiva arter med ett aggressivt spridningssätt hotar ofta den b</w:t>
      </w:r>
      <w:r w:rsidR="00804FFC" w:rsidRPr="000B7170">
        <w:t>i</w:t>
      </w:r>
      <w:r w:rsidR="00804FFC" w:rsidRPr="000B7170">
        <w:t>ologiska mångfalden. Landskapsregeringen samarbetar med Tullen och Finlands miljöcentral om bekämpning av dessa arter. Närmare samarbete krävs i framtiden när klimatförändringen gör det mer sannolikt att flera i</w:t>
      </w:r>
      <w:r w:rsidR="00804FFC" w:rsidRPr="000B7170">
        <w:t>n</w:t>
      </w:r>
      <w:r w:rsidR="00804FFC" w:rsidRPr="000B7170">
        <w:t>vasiva arter kan etablera sig i Norden.</w:t>
      </w:r>
    </w:p>
    <w:p w:rsidR="00804FFC" w:rsidRPr="000B7170" w:rsidRDefault="00804FFC" w:rsidP="00804FFC">
      <w:pPr>
        <w:pStyle w:val="ANormal"/>
      </w:pPr>
      <w:r w:rsidRPr="000B7170">
        <w:tab/>
        <w:t>Likväl är Åland viktigt för bevarande av vissa genresurser, vad gäller odlingsväxternas vilda släktingar, skogliga resurser och odlingsväxter samt animaliska genresurser. Landskapsregeringen har etablerat ett samarbete med olika berörda instanser i Finland och deltar även aktivt i genresur</w:t>
      </w:r>
      <w:r w:rsidRPr="000B7170">
        <w:t>s</w:t>
      </w:r>
      <w:r w:rsidRPr="000B7170">
        <w:t>nämndens arbete.</w:t>
      </w:r>
    </w:p>
    <w:p w:rsidR="00D41BB2" w:rsidRPr="000B7170" w:rsidRDefault="00D41BB2" w:rsidP="00804FFC">
      <w:pPr>
        <w:pStyle w:val="ANormal"/>
      </w:pPr>
    </w:p>
    <w:p w:rsidR="00D41BB2" w:rsidRPr="000B7170" w:rsidRDefault="00D41BB2" w:rsidP="00D41BB2">
      <w:pPr>
        <w:pStyle w:val="RubrikA"/>
        <w:rPr>
          <w:lang w:eastAsia="en-US"/>
        </w:rPr>
      </w:pPr>
    </w:p>
    <w:p w:rsidR="00D41BB2" w:rsidRPr="000B7170" w:rsidRDefault="007E63B2" w:rsidP="00D41BB2">
      <w:pPr>
        <w:pStyle w:val="RubrikA"/>
        <w:rPr>
          <w:lang w:eastAsia="en-US"/>
        </w:rPr>
      </w:pPr>
      <w:bookmarkStart w:id="36" w:name="_Toc508271017"/>
      <w:r w:rsidRPr="000B7170">
        <w:rPr>
          <w:lang w:eastAsia="en-US"/>
        </w:rPr>
        <w:t>10</w:t>
      </w:r>
      <w:r w:rsidR="00D41BB2" w:rsidRPr="000B7170">
        <w:rPr>
          <w:lang w:eastAsia="en-US"/>
        </w:rPr>
        <w:t>. Utbildning</w:t>
      </w:r>
      <w:bookmarkEnd w:id="36"/>
    </w:p>
    <w:p w:rsidR="001A2357" w:rsidRPr="000B7170" w:rsidRDefault="001A2357" w:rsidP="001A2357">
      <w:pPr>
        <w:pStyle w:val="ANormal"/>
      </w:pPr>
      <w:r w:rsidRPr="000B7170">
        <w:t>En övergripande prioritering inom landskapsregeringens utbildnings- och kulturpolitik är att värna om och stärka det nordiska samarbetet och u</w:t>
      </w:r>
      <w:r w:rsidRPr="000B7170">
        <w:t>t</w:t>
      </w:r>
      <w:r w:rsidRPr="000B7170">
        <w:t>veckla möjligheterna för unga och vuxna ålänningar att studera i andra lä</w:t>
      </w:r>
      <w:r w:rsidRPr="000B7170">
        <w:t>n</w:t>
      </w:r>
      <w:r w:rsidRPr="000B7170">
        <w:t xml:space="preserve">der och att ta del av kommunikation och public service på svenska. </w:t>
      </w:r>
    </w:p>
    <w:p w:rsidR="00D41BB2" w:rsidRPr="000B7170" w:rsidRDefault="00D41BB2" w:rsidP="00D41BB2">
      <w:pPr>
        <w:pStyle w:val="ANormal"/>
        <w:rPr>
          <w:lang w:eastAsia="en-US"/>
        </w:rPr>
      </w:pPr>
    </w:p>
    <w:p w:rsidR="00D41BB2" w:rsidRPr="000B7170" w:rsidRDefault="007E63B2" w:rsidP="00D41BB2">
      <w:pPr>
        <w:pStyle w:val="RubrikB"/>
        <w:rPr>
          <w:lang w:eastAsia="en-US"/>
        </w:rPr>
      </w:pPr>
      <w:bookmarkStart w:id="37" w:name="_Toc508271018"/>
      <w:r w:rsidRPr="000B7170">
        <w:rPr>
          <w:lang w:eastAsia="en-US"/>
        </w:rPr>
        <w:t>10</w:t>
      </w:r>
      <w:r w:rsidR="00D41BB2" w:rsidRPr="000B7170">
        <w:rPr>
          <w:lang w:eastAsia="en-US"/>
        </w:rPr>
        <w:t>.</w:t>
      </w:r>
      <w:r w:rsidR="001A2357" w:rsidRPr="000B7170">
        <w:rPr>
          <w:lang w:eastAsia="en-US"/>
        </w:rPr>
        <w:t>1</w:t>
      </w:r>
      <w:r w:rsidR="00D41BB2" w:rsidRPr="000B7170">
        <w:rPr>
          <w:lang w:eastAsia="en-US"/>
        </w:rPr>
        <w:t xml:space="preserve"> Högskolestudier i Sverige</w:t>
      </w:r>
      <w:bookmarkEnd w:id="37"/>
    </w:p>
    <w:p w:rsidR="001A2357" w:rsidRPr="000B7170" w:rsidRDefault="001A2357" w:rsidP="001A2357">
      <w:pPr>
        <w:pStyle w:val="ANormal"/>
      </w:pPr>
      <w:r w:rsidRPr="000B7170">
        <w:t>I samband med det nordiska gränshinderarbetet vidtar landskapsregeringen kontinuerligt åtgärder särskilt för att utveckla förutsättningarna för ålä</w:t>
      </w:r>
      <w:r w:rsidRPr="000B7170">
        <w:t>n</w:t>
      </w:r>
      <w:r w:rsidRPr="000B7170">
        <w:t xml:space="preserve">ningarna att studera i Sverige, bl.a. i högskolor och universitet. </w:t>
      </w:r>
    </w:p>
    <w:p w:rsidR="001A2357" w:rsidRPr="000B7170" w:rsidRDefault="001A2357" w:rsidP="001A2357">
      <w:pPr>
        <w:pStyle w:val="ANormal"/>
      </w:pPr>
      <w:r w:rsidRPr="000B7170">
        <w:tab/>
        <w:t>Inför antagningen 2017 i Sverige, föreslog Universitets- och högskol</w:t>
      </w:r>
      <w:r w:rsidRPr="000B7170">
        <w:t>e</w:t>
      </w:r>
      <w:r w:rsidRPr="000B7170">
        <w:t>rådet ändringar i föreskrifter om grundläggande behörighet och urval till svensk högskola.  Förslaget innebar justeringar i beräkningsgrunden för den preliminära meritvärderingen för bl.a. åländska utbildningar för att bättre harmonisera med den förändrade betygsfördelningen för elever från den svenska gymnasieskolan GY11.</w:t>
      </w:r>
    </w:p>
    <w:p w:rsidR="001A2357" w:rsidRPr="000B7170" w:rsidRDefault="001A2357" w:rsidP="001A2357">
      <w:pPr>
        <w:pStyle w:val="ANormal"/>
      </w:pPr>
      <w:r w:rsidRPr="000B7170">
        <w:tab/>
      </w:r>
      <w:r w:rsidR="00E63DA9" w:rsidRPr="000B7170">
        <w:t>Landskapsregeringen</w:t>
      </w:r>
      <w:r w:rsidRPr="000B7170">
        <w:t xml:space="preserve"> uppvaktade högskoleminister Hellman-Knutsson med anledning av de förändrade beräkningsgrunderna för urval till svensk högskola inför antagningen 2017 och påtalade betydelsen av tillgången till svensk högskoleutbildning för åländska unga och vuxna. Landskapsreg</w:t>
      </w:r>
      <w:r w:rsidRPr="000B7170">
        <w:t>e</w:t>
      </w:r>
      <w:r w:rsidRPr="000B7170">
        <w:t>ringen följde under året upp effekten av de nya tillträdelsereglerna och ko</w:t>
      </w:r>
      <w:r w:rsidRPr="000B7170">
        <w:t>n</w:t>
      </w:r>
      <w:r w:rsidRPr="000B7170">
        <w:t xml:space="preserve">staterade att ålänningars möjligheter att erhålla studieplats inte försvårats genom tillämpningen av den nya meritvärderingen. </w:t>
      </w:r>
      <w:r w:rsidR="00125162" w:rsidRPr="000B7170">
        <w:t>På inbjudan av lan</w:t>
      </w:r>
      <w:r w:rsidR="00125162" w:rsidRPr="000B7170">
        <w:t>d</w:t>
      </w:r>
      <w:r w:rsidR="00125162" w:rsidRPr="000B7170">
        <w:t xml:space="preserve">skapsregeringen har </w:t>
      </w:r>
      <w:r w:rsidR="007721DF" w:rsidRPr="000B7170">
        <w:t>m</w:t>
      </w:r>
      <w:r w:rsidRPr="000B7170">
        <w:t xml:space="preserve">inister Hellman-Knutson besökt Åland </w:t>
      </w:r>
      <w:r w:rsidR="00125162" w:rsidRPr="000B7170">
        <w:t>varvid</w:t>
      </w:r>
      <w:r w:rsidRPr="000B7170">
        <w:t xml:space="preserve"> bl.a. resultaten av antagningen granskades. </w:t>
      </w:r>
    </w:p>
    <w:p w:rsidR="00D7189D" w:rsidRPr="000B7170" w:rsidRDefault="00D7189D" w:rsidP="00D7189D">
      <w:pPr>
        <w:pStyle w:val="RubrikB"/>
        <w:rPr>
          <w:lang w:eastAsia="en-US"/>
        </w:rPr>
      </w:pPr>
    </w:p>
    <w:p w:rsidR="00D7189D" w:rsidRPr="000B7170" w:rsidRDefault="00D7189D" w:rsidP="00D7189D">
      <w:pPr>
        <w:pStyle w:val="RubrikA"/>
        <w:rPr>
          <w:lang w:eastAsia="en-US"/>
        </w:rPr>
      </w:pPr>
      <w:bookmarkStart w:id="38" w:name="_Toc508271019"/>
      <w:r w:rsidRPr="000B7170">
        <w:rPr>
          <w:lang w:eastAsia="en-US"/>
        </w:rPr>
        <w:t>1</w:t>
      </w:r>
      <w:r w:rsidR="007E63B2" w:rsidRPr="000B7170">
        <w:rPr>
          <w:lang w:eastAsia="en-US"/>
        </w:rPr>
        <w:t>1</w:t>
      </w:r>
      <w:r w:rsidRPr="000B7170">
        <w:rPr>
          <w:lang w:eastAsia="en-US"/>
        </w:rPr>
        <w:t>. Kultur</w:t>
      </w:r>
      <w:bookmarkEnd w:id="38"/>
      <w:r w:rsidRPr="000B7170">
        <w:rPr>
          <w:lang w:eastAsia="en-US"/>
        </w:rPr>
        <w:t xml:space="preserve"> </w:t>
      </w:r>
    </w:p>
    <w:p w:rsidR="001A2357" w:rsidRPr="000B7170" w:rsidRDefault="001A2357" w:rsidP="001A2357">
      <w:pPr>
        <w:pStyle w:val="ANormal"/>
      </w:pPr>
      <w:r w:rsidRPr="000B7170">
        <w:t>Landskapsregeringen arbetar för att det nordiska kultursamarbetet ska u</w:t>
      </w:r>
      <w:r w:rsidRPr="000B7170">
        <w:t>t</w:t>
      </w:r>
      <w:r w:rsidRPr="000B7170">
        <w:t>göra en stark helhet där konst och kultur är hörnstenarna i den gemenskap som binder samman de nordiska länderna. Kultursamarbetet har stort infl</w:t>
      </w:r>
      <w:r w:rsidRPr="000B7170">
        <w:t>y</w:t>
      </w:r>
      <w:r w:rsidRPr="000B7170">
        <w:t>tande på sin omvärld och återspeglar den grund av gemensamma värd</w:t>
      </w:r>
      <w:r w:rsidRPr="000B7170">
        <w:t>e</w:t>
      </w:r>
      <w:r w:rsidRPr="000B7170">
        <w:t>ringar som de nordiska länderna står på. Landskapsregeringen följer for</w:t>
      </w:r>
      <w:r w:rsidRPr="000B7170">
        <w:t>t</w:t>
      </w:r>
      <w:r w:rsidRPr="000B7170">
        <w:t>sättningsvis med utvecklingen beträffande den nordiska kulturbudgeten. J</w:t>
      </w:r>
      <w:r w:rsidRPr="000B7170">
        <w:t>u</w:t>
      </w:r>
      <w:r w:rsidRPr="000B7170">
        <w:t>steringar i budgetanslagen kan leda till omprioriteringar i det nordiska ku</w:t>
      </w:r>
      <w:r w:rsidRPr="000B7170">
        <w:t>l</w:t>
      </w:r>
      <w:r w:rsidRPr="000B7170">
        <w:t>turutbytet vilket ställer krav på att säkra kontinuiteten i verksamheten och upprätthållande av kulturella nätverk.</w:t>
      </w:r>
    </w:p>
    <w:p w:rsidR="001A2357" w:rsidRPr="000B7170" w:rsidRDefault="001A2357" w:rsidP="001A2357">
      <w:pPr>
        <w:pStyle w:val="ANormal"/>
      </w:pPr>
      <w:r w:rsidRPr="000B7170">
        <w:tab/>
        <w:t>Kulturministrarna har beslutat att utveckla marknadsföringen av det nordiska kultursamarbetet utomlands. Under hela 2017 har kulturbegive</w:t>
      </w:r>
      <w:r w:rsidRPr="000B7170">
        <w:t>n</w:t>
      </w:r>
      <w:r w:rsidRPr="000B7170">
        <w:t xml:space="preserve">heten </w:t>
      </w:r>
      <w:r w:rsidRPr="000B7170">
        <w:rPr>
          <w:i/>
        </w:rPr>
        <w:t>Nordic Matters</w:t>
      </w:r>
      <w:r w:rsidRPr="000B7170">
        <w:t xml:space="preserve"> ordnats i London i samarbete med Southbank Centre, ett av Europas största kulturcentra. Efter en utvärdering våren 2018 avgör kulturministrarna om ytterligare stora internationella kultursatsningar ska genomföras. </w:t>
      </w:r>
    </w:p>
    <w:p w:rsidR="001A2357" w:rsidRPr="000B7170" w:rsidRDefault="001A2357" w:rsidP="001A2357">
      <w:pPr>
        <w:pStyle w:val="ANormal"/>
      </w:pPr>
    </w:p>
    <w:p w:rsidR="001A2357" w:rsidRPr="000B7170" w:rsidRDefault="001A2357" w:rsidP="001A2357">
      <w:pPr>
        <w:pStyle w:val="RubrikB"/>
      </w:pPr>
      <w:bookmarkStart w:id="39" w:name="_Toc508271020"/>
      <w:r w:rsidRPr="000B7170">
        <w:t>1</w:t>
      </w:r>
      <w:r w:rsidR="007E63B2" w:rsidRPr="000B7170">
        <w:t>1</w:t>
      </w:r>
      <w:r w:rsidRPr="000B7170">
        <w:t>.1 Kulturarv</w:t>
      </w:r>
      <w:bookmarkEnd w:id="39"/>
    </w:p>
    <w:p w:rsidR="001A2357" w:rsidRPr="000B7170" w:rsidRDefault="001A2357" w:rsidP="001A2357">
      <w:pPr>
        <w:pStyle w:val="ANormal"/>
      </w:pPr>
      <w:r w:rsidRPr="000B7170">
        <w:t>Landskapsregeringen har av avgett yttrande över republikens presidents framställning till Ålands lagting om regeringens proposition till riksdagen om godkännande av Europarådets ramkonvention om kulturarvets värde för samhället.</w:t>
      </w:r>
    </w:p>
    <w:p w:rsidR="001A2357" w:rsidRPr="000B7170" w:rsidRDefault="001A2357" w:rsidP="001A2357">
      <w:pPr>
        <w:pStyle w:val="ANormal"/>
      </w:pPr>
      <w:r w:rsidRPr="000B7170">
        <w:tab/>
        <w:t>Landskapsregeringen bedömer att lagtingets bifall till Europarådets ramkonvention om kulturarvets värde för samhället kan ges eftersom lan</w:t>
      </w:r>
      <w:r w:rsidRPr="000B7170">
        <w:t>d</w:t>
      </w:r>
      <w:r w:rsidRPr="000B7170">
        <w:t>skapsregeringen anser att den samlade bilden av implementeringen av ko</w:t>
      </w:r>
      <w:r w:rsidRPr="000B7170">
        <w:t>n</w:t>
      </w:r>
      <w:r w:rsidRPr="000B7170">
        <w:t>ventionen för landskapets del är uteslutande positiv. Ikraftsättande av ko</w:t>
      </w:r>
      <w:r w:rsidRPr="000B7170">
        <w:t>n</w:t>
      </w:r>
      <w:r w:rsidRPr="000B7170">
        <w:t>ventionen kräver inga omedelbara ändringar i lagstiftningen.</w:t>
      </w:r>
    </w:p>
    <w:p w:rsidR="001A2357" w:rsidRPr="000B7170" w:rsidRDefault="001A2357" w:rsidP="001A2357">
      <w:pPr>
        <w:pStyle w:val="ANormal"/>
      </w:pPr>
      <w:r w:rsidRPr="000B7170">
        <w:lastRenderedPageBreak/>
        <w:tab/>
        <w:t>Landskapsregeringen har också avgett yttrande över presidentens fra</w:t>
      </w:r>
      <w:r w:rsidRPr="000B7170">
        <w:t>m</w:t>
      </w:r>
      <w:r w:rsidRPr="000B7170">
        <w:t>ställning till Ålands lagting om regeringens proposition till riksdagen om godkännande av andra protokollet till Haagkonventionen från år 1954 om skydd för kulturegendom i händelse av väpnad konflikt.</w:t>
      </w:r>
    </w:p>
    <w:p w:rsidR="001A2357" w:rsidRPr="000B7170" w:rsidRDefault="001A2357" w:rsidP="001A2357">
      <w:pPr>
        <w:pStyle w:val="ANormal"/>
      </w:pPr>
      <w:r w:rsidRPr="000B7170">
        <w:tab/>
        <w:t>Landskapsregeringen noterar att det i presidentens framställning till Ålands lagting framkommer att det är ett förbiseende att lagtingets bifall inte inhämtats till det andra protokollet i samband med att Finland anslöt sig till protokollet år 2004.</w:t>
      </w:r>
    </w:p>
    <w:p w:rsidR="001A2357" w:rsidRPr="000B7170" w:rsidRDefault="001A2357" w:rsidP="001A2357">
      <w:pPr>
        <w:pStyle w:val="ANormal"/>
      </w:pPr>
      <w:r w:rsidRPr="000B7170">
        <w:tab/>
        <w:t>Landskapsregeringen konstaterar att lagtinget gett sitt bifall till att Haagkonventionen och dess första protokoll träder i kraft i landskapet (FördrS 92-93/1994 och Ålands lagtings beslut om godkännande av vissa bestämmelser i protokollet om skydd för kulturegendom i händelse av vä</w:t>
      </w:r>
      <w:r w:rsidRPr="000B7170">
        <w:t>p</w:t>
      </w:r>
      <w:r w:rsidRPr="000B7170">
        <w:t>nad konflikt och om tillämpningen av protokollet, ÅFS 1995:9). Vid b</w:t>
      </w:r>
      <w:r w:rsidRPr="000B7170">
        <w:t>e</w:t>
      </w:r>
      <w:r w:rsidRPr="000B7170">
        <w:t>handling av Haagkonventionen och det första protokollet konstaterade la</w:t>
      </w:r>
      <w:r w:rsidRPr="000B7170">
        <w:t>g</w:t>
      </w:r>
      <w:r w:rsidRPr="000B7170">
        <w:t>tingets lagutskott att det är väsentligt att man såväl på det nationella som på det internationella planet erkänner principen om skyldighet att skydda ku</w:t>
      </w:r>
      <w:r w:rsidRPr="000B7170">
        <w:t>l</w:t>
      </w:r>
      <w:r w:rsidRPr="000B7170">
        <w:t>turegendom. Lagutskottet konstaterade därtill att eftersom lagstiftningsb</w:t>
      </w:r>
      <w:r w:rsidRPr="000B7170">
        <w:t>e</w:t>
      </w:r>
      <w:r w:rsidRPr="000B7170">
        <w:t>hörigheten rörande fornminnen, skydd av kulturhistoriskt värdefulla byg</w:t>
      </w:r>
      <w:r w:rsidRPr="000B7170">
        <w:t>g</w:t>
      </w:r>
      <w:r w:rsidRPr="000B7170">
        <w:t>nader och föremål samt arkiv- och museiväsendet ankommer på landskapet, är det också landskapsmyndigheternas uppgift att i första hand inventera sådan kulturegendom på Åland som bör underställas ett särskilt skydd e</w:t>
      </w:r>
      <w:r w:rsidRPr="000B7170">
        <w:t>n</w:t>
      </w:r>
      <w:r w:rsidRPr="000B7170">
        <w:t>ligt konventionen. I lagutskottets betänkande analyserades inte konventio</w:t>
      </w:r>
      <w:r w:rsidRPr="000B7170">
        <w:t>n</w:t>
      </w:r>
      <w:r w:rsidRPr="000B7170">
        <w:t>ens förhållande till landskapet Ålands demilitariserade och neutraliserade status.</w:t>
      </w:r>
    </w:p>
    <w:p w:rsidR="001A2357" w:rsidRPr="000B7170" w:rsidRDefault="001A2357" w:rsidP="001A2357">
      <w:pPr>
        <w:pStyle w:val="ANormal"/>
      </w:pPr>
      <w:r w:rsidRPr="000B7170">
        <w:tab/>
        <w:t>I landskapsregeringens yttrande över presidentens framställning till Ålands lagting om regeringens proposition till riksdagen om godkännande av andra protokollet till Haagkonventionen från år 1954 om skydd för ku</w:t>
      </w:r>
      <w:r w:rsidRPr="000B7170">
        <w:t>l</w:t>
      </w:r>
      <w:r w:rsidRPr="000B7170">
        <w:t>turegendom i händelse av väpnad konflikt, konstateras att eftersom lan</w:t>
      </w:r>
      <w:r w:rsidRPr="000B7170">
        <w:t>d</w:t>
      </w:r>
      <w:r w:rsidRPr="000B7170">
        <w:t>skapet Åland är demilitariserat och neutraliserat ska sådana händelser som Haagkonventionen och dess protokoll berör inte kunna inträffa på Åland. Av den anledning är Haagkonventionen och dess protokoll egentligen inte relevanta för Åland och bestämmelserna om skydd av kulturegendom i händelse av väpnad konflikt kommer sannolikt aldrig att tillämpas. Lan</w:t>
      </w:r>
      <w:r w:rsidRPr="000B7170">
        <w:t>d</w:t>
      </w:r>
      <w:r w:rsidRPr="000B7170">
        <w:t>skapsregeringen bedömer dock att lagtingets bifall till Haagkonventionens andra protokoll kan ges eftersom landskapsregeringen anser att det är av väsentlig betydelse att erkänna principen om skyldigheten att skydda kult</w:t>
      </w:r>
      <w:r w:rsidRPr="000B7170">
        <w:t>u</w:t>
      </w:r>
      <w:r w:rsidRPr="000B7170">
        <w:t xml:space="preserve">regendom under alla omständigheter. </w:t>
      </w:r>
    </w:p>
    <w:p w:rsidR="001A2357" w:rsidRPr="000B7170" w:rsidRDefault="001A2357" w:rsidP="001A2357">
      <w:pPr>
        <w:pStyle w:val="ANormal"/>
      </w:pPr>
    </w:p>
    <w:p w:rsidR="00B875FD" w:rsidRPr="000B7170" w:rsidRDefault="00B875FD" w:rsidP="00B875FD">
      <w:pPr>
        <w:pStyle w:val="ANormal"/>
        <w:rPr>
          <w:lang w:eastAsia="en-US"/>
        </w:rPr>
      </w:pPr>
    </w:p>
    <w:p w:rsidR="00B875FD" w:rsidRPr="000B7170" w:rsidRDefault="00B875FD" w:rsidP="00B875FD">
      <w:pPr>
        <w:pStyle w:val="RubrikA"/>
        <w:rPr>
          <w:lang w:eastAsia="en-US"/>
        </w:rPr>
      </w:pPr>
      <w:bookmarkStart w:id="40" w:name="_Toc508271021"/>
      <w:r w:rsidRPr="000B7170">
        <w:rPr>
          <w:lang w:eastAsia="en-US"/>
        </w:rPr>
        <w:t>1</w:t>
      </w:r>
      <w:r w:rsidR="007E63B2" w:rsidRPr="000B7170">
        <w:rPr>
          <w:lang w:eastAsia="en-US"/>
        </w:rPr>
        <w:t>2</w:t>
      </w:r>
      <w:r w:rsidRPr="000B7170">
        <w:rPr>
          <w:lang w:eastAsia="en-US"/>
        </w:rPr>
        <w:t>. Upphovsrättsliga problem</w:t>
      </w:r>
      <w:bookmarkEnd w:id="40"/>
    </w:p>
    <w:p w:rsidR="00AE46C1" w:rsidRPr="000B7170" w:rsidRDefault="00AE46C1" w:rsidP="00AE46C1">
      <w:pPr>
        <w:pStyle w:val="ANormal"/>
      </w:pPr>
      <w:r w:rsidRPr="000B7170">
        <w:t>Sedan 2015 har EU:s institutioner arbetat med flera olika förslag som rör upphovsrätt eller gränsöverskridande tillgång till audiovisuellt innehåll. Landskapsregeringen har bevakat arbetet och aktivt försökt påverka la</w:t>
      </w:r>
      <w:r w:rsidRPr="000B7170">
        <w:t>g</w:t>
      </w:r>
      <w:r w:rsidRPr="000B7170">
        <w:t xml:space="preserve">stiftningsprocessen. </w:t>
      </w:r>
    </w:p>
    <w:p w:rsidR="00AE46C1" w:rsidRPr="000B7170" w:rsidRDefault="00AE46C1" w:rsidP="00AE46C1">
      <w:pPr>
        <w:pStyle w:val="ANormal"/>
      </w:pPr>
      <w:r w:rsidRPr="000B7170">
        <w:tab/>
        <w:t xml:space="preserve">Institutionerna har bland annat behandlat förslaget från kommissionen om </w:t>
      </w:r>
      <w:r w:rsidRPr="000B7170">
        <w:rPr>
          <w:b/>
        </w:rPr>
        <w:t>återsändning av upphovsrättsskyddat material</w:t>
      </w:r>
      <w:r w:rsidRPr="000B7170">
        <w:t>, som handlar om att revidera dagens satellit- och kabeldirektiv som möjliggör att linjär TV kan ses över gränserna. Kommissionens idé var att ungefär samma innehåll som ses gränsöverskridande på kabel- och satellit TV ska ses gränsöverskr</w:t>
      </w:r>
      <w:r w:rsidRPr="000B7170">
        <w:t>i</w:t>
      </w:r>
      <w:r w:rsidRPr="000B7170">
        <w:t xml:space="preserve">dande på nätet. LR har starkt understött kommissionen, med hjälp av undervisningsministeriet, men har varit i minoritet både i EP och rådet. </w:t>
      </w:r>
    </w:p>
    <w:p w:rsidR="00AE46C1" w:rsidRPr="000B7170" w:rsidRDefault="00AE46C1" w:rsidP="00AE46C1">
      <w:pPr>
        <w:pStyle w:val="ANormal"/>
      </w:pPr>
      <w:r w:rsidRPr="000B7170">
        <w:tab/>
        <w:t>Europaparlamentets utskott antog sin position den 22.11.2017 med r</w:t>
      </w:r>
      <w:r w:rsidRPr="000B7170">
        <w:t>e</w:t>
      </w:r>
      <w:r w:rsidRPr="000B7170">
        <w:t>sultatet att vidaresändning enbart bör omfatta kabel eller IPTV, vilket är en inskränkning från kommissionens förslag som var teknikneutralt. Föror</w:t>
      </w:r>
      <w:r w:rsidRPr="000B7170">
        <w:t>d</w:t>
      </w:r>
      <w:r w:rsidRPr="000B7170">
        <w:t xml:space="preserve">ningen ska enligt parlamentet dessutom enbart omfatta nyheter och aktuella händelser, vilket är mycket mindre än kommissionens förslag att omfatta i </w:t>
      </w:r>
      <w:r w:rsidRPr="000B7170">
        <w:lastRenderedPageBreak/>
        <w:t xml:space="preserve">stort allt innehåll förutom premium innehåll. Utskottets position slogs fast i plenum den 12.12.2017. </w:t>
      </w:r>
    </w:p>
    <w:p w:rsidR="00AE46C1" w:rsidRPr="000B7170" w:rsidRDefault="00AE46C1" w:rsidP="00AE46C1">
      <w:pPr>
        <w:pStyle w:val="ANormal"/>
      </w:pPr>
      <w:r w:rsidRPr="000B7170">
        <w:t xml:space="preserve">    </w:t>
      </w:r>
      <w:r w:rsidRPr="000B7170">
        <w:tab/>
        <w:t xml:space="preserve">Ambassadörerna i Coreper I antog rådets position den 15.12.2017 och </w:t>
      </w:r>
      <w:r w:rsidRPr="000B7170">
        <w:rPr>
          <w:bCs/>
        </w:rPr>
        <w:t>inskränkte ytterligare omfattningen av ursprungslandsprincipen till enbart nyheter, aktuella händelser och in-house produktioner. För LR är ytterligare begränsningar av förordningens omfattning inte till fördel, då effekten av regler inte blir lika effektiva som kommissionens förslag hade inneburit. Finland, tillsammans med Nederländerna, Luxembourg och Ungern, mo</w:t>
      </w:r>
      <w:r w:rsidRPr="000B7170">
        <w:rPr>
          <w:bCs/>
        </w:rPr>
        <w:t>t</w:t>
      </w:r>
      <w:r w:rsidRPr="000B7170">
        <w:rPr>
          <w:bCs/>
        </w:rPr>
        <w:t xml:space="preserve">satte sig inskränkningen men var i klar minoritet. Enligt ministeriet finns inget mervärde av förordningen som den ser ut just nu. </w:t>
      </w:r>
    </w:p>
    <w:p w:rsidR="00AE46C1" w:rsidRPr="000B7170" w:rsidRDefault="00AE46C1" w:rsidP="00AE46C1">
      <w:pPr>
        <w:pStyle w:val="ANormal"/>
      </w:pPr>
      <w:r w:rsidRPr="000B7170">
        <w:rPr>
          <w:bCs/>
        </w:rPr>
        <w:tab/>
      </w:r>
      <w:r w:rsidRPr="000B7170">
        <w:t>Nu ska de så kallade trepartsförhandlingarna mellan rådet, europaparl</w:t>
      </w:r>
      <w:r w:rsidRPr="000B7170">
        <w:t>a</w:t>
      </w:r>
      <w:r w:rsidRPr="000B7170">
        <w:t>mentet och kommissionen starta. Syftet med dessa är att sammanföra de tre institutionernas versioner av lagtexten till en slutlig kompromiss. Chanse</w:t>
      </w:r>
      <w:r w:rsidRPr="000B7170">
        <w:t>r</w:t>
      </w:r>
      <w:r w:rsidRPr="000B7170">
        <w:t>na att få föreslaget på rätt köl igen är mycket små och LR kommer huvu</w:t>
      </w:r>
      <w:r w:rsidRPr="000B7170">
        <w:t>d</w:t>
      </w:r>
      <w:r w:rsidRPr="000B7170">
        <w:t>sakligen bevaka hur ärendet framskrider.</w:t>
      </w:r>
    </w:p>
    <w:p w:rsidR="00201D09" w:rsidRPr="000B7170" w:rsidRDefault="00201D09" w:rsidP="00B875FD">
      <w:pPr>
        <w:pStyle w:val="ANormal"/>
        <w:rPr>
          <w:lang w:eastAsia="en-US"/>
        </w:rPr>
      </w:pPr>
    </w:p>
    <w:p w:rsidR="00201D09" w:rsidRPr="000B7170" w:rsidRDefault="00201D09" w:rsidP="00201D09">
      <w:pPr>
        <w:pStyle w:val="RubrikA"/>
        <w:rPr>
          <w:lang w:eastAsia="en-US"/>
        </w:rPr>
      </w:pPr>
      <w:bookmarkStart w:id="41" w:name="_Toc508271022"/>
      <w:r w:rsidRPr="000B7170">
        <w:rPr>
          <w:lang w:eastAsia="en-US"/>
        </w:rPr>
        <w:t>1</w:t>
      </w:r>
      <w:r w:rsidR="007E63B2" w:rsidRPr="000B7170">
        <w:rPr>
          <w:lang w:eastAsia="en-US"/>
        </w:rPr>
        <w:t>3</w:t>
      </w:r>
      <w:r w:rsidRPr="000B7170">
        <w:rPr>
          <w:lang w:eastAsia="en-US"/>
        </w:rPr>
        <w:t>. Arkivväsendet</w:t>
      </w:r>
      <w:bookmarkEnd w:id="41"/>
    </w:p>
    <w:p w:rsidR="00201D09" w:rsidRPr="000B7170" w:rsidRDefault="00201D09" w:rsidP="00201D09">
      <w:pPr>
        <w:pStyle w:val="ANormal"/>
        <w:rPr>
          <w:lang w:eastAsia="en-US"/>
        </w:rPr>
      </w:pPr>
      <w:r w:rsidRPr="000B7170">
        <w:rPr>
          <w:lang w:eastAsia="en-US"/>
        </w:rPr>
        <w:t>Arkivväsendet består idag alltmer av it-system och hybrida lösningar där informationen såväl är tillgänglig analogt som digitalt. Informationens fö</w:t>
      </w:r>
      <w:r w:rsidRPr="000B7170">
        <w:rPr>
          <w:lang w:eastAsia="en-US"/>
        </w:rPr>
        <w:t>r</w:t>
      </w:r>
      <w:r w:rsidRPr="000B7170">
        <w:rPr>
          <w:lang w:eastAsia="en-US"/>
        </w:rPr>
        <w:t>varingstider, form och hanteringsregler fastställs enligt lag och förordning samt genom lagstadgade arkivplaner som myndigheterna tar fram i samråd med Ålands landskapsarkiv och som därefter fastställs av Ålands lan</w:t>
      </w:r>
      <w:r w:rsidRPr="000B7170">
        <w:rPr>
          <w:lang w:eastAsia="en-US"/>
        </w:rPr>
        <w:t>d</w:t>
      </w:r>
      <w:r w:rsidRPr="000B7170">
        <w:rPr>
          <w:lang w:eastAsia="en-US"/>
        </w:rPr>
        <w:t>skapsregering efter utlåtanden från riksarkivet. Att säkerställa att rättssa</w:t>
      </w:r>
      <w:r w:rsidRPr="000B7170">
        <w:rPr>
          <w:lang w:eastAsia="en-US"/>
        </w:rPr>
        <w:t>m</w:t>
      </w:r>
      <w:r w:rsidRPr="000B7170">
        <w:rPr>
          <w:lang w:eastAsia="en-US"/>
        </w:rPr>
        <w:t>hället upprätthålls och att det åländska kulturarvet bevaras är det åländska arkivväsendets uppgift, likaså utövas en tillsyn för att säkerställa att fas</w:t>
      </w:r>
      <w:r w:rsidRPr="000B7170">
        <w:rPr>
          <w:lang w:eastAsia="en-US"/>
        </w:rPr>
        <w:t>t</w:t>
      </w:r>
      <w:r w:rsidRPr="000B7170">
        <w:rPr>
          <w:lang w:eastAsia="en-US"/>
        </w:rPr>
        <w:t>ställda hanteringsregler och förvaringsformat följs, arkivlag (2004:13) för landskapet Åland, 3 §, 11 §.</w:t>
      </w:r>
    </w:p>
    <w:p w:rsidR="00201D09" w:rsidRPr="000B7170" w:rsidRDefault="00201D09" w:rsidP="00201D09">
      <w:pPr>
        <w:pStyle w:val="ANormal"/>
        <w:rPr>
          <w:lang w:eastAsia="en-US"/>
        </w:rPr>
      </w:pPr>
      <w:r w:rsidRPr="000B7170">
        <w:rPr>
          <w:lang w:eastAsia="en-US"/>
        </w:rPr>
        <w:tab/>
        <w:t>Interoperabiliteten vad gäller de it-system som arkivväsendet styr g</w:t>
      </w:r>
      <w:r w:rsidRPr="000B7170">
        <w:rPr>
          <w:lang w:eastAsia="en-US"/>
        </w:rPr>
        <w:t>e</w:t>
      </w:r>
      <w:r w:rsidRPr="000B7170">
        <w:rPr>
          <w:lang w:eastAsia="en-US"/>
        </w:rPr>
        <w:t>nom sin roll som utövare av tillsyn över arkivväsendet blir alltmer central.  För landskapet viktiga it-system administreras av EU, riket och olika typer av arkivbildare med anknytning till den andra och tredje sektorn. Utveck</w:t>
      </w:r>
      <w:r w:rsidRPr="000B7170">
        <w:rPr>
          <w:lang w:eastAsia="en-US"/>
        </w:rPr>
        <w:t>l</w:t>
      </w:r>
      <w:r w:rsidRPr="000B7170">
        <w:rPr>
          <w:lang w:eastAsia="en-US"/>
        </w:rPr>
        <w:t>ingen av infrastrukturen, och s.k. paketstrukturer, metadataformat samt masterdata är ofta kopplad till ett systemarbete som utövas av rikets my</w:t>
      </w:r>
      <w:r w:rsidRPr="000B7170">
        <w:rPr>
          <w:lang w:eastAsia="en-US"/>
        </w:rPr>
        <w:t>n</w:t>
      </w:r>
      <w:r w:rsidRPr="000B7170">
        <w:rPr>
          <w:lang w:eastAsia="en-US"/>
        </w:rPr>
        <w:t>digheter.</w:t>
      </w:r>
    </w:p>
    <w:p w:rsidR="00201D09" w:rsidRPr="000B7170" w:rsidRDefault="00201D09" w:rsidP="00201D09">
      <w:pPr>
        <w:pStyle w:val="ANormal"/>
        <w:rPr>
          <w:lang w:eastAsia="en-US"/>
        </w:rPr>
      </w:pPr>
      <w:r w:rsidRPr="000B7170">
        <w:rPr>
          <w:lang w:eastAsia="en-US"/>
        </w:rPr>
        <w:tab/>
        <w:t>I enlighet med lagstiftningen på området levererar även de statliga my</w:t>
      </w:r>
      <w:r w:rsidRPr="000B7170">
        <w:rPr>
          <w:lang w:eastAsia="en-US"/>
        </w:rPr>
        <w:t>n</w:t>
      </w:r>
      <w:r w:rsidRPr="000B7170">
        <w:rPr>
          <w:lang w:eastAsia="en-US"/>
        </w:rPr>
        <w:t>digheterna och ämbetsverken de handlingar som berör Åland och som skapas när offentlig förvaltning bedrivs på Åland – oberoende av tekniskt format – till Ålands landskapsarkiv. Överväganden vad beträffar köp av elektroniska tjänster för att bli kopplad till en extern databas för betjäning av enskilda uppdrag i relation till ett vidare nyttjande av informationen kan aktualiseras.</w:t>
      </w:r>
    </w:p>
    <w:p w:rsidR="00201D09" w:rsidRPr="000B7170" w:rsidRDefault="00201D09" w:rsidP="00201D09">
      <w:pPr>
        <w:pStyle w:val="ANormal"/>
        <w:rPr>
          <w:lang w:eastAsia="en-US"/>
        </w:rPr>
      </w:pPr>
    </w:p>
    <w:p w:rsidR="00201D09" w:rsidRPr="000B7170" w:rsidRDefault="00201D09" w:rsidP="00201D09">
      <w:pPr>
        <w:pStyle w:val="RubrikA"/>
      </w:pPr>
      <w:bookmarkStart w:id="42" w:name="_Toc508271023"/>
      <w:r w:rsidRPr="000B7170">
        <w:t>1</w:t>
      </w:r>
      <w:r w:rsidR="007E63B2" w:rsidRPr="000B7170">
        <w:t>4</w:t>
      </w:r>
      <w:r w:rsidRPr="000B7170">
        <w:t>. Jordbrukspolitik</w:t>
      </w:r>
      <w:bookmarkEnd w:id="42"/>
    </w:p>
    <w:p w:rsidR="004D363A" w:rsidRPr="000B7170" w:rsidRDefault="004D363A" w:rsidP="004D363A">
      <w:pPr>
        <w:pStyle w:val="ANormal"/>
        <w:rPr>
          <w:lang w:val="sv-FI"/>
        </w:rPr>
      </w:pPr>
      <w:r w:rsidRPr="000B7170">
        <w:rPr>
          <w:lang w:val="sv-FI"/>
        </w:rPr>
        <w:t>Som landskapsregeringen rapporterade i 2017 års redogörelse till självst</w:t>
      </w:r>
      <w:r w:rsidRPr="000B7170">
        <w:rPr>
          <w:lang w:val="sv-FI"/>
        </w:rPr>
        <w:t>y</w:t>
      </w:r>
      <w:r w:rsidRPr="000B7170">
        <w:rPr>
          <w:lang w:val="sv-FI"/>
        </w:rPr>
        <w:t>relsepolitiska nämnden lämnade Jord och skogsbruksministeriet den 5 o</w:t>
      </w:r>
      <w:r w:rsidRPr="000B7170">
        <w:rPr>
          <w:lang w:val="sv-FI"/>
        </w:rPr>
        <w:t>k</w:t>
      </w:r>
      <w:r w:rsidRPr="000B7170">
        <w:rPr>
          <w:lang w:val="sv-FI"/>
        </w:rPr>
        <w:t>tober 2016 ett förslag till lag om statsborgen för gårdsbruksenheter i syfte att statsgarantier skall kunna beviljas för gårdsbruksenheter för likviditet</w:t>
      </w:r>
      <w:r w:rsidRPr="000B7170">
        <w:rPr>
          <w:lang w:val="sv-FI"/>
        </w:rPr>
        <w:t>s</w:t>
      </w:r>
      <w:r w:rsidRPr="000B7170">
        <w:rPr>
          <w:lang w:val="sv-FI"/>
        </w:rPr>
        <w:t>lån som beviljas av bankerna för att lindra de tillfälliga ekonomiska svåri</w:t>
      </w:r>
      <w:r w:rsidRPr="000B7170">
        <w:rPr>
          <w:lang w:val="sv-FI"/>
        </w:rPr>
        <w:t>g</w:t>
      </w:r>
      <w:r w:rsidRPr="000B7170">
        <w:rPr>
          <w:lang w:val="sv-FI"/>
        </w:rPr>
        <w:t>heter som gårdsbruksenheter råkat i på grund av förändringar i verksa</w:t>
      </w:r>
      <w:r w:rsidRPr="000B7170">
        <w:rPr>
          <w:lang w:val="sv-FI"/>
        </w:rPr>
        <w:t>m</w:t>
      </w:r>
      <w:r w:rsidRPr="000B7170">
        <w:rPr>
          <w:lang w:val="sv-FI"/>
        </w:rPr>
        <w:t>hetsmiljön. Området ansågs av ministeriet tillhöra landskapets behörighet</w:t>
      </w:r>
      <w:r w:rsidRPr="000B7170">
        <w:rPr>
          <w:lang w:val="sv-FI"/>
        </w:rPr>
        <w:t>s</w:t>
      </w:r>
      <w:r w:rsidRPr="000B7170">
        <w:rPr>
          <w:lang w:val="sv-FI"/>
        </w:rPr>
        <w:t>område och avsågs därför inte implementeras i landskapet. Ålands lan</w:t>
      </w:r>
      <w:r w:rsidRPr="000B7170">
        <w:rPr>
          <w:lang w:val="sv-FI"/>
        </w:rPr>
        <w:t>d</w:t>
      </w:r>
      <w:r w:rsidRPr="000B7170">
        <w:rPr>
          <w:lang w:val="sv-FI"/>
        </w:rPr>
        <w:t>skapsregering valde att föra frågan för avgörande till högsta domstolen i e</w:t>
      </w:r>
      <w:r w:rsidRPr="000B7170">
        <w:rPr>
          <w:lang w:val="sv-FI"/>
        </w:rPr>
        <w:t>n</w:t>
      </w:r>
      <w:r w:rsidRPr="000B7170">
        <w:rPr>
          <w:lang w:val="sv-FI"/>
        </w:rPr>
        <w:t xml:space="preserve">lighet med 60 § 2 mom. i självstyrelselagen. </w:t>
      </w:r>
    </w:p>
    <w:p w:rsidR="004D363A" w:rsidRPr="000B7170" w:rsidRDefault="004D363A" w:rsidP="004D363A">
      <w:pPr>
        <w:pStyle w:val="ANormal"/>
        <w:rPr>
          <w:lang w:val="sv-FI"/>
        </w:rPr>
      </w:pPr>
      <w:r w:rsidRPr="000B7170">
        <w:rPr>
          <w:lang w:val="sv-FI"/>
        </w:rPr>
        <w:tab/>
        <w:t>Högsta domstolen avgjorde saken 29.6.2017 efter att ha erhållit utl</w:t>
      </w:r>
      <w:r w:rsidRPr="000B7170">
        <w:rPr>
          <w:lang w:val="sv-FI"/>
        </w:rPr>
        <w:t>å</w:t>
      </w:r>
      <w:r w:rsidRPr="000B7170">
        <w:rPr>
          <w:lang w:val="sv-FI"/>
        </w:rPr>
        <w:t xml:space="preserve">tande från Ålandsdelegationen. Ålandsdelegationen ansåg i sitt utlåtande att nämnda rikslag var att hänföra till rättsområdet priset på lantbruksprodukter </w:t>
      </w:r>
      <w:r w:rsidRPr="000B7170">
        <w:rPr>
          <w:lang w:val="sv-FI"/>
        </w:rPr>
        <w:lastRenderedPageBreak/>
        <w:t>och därmed också skulle utgöra riksbehörighet enligt självstyrelselagens 27 § 15 punkt och därmed tillämplig på Åland. Högsta domstolen konstaterade i sitt avgörande å andra sidan ansåg att för att hänföra ett rättsområde till priset på lantbruksprodukter och därmed rikets behörighet så skall området ha en direkt påverkan på produktpriser inte bara en indirekt påverkan. Högsta domstolen avgjorde därför att rikslagen om statsborgen för likvid</w:t>
      </w:r>
      <w:r w:rsidRPr="000B7170">
        <w:rPr>
          <w:lang w:val="sv-FI"/>
        </w:rPr>
        <w:t>i</w:t>
      </w:r>
      <w:r w:rsidRPr="000B7170">
        <w:rPr>
          <w:lang w:val="sv-FI"/>
        </w:rPr>
        <w:t>tetslån till följd av en orolig marknad inte var tillämplig på Åland.</w:t>
      </w:r>
    </w:p>
    <w:p w:rsidR="004D363A" w:rsidRPr="000B7170" w:rsidRDefault="004D363A" w:rsidP="004D363A">
      <w:pPr>
        <w:pStyle w:val="ANormal"/>
        <w:rPr>
          <w:lang w:val="sv-FI"/>
        </w:rPr>
      </w:pPr>
      <w:r w:rsidRPr="000B7170">
        <w:rPr>
          <w:lang w:val="sv-FI"/>
        </w:rPr>
        <w:tab/>
        <w:t>Som en följd av avgörandet tog Ålands landskapsregering fram ett fö</w:t>
      </w:r>
      <w:r w:rsidRPr="000B7170">
        <w:rPr>
          <w:lang w:val="sv-FI"/>
        </w:rPr>
        <w:t>r</w:t>
      </w:r>
      <w:r w:rsidRPr="000B7170">
        <w:rPr>
          <w:lang w:val="sv-FI"/>
        </w:rPr>
        <w:t>slag till motsvarande lagstiftning gällande landskapsgaranti för likviditet</w:t>
      </w:r>
      <w:r w:rsidRPr="000B7170">
        <w:rPr>
          <w:lang w:val="sv-FI"/>
        </w:rPr>
        <w:t>s</w:t>
      </w:r>
      <w:r w:rsidRPr="000B7170">
        <w:rPr>
          <w:lang w:val="sv-FI"/>
        </w:rPr>
        <w:t>lån. Lagtinget godkände landskapslagen 18 september. Landskapsregerin</w:t>
      </w:r>
      <w:r w:rsidRPr="000B7170">
        <w:rPr>
          <w:lang w:val="sv-FI"/>
        </w:rPr>
        <w:t>g</w:t>
      </w:r>
      <w:r w:rsidRPr="000B7170">
        <w:rPr>
          <w:lang w:val="sv-FI"/>
        </w:rPr>
        <w:t>en godkände under hösten landskapsgarantier för 4 stycken likviditetslån till lantbrukare med lagen som grund.</w:t>
      </w:r>
    </w:p>
    <w:p w:rsidR="004D363A" w:rsidRPr="000B7170" w:rsidRDefault="004D363A" w:rsidP="004D363A">
      <w:pPr>
        <w:pStyle w:val="ANormal"/>
        <w:rPr>
          <w:lang w:val="sv-FI"/>
        </w:rPr>
      </w:pPr>
      <w:r w:rsidRPr="000B7170">
        <w:rPr>
          <w:lang w:val="sv-FI"/>
        </w:rPr>
        <w:tab/>
        <w:t>Behörighetstvisten har igen uppmärksammat behovet av en uppdatering av formuleringarna kring behörigheterna inom jordbruket. Landskapsreg</w:t>
      </w:r>
      <w:r w:rsidRPr="000B7170">
        <w:rPr>
          <w:lang w:val="sv-FI"/>
        </w:rPr>
        <w:t>e</w:t>
      </w:r>
      <w:r w:rsidRPr="000B7170">
        <w:rPr>
          <w:lang w:val="sv-FI"/>
        </w:rPr>
        <w:t>ringen har därför formulerat ett förslag till omformulerad skrivning med målsättningen att skapa en tydligare avgränsning mellan jord- och skog</w:t>
      </w:r>
      <w:r w:rsidRPr="000B7170">
        <w:rPr>
          <w:lang w:val="sv-FI"/>
        </w:rPr>
        <w:t>s</w:t>
      </w:r>
      <w:r w:rsidRPr="000B7170">
        <w:rPr>
          <w:lang w:val="sv-FI"/>
        </w:rPr>
        <w:t>bruksministeriets och landskapsregeringens ansvarsområden. Målsättnin</w:t>
      </w:r>
      <w:r w:rsidRPr="000B7170">
        <w:rPr>
          <w:lang w:val="sv-FI"/>
        </w:rPr>
        <w:t>g</w:t>
      </w:r>
      <w:r w:rsidRPr="000B7170">
        <w:rPr>
          <w:lang w:val="sv-FI"/>
        </w:rPr>
        <w:t>en är att formuleringen tas in i den nya självstyrelselagen om jord- och skogsbruksministeriet och landskapsregeringen enas om formuleringarna.</w:t>
      </w:r>
    </w:p>
    <w:p w:rsidR="00201D09" w:rsidRPr="000B7170" w:rsidRDefault="00201D09" w:rsidP="00201D09">
      <w:pPr>
        <w:rPr>
          <w:lang w:val="sv-FI"/>
        </w:rPr>
      </w:pPr>
    </w:p>
    <w:p w:rsidR="00201D09" w:rsidRPr="000B7170" w:rsidRDefault="00201D09" w:rsidP="00201D09">
      <w:pPr>
        <w:pStyle w:val="RubrikA"/>
      </w:pPr>
      <w:bookmarkStart w:id="43" w:name="_Toc508271024"/>
      <w:r w:rsidRPr="000B7170">
        <w:t>1</w:t>
      </w:r>
      <w:r w:rsidR="007E63B2" w:rsidRPr="000B7170">
        <w:t>5</w:t>
      </w:r>
      <w:r w:rsidRPr="000B7170">
        <w:t>. Fiskeripolitik</w:t>
      </w:r>
      <w:bookmarkEnd w:id="43"/>
    </w:p>
    <w:p w:rsidR="00C952CA" w:rsidRPr="000B7170" w:rsidRDefault="00C952CA" w:rsidP="00C952CA">
      <w:pPr>
        <w:pStyle w:val="ANormal"/>
      </w:pPr>
      <w:r w:rsidRPr="000B7170">
        <w:t>I december 2016 fattade jord- och skogsbruksministeriet ett beslut om fö</w:t>
      </w:r>
      <w:r w:rsidRPr="000B7170">
        <w:t>r</w:t>
      </w:r>
      <w:r w:rsidRPr="000B7170">
        <w:t>delning av Finlands fiskekvoter för de av EU kvoterade arterna strömming, vassbuk och lax, vilket föranleddes av att riksmyndigheterna hade impl</w:t>
      </w:r>
      <w:r w:rsidRPr="000B7170">
        <w:t>e</w:t>
      </w:r>
      <w:r w:rsidRPr="000B7170">
        <w:t>menterat ett system med individuella kvoter. Landskapsregeringen hade vid flertalet tillfällen framhållit att man anser att riksmyndigheterna inte är b</w:t>
      </w:r>
      <w:r w:rsidRPr="000B7170">
        <w:t>e</w:t>
      </w:r>
      <w:r w:rsidRPr="000B7170">
        <w:t>höriga att ensidigt besluta huruvida fiskekvoterna ska fördelas mellan lan</w:t>
      </w:r>
      <w:r w:rsidRPr="000B7170">
        <w:t>d</w:t>
      </w:r>
      <w:r w:rsidRPr="000B7170">
        <w:t>skapet och riket, vilka fiskekvoter som ska fördelas eller vilken förde</w:t>
      </w:r>
      <w:r w:rsidRPr="000B7170">
        <w:t>l</w:t>
      </w:r>
      <w:r w:rsidRPr="000B7170">
        <w:t>ningsgrund som ska användas.</w:t>
      </w:r>
    </w:p>
    <w:p w:rsidR="00C952CA" w:rsidRPr="000B7170" w:rsidRDefault="00C952CA" w:rsidP="00C952CA">
      <w:pPr>
        <w:pStyle w:val="ANormal"/>
      </w:pPr>
      <w:r w:rsidRPr="000B7170">
        <w:tab/>
        <w:t>I enlighet med självstyrelselagens 60 § 2 mom. skickades en framstäl</w:t>
      </w:r>
      <w:r w:rsidRPr="000B7170">
        <w:t>l</w:t>
      </w:r>
      <w:r w:rsidRPr="000B7170">
        <w:t>ning till Högsta domstolen där ministeriet anhöll om att Högsta domstolen skulle avgöra om riksmyndigheten är behörig att med ett förvaltningsbeslut verkställa en fördelning av Finlands fiskekvoter mellan riket och landskapet och bekräfta att förvaltningsbeslutet därmed är juridiskt bindande för lan</w:t>
      </w:r>
      <w:r w:rsidRPr="000B7170">
        <w:t>d</w:t>
      </w:r>
      <w:r w:rsidRPr="000B7170">
        <w:t>skapet Åland och dess fiskeaktörer. I januari 2017 lämnade landskapsreg</w:t>
      </w:r>
      <w:r w:rsidRPr="000B7170">
        <w:t>e</w:t>
      </w:r>
      <w:r w:rsidRPr="000B7170">
        <w:t xml:space="preserve">ringen en skrivelse till Högsta domstolen i vilken man bemötte jord- och skogsbruksministeriets framställning. </w:t>
      </w:r>
    </w:p>
    <w:p w:rsidR="00C952CA" w:rsidRPr="000B7170" w:rsidRDefault="00C952CA" w:rsidP="00C952CA">
      <w:pPr>
        <w:pStyle w:val="ANormal"/>
      </w:pPr>
      <w:r w:rsidRPr="000B7170">
        <w:tab/>
        <w:t>Samtidigt skickade landskapsregeringen även en besvärsskrivelse till Helsingfors förvaltningsdomstol över ministeriets beslut om fördelning av fiskekvoterna. Landskapsregeringen skickade ytterligare en skrivelse till Helsingfors förvaltningsdomstol i maj 2017 i vilken landskapsregeringen bemötte jord- och skogsbruksministeriets yttrande till domstolen. Lan</w:t>
      </w:r>
      <w:r w:rsidRPr="000B7170">
        <w:t>d</w:t>
      </w:r>
      <w:r w:rsidRPr="000B7170">
        <w:t>skapsregeringen framhöll till Helsingfors förvaltningsdomstol bl a att man anser att ministeriet har brustit i sin beredning av ärendet då ministeriet u</w:t>
      </w:r>
      <w:r w:rsidRPr="000B7170">
        <w:t>n</w:t>
      </w:r>
      <w:r w:rsidRPr="000B7170">
        <w:t xml:space="preserve">der hanteringen av ärendet inte har behandlat landskapsregeringen som en jämbördig part.  </w:t>
      </w:r>
    </w:p>
    <w:p w:rsidR="00C952CA" w:rsidRPr="000B7170" w:rsidRDefault="00C952CA" w:rsidP="00C952CA">
      <w:pPr>
        <w:pStyle w:val="ANormal"/>
      </w:pPr>
      <w:r w:rsidRPr="000B7170">
        <w:tab/>
        <w:t>Högsta domstolen beslöt den 29.6.2017 att jord- och skogsbruksminist</w:t>
      </w:r>
      <w:r w:rsidRPr="000B7170">
        <w:t>e</w:t>
      </w:r>
      <w:r w:rsidRPr="000B7170">
        <w:t>riet är behörigt att med stöd och iakttagande av 59 b § 2 mom. självstyrels</w:t>
      </w:r>
      <w:r w:rsidRPr="000B7170">
        <w:t>e</w:t>
      </w:r>
      <w:r w:rsidRPr="000B7170">
        <w:t>lagen för Åland besluta om en för genomförande av Europeiska unionens gemensamma fiskeripolitik nödvändig fördelning av Finlands fiskekvoter för strömming, vassbuk och lax då samförstånd mellan rikets och landska</w:t>
      </w:r>
      <w:r w:rsidRPr="000B7170">
        <w:t>p</w:t>
      </w:r>
      <w:r w:rsidRPr="000B7170">
        <w:t>ets myndigheter inte uppnåtts.</w:t>
      </w:r>
    </w:p>
    <w:p w:rsidR="00C952CA" w:rsidRPr="000B7170" w:rsidRDefault="00C952CA" w:rsidP="00C952CA">
      <w:pPr>
        <w:pStyle w:val="ANormal"/>
      </w:pPr>
      <w:r w:rsidRPr="000B7170">
        <w:tab/>
        <w:t>Högsta domstolen konstaterade i sitt beslut att EU-rätten i sig inte föru</w:t>
      </w:r>
      <w:r w:rsidRPr="000B7170">
        <w:t>t</w:t>
      </w:r>
      <w:r w:rsidRPr="000B7170">
        <w:t xml:space="preserve">sätter att Finlands fiskekvoter delas i andelar mellan riket och landskapet. Domstolen konstaterar vidare att ”Det är dock uteslutet att den nationella kvoten inte alls skulle delas och fyllandet av kvoten skulle blir beroende av </w:t>
      </w:r>
      <w:r w:rsidRPr="000B7170">
        <w:lastRenderedPageBreak/>
        <w:t>den faktiska mängden fångad fisk tills den nationella kvoten skulle bli fylld och riket på basen av detta skulle förbjuda fisket i hela landet. Ett sådant system kunde leda till tävlingsfiske mellan fiskarna, som klart står i strid med syftena för unionens gemensamma fiskeripolitik”. Beträffande huruvida ministeriets beslut skulle vara juridiskt bindande för landskapsr</w:t>
      </w:r>
      <w:r w:rsidRPr="000B7170">
        <w:t>e</w:t>
      </w:r>
      <w:r w:rsidRPr="000B7170">
        <w:t>geringen konstaterar Högsta domstolen att ”fråga härvid inte är om rik</w:t>
      </w:r>
      <w:r w:rsidRPr="000B7170">
        <w:t>s</w:t>
      </w:r>
      <w:r w:rsidRPr="000B7170">
        <w:t>myndighetens behörighet utan om rättsverkan av dess beslut.” Domstolen avgör med stöd av 60 § 2 mom. självstyrelselagen meningsskiljaktigheter beträffande behörigheten mellan rikets och landskapets myndigheter men lagrummet ger inte domstolen behörighet att avgöra frågor som rör rätt</w:t>
      </w:r>
      <w:r w:rsidRPr="000B7170">
        <w:t>s</w:t>
      </w:r>
      <w:r w:rsidRPr="000B7170">
        <w:t xml:space="preserve">verkningar av beslut. </w:t>
      </w:r>
    </w:p>
    <w:p w:rsidR="00C952CA" w:rsidRPr="000B7170" w:rsidRDefault="00C952CA" w:rsidP="00C952CA">
      <w:pPr>
        <w:pStyle w:val="ANormal"/>
      </w:pPr>
      <w:r w:rsidRPr="000B7170">
        <w:tab/>
        <w:t>Denna fråga kommer att prövas av behörig förvaltningsdomstol. I jord- och skogsbruksministeriets beslut om fördelningen av fiskekvoterna hade Helsingfors förvaltningsdomstol angetts som behörig förvaltningsdomstol. I oktober 2017 beslöt dock Helsingfors förvaltningsdomstol att överföra ärendet till Åbo förvaltningsdomstol som i enlighet med rikets lag om det nationella genomförandet av Europeiska unionens gemensamma fiskerip</w:t>
      </w:r>
      <w:r w:rsidRPr="000B7170">
        <w:t>o</w:t>
      </w:r>
      <w:r w:rsidRPr="000B7170">
        <w:t>litik (1048/2016) är den förvaltningsdomstol till vilken ansökan om ändring ska riktas.</w:t>
      </w:r>
    </w:p>
    <w:p w:rsidR="007854C9" w:rsidRPr="000B7170" w:rsidRDefault="007854C9" w:rsidP="007854C9">
      <w:pPr>
        <w:shd w:val="clear" w:color="auto" w:fill="FFFFFF"/>
        <w:spacing w:after="165"/>
        <w:jc w:val="both"/>
      </w:pPr>
    </w:p>
    <w:p w:rsidR="007854C9" w:rsidRPr="000B7170" w:rsidRDefault="007854C9" w:rsidP="007854C9">
      <w:pPr>
        <w:pStyle w:val="RubrikA"/>
      </w:pPr>
      <w:bookmarkStart w:id="44" w:name="_Toc508271025"/>
      <w:r w:rsidRPr="000B7170">
        <w:t>1</w:t>
      </w:r>
      <w:r w:rsidR="007E63B2" w:rsidRPr="000B7170">
        <w:t>6</w:t>
      </w:r>
      <w:r w:rsidRPr="000B7170">
        <w:t>. Flytt av utlänningsärenden från polisen till Migrationsverket</w:t>
      </w:r>
      <w:bookmarkEnd w:id="44"/>
      <w:r w:rsidRPr="000B7170">
        <w:t xml:space="preserve"> </w:t>
      </w:r>
    </w:p>
    <w:p w:rsidR="00A52572" w:rsidRPr="000B7170" w:rsidRDefault="00A52572" w:rsidP="00A52572">
      <w:pPr>
        <w:pStyle w:val="ANormal"/>
        <w:rPr>
          <w:lang w:eastAsia="sv-FI"/>
        </w:rPr>
      </w:pPr>
      <w:r w:rsidRPr="000B7170">
        <w:rPr>
          <w:lang w:eastAsia="sv-FI"/>
        </w:rPr>
        <w:t xml:space="preserve">Från och med 1 januari 2017 sköter Migrationsverket alla tillståndsfrågor för utlänningar, vilket lyftes upp i redogörelsen till Självstyrelsepolitiska nämnden 2016. De åländska kunderna har från och med 2017 betjänats av Migrationsverkets servicepunkt i </w:t>
      </w:r>
      <w:r w:rsidR="00AE46C1" w:rsidRPr="000B7170">
        <w:rPr>
          <w:lang w:eastAsia="sv-FI"/>
        </w:rPr>
        <w:t>Reso</w:t>
      </w:r>
      <w:r w:rsidRPr="000B7170">
        <w:rPr>
          <w:lang w:eastAsia="sv-FI"/>
        </w:rPr>
        <w:t>. Därutöver har det varit möjligt att boka tid med en svenskspråkig tjänsteman från Migrationsverket som haft mottagning i Mariehamn med regelbundna intervall. Mottagningstiderna har under året utökats i takt med efterfrågan även om det från kundperspe</w:t>
      </w:r>
      <w:r w:rsidRPr="000B7170">
        <w:rPr>
          <w:lang w:eastAsia="sv-FI"/>
        </w:rPr>
        <w:t>k</w:t>
      </w:r>
      <w:r w:rsidRPr="000B7170">
        <w:rPr>
          <w:lang w:eastAsia="sv-FI"/>
        </w:rPr>
        <w:t>tiv ändå naturligtvis inneburit en försämring jämfört med tidigare års up</w:t>
      </w:r>
      <w:r w:rsidRPr="000B7170">
        <w:rPr>
          <w:lang w:eastAsia="sv-FI"/>
        </w:rPr>
        <w:t>p</w:t>
      </w:r>
      <w:r w:rsidRPr="000B7170">
        <w:rPr>
          <w:lang w:eastAsia="sv-FI"/>
        </w:rPr>
        <w:t xml:space="preserve">lägg. </w:t>
      </w:r>
    </w:p>
    <w:p w:rsidR="00A52572" w:rsidRPr="000B7170" w:rsidRDefault="00A52572" w:rsidP="00A52572">
      <w:pPr>
        <w:pStyle w:val="ANormal"/>
        <w:rPr>
          <w:lang w:eastAsia="sv-FI"/>
        </w:rPr>
      </w:pPr>
      <w:r w:rsidRPr="000B7170">
        <w:rPr>
          <w:lang w:eastAsia="sv-FI"/>
        </w:rPr>
        <w:tab/>
        <w:t>För att underlätta så långt det går för kunderna har servicen vid infor</w:t>
      </w:r>
      <w:r w:rsidRPr="000B7170">
        <w:rPr>
          <w:lang w:eastAsia="sv-FI"/>
        </w:rPr>
        <w:t>m</w:t>
      </w:r>
      <w:r w:rsidRPr="000B7170">
        <w:rPr>
          <w:lang w:eastAsia="sv-FI"/>
        </w:rPr>
        <w:t>ationskontoret Kompassen</w:t>
      </w:r>
      <w:r w:rsidR="00AE46C1" w:rsidRPr="000B7170">
        <w:rPr>
          <w:lang w:eastAsia="sv-FI"/>
        </w:rPr>
        <w:t>,</w:t>
      </w:r>
      <w:r w:rsidRPr="000B7170">
        <w:rPr>
          <w:lang w:eastAsia="sv-FI"/>
        </w:rPr>
        <w:t xml:space="preserve"> som finansieras av landskapsregeringen</w:t>
      </w:r>
      <w:r w:rsidR="00AE46C1" w:rsidRPr="000B7170">
        <w:rPr>
          <w:lang w:eastAsia="sv-FI"/>
        </w:rPr>
        <w:t>,</w:t>
      </w:r>
      <w:r w:rsidRPr="000B7170">
        <w:rPr>
          <w:lang w:eastAsia="sv-FI"/>
        </w:rPr>
        <w:t xml:space="preserve"> ut</w:t>
      </w:r>
      <w:r w:rsidRPr="000B7170">
        <w:rPr>
          <w:lang w:eastAsia="sv-FI"/>
        </w:rPr>
        <w:t>ö</w:t>
      </w:r>
      <w:r w:rsidRPr="000B7170">
        <w:rPr>
          <w:lang w:eastAsia="sv-FI"/>
        </w:rPr>
        <w:t>kats under hösten 2017. Personer som vänt sig till Kompassen har haft fr</w:t>
      </w:r>
      <w:r w:rsidRPr="000B7170">
        <w:rPr>
          <w:lang w:eastAsia="sv-FI"/>
        </w:rPr>
        <w:t>å</w:t>
      </w:r>
      <w:r w:rsidRPr="000B7170">
        <w:rPr>
          <w:lang w:eastAsia="sv-FI"/>
        </w:rPr>
        <w:t>gor kring uppehållstillstånd, uppehållsrätt och finländskt medborgarskap. Kompassen har kunnat hjälpa med detaljer i ansökan, information om tider för Migrationsverkets service på Åland och hur man tekniskt ska gå tillväga vad gäller Migrationsverkets digitala tjänster.</w:t>
      </w:r>
    </w:p>
    <w:p w:rsidR="00D507AE" w:rsidRPr="000B7170" w:rsidRDefault="00D507AE" w:rsidP="00A52572">
      <w:pPr>
        <w:pStyle w:val="ANormal"/>
        <w:rPr>
          <w:lang w:eastAsia="sv-FI"/>
        </w:rPr>
      </w:pPr>
      <w:r w:rsidRPr="000B7170">
        <w:rPr>
          <w:lang w:eastAsia="sv-FI"/>
        </w:rPr>
        <w:tab/>
        <w:t>Med stöd av Amif-fonden för integration och vidare bosättning kommer under tre år en betydande förstärkning av integrationsarbetet på Åland att ske i det tre-åriga projektet En säker hamn.</w:t>
      </w:r>
    </w:p>
    <w:p w:rsidR="00912925" w:rsidRPr="000B7170" w:rsidRDefault="00912925" w:rsidP="00AA302C">
      <w:pPr>
        <w:pStyle w:val="RubrikB"/>
      </w:pPr>
    </w:p>
    <w:p w:rsidR="00312B77" w:rsidRPr="000B7170" w:rsidRDefault="00DF0CD8" w:rsidP="00312B77">
      <w:pPr>
        <w:pStyle w:val="RubrikA"/>
        <w:rPr>
          <w:lang w:val="sv-FI"/>
        </w:rPr>
      </w:pPr>
      <w:bookmarkStart w:id="45" w:name="_Toc508271026"/>
      <w:r w:rsidRPr="000B7170">
        <w:rPr>
          <w:lang w:val="sv-FI"/>
        </w:rPr>
        <w:t>1</w:t>
      </w:r>
      <w:r w:rsidR="007E63B2" w:rsidRPr="000B7170">
        <w:rPr>
          <w:lang w:val="sv-FI"/>
        </w:rPr>
        <w:t>7</w:t>
      </w:r>
      <w:r w:rsidRPr="000B7170">
        <w:rPr>
          <w:lang w:val="sv-FI"/>
        </w:rPr>
        <w:t xml:space="preserve">. </w:t>
      </w:r>
      <w:r w:rsidR="009C4CC7" w:rsidRPr="000B7170">
        <w:rPr>
          <w:lang w:val="sv-FI"/>
        </w:rPr>
        <w:t xml:space="preserve">El och energi 2017 </w:t>
      </w:r>
      <w:r w:rsidR="00312B77" w:rsidRPr="000B7170">
        <w:rPr>
          <w:lang w:val="sv-FI"/>
        </w:rPr>
        <w:t>–</w:t>
      </w:r>
      <w:r w:rsidR="009C4CC7" w:rsidRPr="000B7170">
        <w:rPr>
          <w:lang w:val="sv-FI"/>
        </w:rPr>
        <w:t xml:space="preserve"> 2018</w:t>
      </w:r>
      <w:bookmarkEnd w:id="45"/>
    </w:p>
    <w:p w:rsidR="00AC2AE9" w:rsidRPr="000B7170" w:rsidRDefault="009C4CC7" w:rsidP="00312B77">
      <w:pPr>
        <w:pStyle w:val="ANormal"/>
        <w:rPr>
          <w:lang w:val="sv-FI"/>
        </w:rPr>
      </w:pPr>
      <w:r w:rsidRPr="000B7170">
        <w:rPr>
          <w:lang w:val="sv-FI"/>
        </w:rPr>
        <w:t>Den s.k. Finlandskabeln öppnade möjlighet att överföra el i bägge riktnin</w:t>
      </w:r>
      <w:r w:rsidRPr="000B7170">
        <w:rPr>
          <w:lang w:val="sv-FI"/>
        </w:rPr>
        <w:t>g</w:t>
      </w:r>
      <w:r w:rsidRPr="000B7170">
        <w:rPr>
          <w:lang w:val="sv-FI"/>
        </w:rPr>
        <w:t>arna mellan Sveriges och Finlands stamnät via Åland. Mellan Åland och Sverige finns sedan år 2000 en 60 MW sjökabelförbindelse på vilken Ab Vattenfall uppbär nätavgift om ca 1,2 miljoner euro per år av Kraftnät Åland för överföringen. Denna nätavgift begränsar idag möjligheten till en effektiv användning av förbindelserna och enligt beslut om förbindelser mellan de nordiska länderna ska avgifter inte förekomma. Detta fastslås även i EU:s elhandelsförordning (714/2009). Det finska stamnätsbolaget Fingrid har visat ett stort intresse för att den fria kapaciteten i förbindelsen från Sverige och över Åland via den nya likströmsförbindelsen till finska fastlandet ska utnyttjas och de önskar inleda transitering så snart det är mö</w:t>
      </w:r>
      <w:r w:rsidRPr="000B7170">
        <w:rPr>
          <w:lang w:val="sv-FI"/>
        </w:rPr>
        <w:t>j</w:t>
      </w:r>
      <w:r w:rsidRPr="000B7170">
        <w:rPr>
          <w:lang w:val="sv-FI"/>
        </w:rPr>
        <w:t xml:space="preserve">ligt. Diskussioner förs nu med Svenska kraftnät (Svk), som meddelat att det </w:t>
      </w:r>
      <w:r w:rsidRPr="000B7170">
        <w:rPr>
          <w:lang w:val="sv-FI"/>
        </w:rPr>
        <w:lastRenderedPageBreak/>
        <w:t>behövs uppdateringar i det nya driftledningssystemet och avtalsändringar och kompletteringar för att det skall vara möjligt. Förändringarna i driftle</w:t>
      </w:r>
      <w:r w:rsidRPr="000B7170">
        <w:rPr>
          <w:lang w:val="sv-FI"/>
        </w:rPr>
        <w:t>d</w:t>
      </w:r>
      <w:r w:rsidRPr="000B7170">
        <w:rPr>
          <w:lang w:val="sv-FI"/>
        </w:rPr>
        <w:t xml:space="preserve">ningssystemet som krävs är planerade att införas under kvartal 3 2018 och avsikten är att transiteringen inleds inom ramen för nuvarande tariff och abonnemang. </w:t>
      </w:r>
    </w:p>
    <w:p w:rsidR="009C4CC7" w:rsidRPr="000B7170" w:rsidRDefault="00AC2AE9" w:rsidP="00312B77">
      <w:pPr>
        <w:pStyle w:val="ANormal"/>
        <w:rPr>
          <w:rFonts w:ascii="Helvetica" w:hAnsi="Helvetica" w:cs="Helvetica"/>
          <w:lang w:val="sv-FI"/>
        </w:rPr>
      </w:pPr>
      <w:r w:rsidRPr="000B7170">
        <w:rPr>
          <w:lang w:val="sv-FI"/>
        </w:rPr>
        <w:tab/>
        <w:t xml:space="preserve">Kraftnät Åland Ab kommer att anlita juridisk expertis </w:t>
      </w:r>
      <w:r w:rsidR="008621A6" w:rsidRPr="000B7170">
        <w:rPr>
          <w:lang w:val="sv-FI"/>
        </w:rPr>
        <w:t xml:space="preserve">i tariffrågan </w:t>
      </w:r>
      <w:r w:rsidR="00FB762E" w:rsidRPr="000B7170">
        <w:rPr>
          <w:lang w:val="sv-FI"/>
        </w:rPr>
        <w:t xml:space="preserve">för att </w:t>
      </w:r>
      <w:r w:rsidR="0041162B" w:rsidRPr="000B7170">
        <w:rPr>
          <w:lang w:val="sv-FI"/>
        </w:rPr>
        <w:t xml:space="preserve">analysera förutsättningarna att driva </w:t>
      </w:r>
      <w:r w:rsidR="008621A6" w:rsidRPr="000B7170">
        <w:rPr>
          <w:lang w:val="sv-FI"/>
        </w:rPr>
        <w:t xml:space="preserve">saken </w:t>
      </w:r>
      <w:r w:rsidR="0041162B" w:rsidRPr="000B7170">
        <w:rPr>
          <w:lang w:val="sv-FI"/>
        </w:rPr>
        <w:t>den rättsliga vägen</w:t>
      </w:r>
      <w:r w:rsidR="009C4CC7" w:rsidRPr="000B7170">
        <w:rPr>
          <w:lang w:val="sv-FI"/>
        </w:rPr>
        <w:t>.</w:t>
      </w:r>
    </w:p>
    <w:p w:rsidR="009C4CC7" w:rsidRPr="000B7170" w:rsidRDefault="009C4CC7" w:rsidP="00312B77">
      <w:pPr>
        <w:pStyle w:val="ANormal"/>
        <w:rPr>
          <w:lang w:val="sv-FI"/>
        </w:rPr>
      </w:pPr>
    </w:p>
    <w:p w:rsidR="009C4CC7" w:rsidRPr="000B7170" w:rsidRDefault="00DF0CD8" w:rsidP="00312B77">
      <w:pPr>
        <w:pStyle w:val="RubrikB"/>
        <w:rPr>
          <w:lang w:val="sv-FI"/>
        </w:rPr>
      </w:pPr>
      <w:bookmarkStart w:id="46" w:name="_Toc508271027"/>
      <w:r w:rsidRPr="000B7170">
        <w:rPr>
          <w:lang w:val="sv-FI"/>
        </w:rPr>
        <w:t>1</w:t>
      </w:r>
      <w:r w:rsidR="007E63B2" w:rsidRPr="000B7170">
        <w:rPr>
          <w:lang w:val="sv-FI"/>
        </w:rPr>
        <w:t>7</w:t>
      </w:r>
      <w:r w:rsidRPr="000B7170">
        <w:rPr>
          <w:lang w:val="sv-FI"/>
        </w:rPr>
        <w:t>.1.</w:t>
      </w:r>
      <w:r w:rsidR="009C4CC7" w:rsidRPr="000B7170">
        <w:rPr>
          <w:lang w:val="sv-FI"/>
        </w:rPr>
        <w:t>Åland som innovativ plattform för flexibelt energisystem</w:t>
      </w:r>
      <w:bookmarkEnd w:id="46"/>
      <w:r w:rsidR="009C4CC7" w:rsidRPr="000B7170">
        <w:rPr>
          <w:lang w:val="sv-FI"/>
        </w:rPr>
        <w:t xml:space="preserve"> </w:t>
      </w:r>
    </w:p>
    <w:p w:rsidR="009C4CC7" w:rsidRPr="000B7170" w:rsidRDefault="009C4CC7" w:rsidP="00312B77">
      <w:pPr>
        <w:pStyle w:val="ANormal"/>
        <w:rPr>
          <w:lang w:val="sv-FI"/>
        </w:rPr>
      </w:pPr>
      <w:r w:rsidRPr="000B7170">
        <w:rPr>
          <w:lang w:val="sv-FI"/>
        </w:rPr>
        <w:t>Landskapsregeringen tillsammans med Clic Innovation Ab avslutade fas 1 förstudier för Åland som testområden för smarta energilösningar förso</w:t>
      </w:r>
      <w:r w:rsidRPr="000B7170">
        <w:rPr>
          <w:lang w:val="sv-FI"/>
        </w:rPr>
        <w:t>m</w:t>
      </w:r>
      <w:r w:rsidRPr="000B7170">
        <w:rPr>
          <w:lang w:val="sv-FI"/>
        </w:rPr>
        <w:t>maren 2017. Som resultat av förarbetet konstaterades att Åland kunde vara lämplig testplattform för projektet på grund av storlek, infrastruktur, goda vind- och solförhållanden samt den egna lagstiftningsbehörigheten i vissa frågor.</w:t>
      </w:r>
    </w:p>
    <w:p w:rsidR="009C4CC7" w:rsidRPr="000B7170" w:rsidRDefault="00312B77" w:rsidP="00312B77">
      <w:pPr>
        <w:pStyle w:val="ANormal"/>
        <w:rPr>
          <w:lang w:val="sv-FI"/>
        </w:rPr>
      </w:pPr>
      <w:r w:rsidRPr="000B7170">
        <w:rPr>
          <w:lang w:val="sv-FI"/>
        </w:rPr>
        <w:tab/>
      </w:r>
      <w:r w:rsidR="009C4CC7" w:rsidRPr="000B7170">
        <w:rPr>
          <w:lang w:val="sv-FI"/>
        </w:rPr>
        <w:t>Fas 2, FLEXe- Demo påbörjades av landskapet tillsammans med Clic Innovation Ab, sensommaren 2017, genom att ingående delsystem defini</w:t>
      </w:r>
      <w:r w:rsidR="009C4CC7" w:rsidRPr="000B7170">
        <w:rPr>
          <w:lang w:val="sv-FI"/>
        </w:rPr>
        <w:t>e</w:t>
      </w:r>
      <w:r w:rsidR="009C4CC7" w:rsidRPr="000B7170">
        <w:rPr>
          <w:lang w:val="sv-FI"/>
        </w:rPr>
        <w:t>rades och färdplaner för att åstadkomma lösningar som kan sammanknytas till ett helhetssystem framtages under arbetets gång. Utgångspunkt är ett flexibelt elnät med 100% VRES (variabel förnyelsebar energi) demonstra</w:t>
      </w:r>
      <w:r w:rsidR="009C4CC7" w:rsidRPr="000B7170">
        <w:rPr>
          <w:lang w:val="sv-FI"/>
        </w:rPr>
        <w:t>t</w:t>
      </w:r>
      <w:r w:rsidR="009C4CC7" w:rsidRPr="000B7170">
        <w:rPr>
          <w:lang w:val="sv-FI"/>
        </w:rPr>
        <w:t>ion förverkligas på Åland. Företag från riket såsom UPM, FORTUM och ABB har förbundit sig att delta i projektfinansieringen. Flera företag och organisationer, både från Åland och riket, har indikerat intresse för me</w:t>
      </w:r>
      <w:r w:rsidR="009C4CC7" w:rsidRPr="000B7170">
        <w:rPr>
          <w:lang w:val="sv-FI"/>
        </w:rPr>
        <w:t>d</w:t>
      </w:r>
      <w:r w:rsidR="009C4CC7" w:rsidRPr="000B7170">
        <w:rPr>
          <w:lang w:val="sv-FI"/>
        </w:rPr>
        <w:t>verkan i projektet, men slutgiltig finansiering begrundas och är under a</w:t>
      </w:r>
      <w:r w:rsidR="009C4CC7" w:rsidRPr="000B7170">
        <w:rPr>
          <w:lang w:val="sv-FI"/>
        </w:rPr>
        <w:t>r</w:t>
      </w:r>
      <w:r w:rsidR="009C4CC7" w:rsidRPr="000B7170">
        <w:rPr>
          <w:lang w:val="sv-FI"/>
        </w:rPr>
        <w:t>bete.</w:t>
      </w:r>
    </w:p>
    <w:p w:rsidR="009C4CC7" w:rsidRPr="000B7170" w:rsidRDefault="00312B77" w:rsidP="00312B77">
      <w:pPr>
        <w:pStyle w:val="ANormal"/>
        <w:rPr>
          <w:lang w:val="sv-FI"/>
        </w:rPr>
      </w:pPr>
      <w:r w:rsidRPr="000B7170">
        <w:rPr>
          <w:lang w:val="sv-FI"/>
        </w:rPr>
        <w:tab/>
      </w:r>
      <w:r w:rsidR="009C4CC7" w:rsidRPr="000B7170">
        <w:rPr>
          <w:lang w:val="sv-FI"/>
        </w:rPr>
        <w:t>Projektet presenterades under CEM 8 (Clean Energy Ministerial), som består av representanter G-20 länderna, på sommaren 2017 i Beijing av Clic Innovation och Arbets- och näringsministeriet, och rönte stort intresse hos åhörarna.</w:t>
      </w:r>
    </w:p>
    <w:p w:rsidR="009C4CC7" w:rsidRPr="000B7170" w:rsidRDefault="00312B77" w:rsidP="00312B77">
      <w:pPr>
        <w:pStyle w:val="ANormal"/>
        <w:rPr>
          <w:lang w:val="sv-FI"/>
        </w:rPr>
      </w:pPr>
      <w:r w:rsidRPr="000B7170">
        <w:rPr>
          <w:lang w:val="sv-FI"/>
        </w:rPr>
        <w:tab/>
      </w:r>
      <w:r w:rsidR="009C4CC7" w:rsidRPr="000B7170">
        <w:rPr>
          <w:lang w:val="sv-FI"/>
        </w:rPr>
        <w:t>I oktober 2017 träffades näringsminister Gunell och energiminister Ti</w:t>
      </w:r>
      <w:r w:rsidR="009C4CC7" w:rsidRPr="000B7170">
        <w:rPr>
          <w:lang w:val="sv-FI"/>
        </w:rPr>
        <w:t>i</w:t>
      </w:r>
      <w:r w:rsidR="009C4CC7" w:rsidRPr="000B7170">
        <w:rPr>
          <w:lang w:val="sv-FI"/>
        </w:rPr>
        <w:t>likainen där FLEXe- Demo projektet var enda berörd diskussionspunkt och som man enhälligt ville stöda och gå vidare med under gemensam front. Ålands riksdagsman Mats Löfström arrangerade under hösten 2017 ett s</w:t>
      </w:r>
      <w:r w:rsidR="009C4CC7" w:rsidRPr="000B7170">
        <w:rPr>
          <w:lang w:val="sv-FI"/>
        </w:rPr>
        <w:t>e</w:t>
      </w:r>
      <w:r w:rsidR="009C4CC7" w:rsidRPr="000B7170">
        <w:rPr>
          <w:lang w:val="sv-FI"/>
        </w:rPr>
        <w:t>minarium vid riksdagen där Åland som testplattform presenterades.</w:t>
      </w:r>
    </w:p>
    <w:p w:rsidR="009C4CC7" w:rsidRPr="000B7170" w:rsidRDefault="00312B77" w:rsidP="00312B77">
      <w:pPr>
        <w:pStyle w:val="ANormal"/>
        <w:rPr>
          <w:lang w:val="sv-FI"/>
        </w:rPr>
      </w:pPr>
      <w:r w:rsidRPr="000B7170">
        <w:rPr>
          <w:lang w:val="sv-FI"/>
        </w:rPr>
        <w:tab/>
      </w:r>
      <w:r w:rsidR="009C4CC7" w:rsidRPr="000B7170">
        <w:rPr>
          <w:lang w:val="sv-FI"/>
        </w:rPr>
        <w:t>Pågående Fas2 beräknas pågå under 2018 (bl.a. med TEKES delfina</w:t>
      </w:r>
      <w:r w:rsidR="009C4CC7" w:rsidRPr="000B7170">
        <w:rPr>
          <w:lang w:val="sv-FI"/>
        </w:rPr>
        <w:t>n</w:t>
      </w:r>
      <w:r w:rsidR="009C4CC7" w:rsidRPr="000B7170">
        <w:rPr>
          <w:lang w:val="sv-FI"/>
        </w:rPr>
        <w:t>siering), där de olika delsystemen har organiserats i arbetsgrupper och a</w:t>
      </w:r>
      <w:r w:rsidR="009C4CC7" w:rsidRPr="000B7170">
        <w:rPr>
          <w:lang w:val="sv-FI"/>
        </w:rPr>
        <w:t>r</w:t>
      </w:r>
      <w:r w:rsidR="009C4CC7" w:rsidRPr="000B7170">
        <w:rPr>
          <w:lang w:val="sv-FI"/>
        </w:rPr>
        <w:t>betsmöten har hållits inom de flesta delområden. Färdplan utarbetas och kostnadskalkyler framtages inför följande fas som skall beröra finansi</w:t>
      </w:r>
      <w:r w:rsidR="009C4CC7" w:rsidRPr="000B7170">
        <w:rPr>
          <w:lang w:val="sv-FI"/>
        </w:rPr>
        <w:t>e</w:t>
      </w:r>
      <w:r w:rsidR="009C4CC7" w:rsidRPr="000B7170">
        <w:rPr>
          <w:lang w:val="sv-FI"/>
        </w:rPr>
        <w:t>ringsinstrument och möjligheter därtill.</w:t>
      </w:r>
    </w:p>
    <w:p w:rsidR="009C4CC7" w:rsidRPr="000B7170" w:rsidRDefault="00312B77" w:rsidP="00312B77">
      <w:pPr>
        <w:pStyle w:val="ANormal"/>
        <w:rPr>
          <w:lang w:val="sv-FI"/>
        </w:rPr>
      </w:pPr>
      <w:r w:rsidRPr="000B7170">
        <w:rPr>
          <w:lang w:val="sv-FI"/>
        </w:rPr>
        <w:tab/>
      </w:r>
      <w:r w:rsidR="009C4CC7" w:rsidRPr="000B7170">
        <w:rPr>
          <w:lang w:val="sv-FI"/>
        </w:rPr>
        <w:t>Landskapet har inbjudits som partner i ett Horizon 2020 projekt (LC-SC3-ES-4-2018 ”Minska CO2 utsläpp i energisystem hos geografiska öar”) där Korsika är ledande medan Sardinien, Grekland, Azorerna och Åland är partners som kan även tänkas demonstrera vissa delmål.</w:t>
      </w:r>
    </w:p>
    <w:p w:rsidR="009C4CC7" w:rsidRPr="000B7170" w:rsidRDefault="009C4CC7" w:rsidP="00312B77">
      <w:pPr>
        <w:pStyle w:val="ANormal"/>
        <w:rPr>
          <w:lang w:val="sv-FI"/>
        </w:rPr>
      </w:pPr>
      <w:r w:rsidRPr="000B7170">
        <w:rPr>
          <w:lang w:val="sv-FI"/>
        </w:rPr>
        <w:t>I maj kommer CEM 9 arrangeras i Köpenhamn och Malmö där det är pl</w:t>
      </w:r>
      <w:r w:rsidRPr="000B7170">
        <w:rPr>
          <w:lang w:val="sv-FI"/>
        </w:rPr>
        <w:t>a</w:t>
      </w:r>
      <w:r w:rsidRPr="000B7170">
        <w:rPr>
          <w:lang w:val="sv-FI"/>
        </w:rPr>
        <w:t xml:space="preserve">nerat att Business Finland/Åland arrangerar en sidoföreläsning om projektet Åland FLEXe – demo 100% RES.  </w:t>
      </w:r>
    </w:p>
    <w:p w:rsidR="00AA302C" w:rsidRPr="00981943" w:rsidRDefault="00960AE7" w:rsidP="00AA302C">
      <w:pPr>
        <w:rPr>
          <w:sz w:val="32"/>
          <w:szCs w:val="32"/>
          <w:lang w:val="sv-FI"/>
        </w:rPr>
      </w:pPr>
      <w:r w:rsidRPr="00981943">
        <w:rPr>
          <w:sz w:val="32"/>
          <w:szCs w:val="32"/>
          <w:lang w:val="sv-FI"/>
        </w:rPr>
        <w:t xml:space="preserve"> </w:t>
      </w:r>
    </w:p>
    <w:p w:rsidR="00AA302C" w:rsidRPr="00981943" w:rsidRDefault="00AA302C" w:rsidP="00912925">
      <w:pPr>
        <w:pStyle w:val="anormal0"/>
        <w:shd w:val="clear" w:color="auto" w:fill="FFFFFF"/>
        <w:spacing w:after="165"/>
        <w:rPr>
          <w:rFonts w:ascii="Helvetica" w:hAnsi="Helvetica" w:cs="Arial"/>
        </w:rPr>
      </w:pPr>
    </w:p>
    <w:p w:rsidR="00AA302C" w:rsidRPr="00981943" w:rsidRDefault="00AA302C" w:rsidP="00912925">
      <w:pPr>
        <w:pStyle w:val="anormal0"/>
        <w:shd w:val="clear" w:color="auto" w:fill="FFFFFF"/>
        <w:spacing w:after="165"/>
        <w:rPr>
          <w:rFonts w:ascii="Helvetica" w:hAnsi="Helvetica" w:cs="Arial"/>
        </w:rPr>
      </w:pPr>
    </w:p>
    <w:p w:rsidR="00912925" w:rsidRPr="00981943" w:rsidRDefault="00912925" w:rsidP="008C7875">
      <w:pPr>
        <w:pStyle w:val="ANormal"/>
        <w:rPr>
          <w:lang w:val="sv-FI"/>
        </w:rPr>
      </w:pPr>
    </w:p>
    <w:p w:rsidR="007854C9" w:rsidRPr="00981943" w:rsidRDefault="007854C9" w:rsidP="00522770">
      <w:pPr>
        <w:pStyle w:val="ANormal"/>
      </w:pPr>
    </w:p>
    <w:p w:rsidR="00201D09" w:rsidRPr="00981943" w:rsidRDefault="00201D09" w:rsidP="00201D09">
      <w:pPr>
        <w:pStyle w:val="ANormal"/>
      </w:pPr>
    </w:p>
    <w:p w:rsidR="00201D09" w:rsidRPr="00981943" w:rsidRDefault="00201D09" w:rsidP="00201D09">
      <w:pPr>
        <w:pStyle w:val="ANormal"/>
        <w:rPr>
          <w:lang w:eastAsia="en-US"/>
        </w:rPr>
      </w:pPr>
    </w:p>
    <w:p w:rsidR="00201D09" w:rsidRPr="00981943" w:rsidRDefault="00201D09" w:rsidP="00201D09">
      <w:pPr>
        <w:widowControl w:val="0"/>
        <w:tabs>
          <w:tab w:val="left" w:pos="1500"/>
          <w:tab w:val="left" w:pos="3000"/>
        </w:tabs>
        <w:autoSpaceDE w:val="0"/>
        <w:autoSpaceDN w:val="0"/>
        <w:adjustRightInd w:val="0"/>
        <w:rPr>
          <w:sz w:val="16"/>
          <w:szCs w:val="16"/>
        </w:rPr>
      </w:pPr>
    </w:p>
    <w:p w:rsidR="00201D09" w:rsidRPr="00981943" w:rsidRDefault="00201D09" w:rsidP="00B875FD">
      <w:pPr>
        <w:pStyle w:val="ANormal"/>
        <w:rPr>
          <w:lang w:eastAsia="en-US"/>
        </w:rPr>
      </w:pPr>
    </w:p>
    <w:p w:rsidR="00B875FD" w:rsidRPr="00981943" w:rsidRDefault="00B875FD" w:rsidP="00B875FD">
      <w:pPr>
        <w:pStyle w:val="ANormal"/>
        <w:rPr>
          <w:lang w:eastAsia="en-US"/>
        </w:rPr>
      </w:pPr>
    </w:p>
    <w:p w:rsidR="00D7189D" w:rsidRPr="00981943" w:rsidRDefault="00D7189D">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981943" w:rsidRPr="00981943">
        <w:trPr>
          <w:cantSplit/>
        </w:trPr>
        <w:tc>
          <w:tcPr>
            <w:tcW w:w="7931" w:type="dxa"/>
            <w:gridSpan w:val="2"/>
          </w:tcPr>
          <w:p w:rsidR="000E14E2" w:rsidRPr="00981943" w:rsidRDefault="000E14E2" w:rsidP="00D7189D">
            <w:pPr>
              <w:spacing w:after="200" w:line="276" w:lineRule="auto"/>
              <w:rPr>
                <w:sz w:val="28"/>
              </w:rPr>
            </w:pPr>
          </w:p>
        </w:tc>
      </w:tr>
      <w:tr w:rsidR="00981943" w:rsidRPr="00981943">
        <w:tc>
          <w:tcPr>
            <w:tcW w:w="4454" w:type="dxa"/>
            <w:vAlign w:val="bottom"/>
          </w:tcPr>
          <w:p w:rsidR="000E14E2" w:rsidRPr="00981943" w:rsidRDefault="00A16BD2">
            <w:pPr>
              <w:pStyle w:val="ANormal"/>
              <w:keepNext/>
              <w:rPr>
                <w:sz w:val="28"/>
              </w:rPr>
            </w:pPr>
            <w:r w:rsidRPr="00981943">
              <w:rPr>
                <w:sz w:val="28"/>
              </w:rPr>
              <w:t xml:space="preserve"> </w:t>
            </w:r>
          </w:p>
        </w:tc>
        <w:tc>
          <w:tcPr>
            <w:tcW w:w="3477" w:type="dxa"/>
            <w:vAlign w:val="bottom"/>
          </w:tcPr>
          <w:p w:rsidR="000E14E2" w:rsidRPr="00981943" w:rsidRDefault="000E14E2">
            <w:pPr>
              <w:pStyle w:val="ANormal"/>
              <w:keepNext/>
              <w:rPr>
                <w:sz w:val="28"/>
              </w:rPr>
            </w:pPr>
          </w:p>
          <w:p w:rsidR="000E14E2" w:rsidRPr="00981943" w:rsidRDefault="000E14E2">
            <w:pPr>
              <w:pStyle w:val="ANormal"/>
              <w:keepNext/>
              <w:rPr>
                <w:sz w:val="28"/>
              </w:rPr>
            </w:pPr>
          </w:p>
          <w:p w:rsidR="000E14E2" w:rsidRPr="00981943" w:rsidRDefault="000E14E2">
            <w:pPr>
              <w:pStyle w:val="ANormal"/>
              <w:keepNext/>
              <w:rPr>
                <w:sz w:val="28"/>
              </w:rPr>
            </w:pPr>
          </w:p>
        </w:tc>
      </w:tr>
      <w:tr w:rsidR="000E14E2" w:rsidRPr="00981943">
        <w:tc>
          <w:tcPr>
            <w:tcW w:w="4454" w:type="dxa"/>
            <w:vAlign w:val="bottom"/>
          </w:tcPr>
          <w:p w:rsidR="000E14E2" w:rsidRPr="00981943" w:rsidRDefault="000E14E2">
            <w:pPr>
              <w:pStyle w:val="ANormal"/>
              <w:keepNext/>
              <w:rPr>
                <w:sz w:val="28"/>
              </w:rPr>
            </w:pPr>
          </w:p>
        </w:tc>
        <w:tc>
          <w:tcPr>
            <w:tcW w:w="3477" w:type="dxa"/>
            <w:vAlign w:val="bottom"/>
          </w:tcPr>
          <w:p w:rsidR="000E14E2" w:rsidRPr="00981943" w:rsidRDefault="000E14E2">
            <w:pPr>
              <w:pStyle w:val="ANormal"/>
              <w:keepNext/>
              <w:rPr>
                <w:sz w:val="28"/>
              </w:rPr>
            </w:pPr>
          </w:p>
        </w:tc>
      </w:tr>
    </w:tbl>
    <w:p w:rsidR="00850D2A" w:rsidRPr="00981943" w:rsidRDefault="00850D2A" w:rsidP="00DF0CD8">
      <w:pPr>
        <w:pStyle w:val="ANormal"/>
      </w:pPr>
    </w:p>
    <w:sectPr w:rsidR="00850D2A" w:rsidRPr="00981943">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B2" w:rsidRDefault="007E63B2">
      <w:r>
        <w:separator/>
      </w:r>
    </w:p>
  </w:endnote>
  <w:endnote w:type="continuationSeparator" w:id="0">
    <w:p w:rsidR="007E63B2" w:rsidRDefault="007E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B2" w:rsidRDefault="007E63B2">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B2" w:rsidRDefault="007E63B2">
    <w:pPr>
      <w:pStyle w:val="Sidfot"/>
      <w:rPr>
        <w:lang w:val="fi-FI"/>
      </w:rPr>
    </w:pPr>
    <w:r>
      <w:fldChar w:fldCharType="begin"/>
    </w:r>
    <w:r>
      <w:rPr>
        <w:lang w:val="fi-FI"/>
      </w:rPr>
      <w:instrText xml:space="preserve"> FILENAME  \* MERGEFORMAT </w:instrText>
    </w:r>
    <w:r>
      <w:fldChar w:fldCharType="separate"/>
    </w:r>
    <w:r w:rsidR="000B7170">
      <w:rPr>
        <w:noProof/>
        <w:lang w:val="fi-FI"/>
      </w:rPr>
      <w:t>RS0120172018.docx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B2" w:rsidRDefault="007E63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B2" w:rsidRDefault="007E63B2">
      <w:r>
        <w:separator/>
      </w:r>
    </w:p>
  </w:footnote>
  <w:footnote w:type="continuationSeparator" w:id="0">
    <w:p w:rsidR="007E63B2" w:rsidRDefault="007E63B2">
      <w:r>
        <w:continuationSeparator/>
      </w:r>
    </w:p>
  </w:footnote>
  <w:footnote w:id="1">
    <w:p w:rsidR="007E63B2" w:rsidRPr="00943A2A" w:rsidRDefault="007E63B2">
      <w:pPr>
        <w:pStyle w:val="Fotnotstext"/>
        <w:rPr>
          <w:lang w:val="sv-FI"/>
        </w:rPr>
      </w:pPr>
      <w:r>
        <w:rPr>
          <w:rStyle w:val="Fotnotsreferens"/>
        </w:rPr>
        <w:footnoteRef/>
      </w:r>
      <w:r>
        <w:t xml:space="preserve"> Siffrorna för 2009-2015 räknas för tiden 1.11-31.10. Fr.o.m. 2016 räknas bes</w:t>
      </w:r>
      <w:r>
        <w:t>ö</w:t>
      </w:r>
      <w:r>
        <w:t>ken per kalenderår.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B2" w:rsidRDefault="007E63B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6B0ABB">
      <w:rPr>
        <w:rStyle w:val="Sidnummer"/>
        <w:noProof/>
      </w:rPr>
      <w:t>16</w:t>
    </w:r>
    <w:r>
      <w:rPr>
        <w:rStyle w:val="Sidnummer"/>
      </w:rPr>
      <w:fldChar w:fldCharType="end"/>
    </w:r>
  </w:p>
  <w:p w:rsidR="007E63B2" w:rsidRDefault="007E63B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B2" w:rsidRDefault="007E63B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6B0ABB">
      <w:rPr>
        <w:rStyle w:val="Sidnummer"/>
        <w:noProof/>
      </w:rPr>
      <w:t>15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71D1219"/>
    <w:multiLevelType w:val="hybridMultilevel"/>
    <w:tmpl w:val="27AC46DC"/>
    <w:numStyleLink w:val="Importeradestilen1"/>
  </w:abstractNum>
  <w:abstractNum w:abstractNumId="2">
    <w:nsid w:val="20645D0D"/>
    <w:multiLevelType w:val="hybridMultilevel"/>
    <w:tmpl w:val="0FD6E80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nsid w:val="343D3B13"/>
    <w:multiLevelType w:val="hybridMultilevel"/>
    <w:tmpl w:val="96D6093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nsid w:val="3A440DAE"/>
    <w:multiLevelType w:val="hybridMultilevel"/>
    <w:tmpl w:val="DBE2FFB6"/>
    <w:lvl w:ilvl="0" w:tplc="4314B02A">
      <w:start w:val="1"/>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nsid w:val="3C7E7167"/>
    <w:multiLevelType w:val="hybridMultilevel"/>
    <w:tmpl w:val="9C40DB3C"/>
    <w:lvl w:ilvl="0" w:tplc="9BE87AC6">
      <w:start w:val="4"/>
      <w:numFmt w:val="bullet"/>
      <w:lvlText w:val="-"/>
      <w:lvlJc w:val="left"/>
      <w:pPr>
        <w:ind w:left="720" w:hanging="360"/>
      </w:pPr>
      <w:rPr>
        <w:rFonts w:ascii="Helvetica" w:eastAsia="Times New Roman" w:hAnsi="Helvetica" w:cs="Helvetica"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nsid w:val="3CCD4C32"/>
    <w:multiLevelType w:val="hybridMultilevel"/>
    <w:tmpl w:val="3C4A58EE"/>
    <w:lvl w:ilvl="0" w:tplc="B3066686">
      <w:start w:val="2018"/>
      <w:numFmt w:val="bullet"/>
      <w:lvlText w:val="-"/>
      <w:lvlJc w:val="left"/>
      <w:pPr>
        <w:ind w:left="643" w:hanging="360"/>
      </w:pPr>
      <w:rPr>
        <w:rFonts w:ascii="Times New Roman" w:eastAsia="Times New Roman" w:hAnsi="Times New Roman" w:cs="Times New Roman" w:hint="default"/>
      </w:rPr>
    </w:lvl>
    <w:lvl w:ilvl="1" w:tplc="081D0003">
      <w:start w:val="1"/>
      <w:numFmt w:val="bullet"/>
      <w:lvlText w:val="o"/>
      <w:lvlJc w:val="left"/>
      <w:pPr>
        <w:ind w:left="1363" w:hanging="360"/>
      </w:pPr>
      <w:rPr>
        <w:rFonts w:ascii="Courier New" w:hAnsi="Courier New" w:cs="Courier New" w:hint="default"/>
      </w:rPr>
    </w:lvl>
    <w:lvl w:ilvl="2" w:tplc="081D0005" w:tentative="1">
      <w:start w:val="1"/>
      <w:numFmt w:val="bullet"/>
      <w:lvlText w:val=""/>
      <w:lvlJc w:val="left"/>
      <w:pPr>
        <w:ind w:left="2083" w:hanging="360"/>
      </w:pPr>
      <w:rPr>
        <w:rFonts w:ascii="Wingdings" w:hAnsi="Wingdings" w:hint="default"/>
      </w:rPr>
    </w:lvl>
    <w:lvl w:ilvl="3" w:tplc="081D0001" w:tentative="1">
      <w:start w:val="1"/>
      <w:numFmt w:val="bullet"/>
      <w:lvlText w:val=""/>
      <w:lvlJc w:val="left"/>
      <w:pPr>
        <w:ind w:left="2803" w:hanging="360"/>
      </w:pPr>
      <w:rPr>
        <w:rFonts w:ascii="Symbol" w:hAnsi="Symbol" w:hint="default"/>
      </w:rPr>
    </w:lvl>
    <w:lvl w:ilvl="4" w:tplc="081D0003" w:tentative="1">
      <w:start w:val="1"/>
      <w:numFmt w:val="bullet"/>
      <w:lvlText w:val="o"/>
      <w:lvlJc w:val="left"/>
      <w:pPr>
        <w:ind w:left="3523" w:hanging="360"/>
      </w:pPr>
      <w:rPr>
        <w:rFonts w:ascii="Courier New" w:hAnsi="Courier New" w:cs="Courier New" w:hint="default"/>
      </w:rPr>
    </w:lvl>
    <w:lvl w:ilvl="5" w:tplc="081D0005" w:tentative="1">
      <w:start w:val="1"/>
      <w:numFmt w:val="bullet"/>
      <w:lvlText w:val=""/>
      <w:lvlJc w:val="left"/>
      <w:pPr>
        <w:ind w:left="4243" w:hanging="360"/>
      </w:pPr>
      <w:rPr>
        <w:rFonts w:ascii="Wingdings" w:hAnsi="Wingdings" w:hint="default"/>
      </w:rPr>
    </w:lvl>
    <w:lvl w:ilvl="6" w:tplc="081D0001" w:tentative="1">
      <w:start w:val="1"/>
      <w:numFmt w:val="bullet"/>
      <w:lvlText w:val=""/>
      <w:lvlJc w:val="left"/>
      <w:pPr>
        <w:ind w:left="4963" w:hanging="360"/>
      </w:pPr>
      <w:rPr>
        <w:rFonts w:ascii="Symbol" w:hAnsi="Symbol" w:hint="default"/>
      </w:rPr>
    </w:lvl>
    <w:lvl w:ilvl="7" w:tplc="081D0003" w:tentative="1">
      <w:start w:val="1"/>
      <w:numFmt w:val="bullet"/>
      <w:lvlText w:val="o"/>
      <w:lvlJc w:val="left"/>
      <w:pPr>
        <w:ind w:left="5683" w:hanging="360"/>
      </w:pPr>
      <w:rPr>
        <w:rFonts w:ascii="Courier New" w:hAnsi="Courier New" w:cs="Courier New" w:hint="default"/>
      </w:rPr>
    </w:lvl>
    <w:lvl w:ilvl="8" w:tplc="081D0005" w:tentative="1">
      <w:start w:val="1"/>
      <w:numFmt w:val="bullet"/>
      <w:lvlText w:val=""/>
      <w:lvlJc w:val="left"/>
      <w:pPr>
        <w:ind w:left="6403" w:hanging="360"/>
      </w:pPr>
      <w:rPr>
        <w:rFonts w:ascii="Wingdings" w:hAnsi="Wingdings" w:hint="default"/>
      </w:rPr>
    </w:lvl>
  </w:abstractNum>
  <w:abstractNum w:abstractNumId="7">
    <w:nsid w:val="3F1E1FF2"/>
    <w:multiLevelType w:val="hybridMultilevel"/>
    <w:tmpl w:val="8A267746"/>
    <w:lvl w:ilvl="0" w:tplc="7C46E9DE">
      <w:start w:val="1"/>
      <w:numFmt w:val="decimal"/>
      <w:lvlText w:val="%1."/>
      <w:lvlJc w:val="left"/>
      <w:pPr>
        <w:ind w:left="690" w:hanging="360"/>
      </w:pPr>
      <w:rPr>
        <w:rFonts w:hint="default"/>
      </w:rPr>
    </w:lvl>
    <w:lvl w:ilvl="1" w:tplc="081D0019" w:tentative="1">
      <w:start w:val="1"/>
      <w:numFmt w:val="lowerLetter"/>
      <w:lvlText w:val="%2."/>
      <w:lvlJc w:val="left"/>
      <w:pPr>
        <w:ind w:left="1410" w:hanging="360"/>
      </w:pPr>
    </w:lvl>
    <w:lvl w:ilvl="2" w:tplc="081D001B" w:tentative="1">
      <w:start w:val="1"/>
      <w:numFmt w:val="lowerRoman"/>
      <w:lvlText w:val="%3."/>
      <w:lvlJc w:val="right"/>
      <w:pPr>
        <w:ind w:left="2130" w:hanging="180"/>
      </w:pPr>
    </w:lvl>
    <w:lvl w:ilvl="3" w:tplc="081D000F" w:tentative="1">
      <w:start w:val="1"/>
      <w:numFmt w:val="decimal"/>
      <w:lvlText w:val="%4."/>
      <w:lvlJc w:val="left"/>
      <w:pPr>
        <w:ind w:left="2850" w:hanging="360"/>
      </w:pPr>
    </w:lvl>
    <w:lvl w:ilvl="4" w:tplc="081D0019" w:tentative="1">
      <w:start w:val="1"/>
      <w:numFmt w:val="lowerLetter"/>
      <w:lvlText w:val="%5."/>
      <w:lvlJc w:val="left"/>
      <w:pPr>
        <w:ind w:left="3570" w:hanging="360"/>
      </w:pPr>
    </w:lvl>
    <w:lvl w:ilvl="5" w:tplc="081D001B" w:tentative="1">
      <w:start w:val="1"/>
      <w:numFmt w:val="lowerRoman"/>
      <w:lvlText w:val="%6."/>
      <w:lvlJc w:val="right"/>
      <w:pPr>
        <w:ind w:left="4290" w:hanging="180"/>
      </w:pPr>
    </w:lvl>
    <w:lvl w:ilvl="6" w:tplc="081D000F" w:tentative="1">
      <w:start w:val="1"/>
      <w:numFmt w:val="decimal"/>
      <w:lvlText w:val="%7."/>
      <w:lvlJc w:val="left"/>
      <w:pPr>
        <w:ind w:left="5010" w:hanging="360"/>
      </w:pPr>
    </w:lvl>
    <w:lvl w:ilvl="7" w:tplc="081D0019" w:tentative="1">
      <w:start w:val="1"/>
      <w:numFmt w:val="lowerLetter"/>
      <w:lvlText w:val="%8."/>
      <w:lvlJc w:val="left"/>
      <w:pPr>
        <w:ind w:left="5730" w:hanging="360"/>
      </w:pPr>
    </w:lvl>
    <w:lvl w:ilvl="8" w:tplc="081D001B" w:tentative="1">
      <w:start w:val="1"/>
      <w:numFmt w:val="lowerRoman"/>
      <w:lvlText w:val="%9."/>
      <w:lvlJc w:val="right"/>
      <w:pPr>
        <w:ind w:left="6450" w:hanging="180"/>
      </w:pPr>
    </w:lvl>
  </w:abstractNum>
  <w:abstractNum w:abstractNumId="8">
    <w:nsid w:val="44E13F5E"/>
    <w:multiLevelType w:val="hybridMultilevel"/>
    <w:tmpl w:val="77FC784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nsid w:val="45087473"/>
    <w:multiLevelType w:val="hybridMultilevel"/>
    <w:tmpl w:val="95D22F4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nsid w:val="45190D3D"/>
    <w:multiLevelType w:val="hybridMultilevel"/>
    <w:tmpl w:val="636464D4"/>
    <w:lvl w:ilvl="0" w:tplc="C40A6D3E">
      <w:start w:val="2018"/>
      <w:numFmt w:val="bullet"/>
      <w:lvlText w:val="-"/>
      <w:lvlJc w:val="left"/>
      <w:pPr>
        <w:ind w:left="600" w:hanging="360"/>
      </w:pPr>
      <w:rPr>
        <w:rFonts w:ascii="Times New Roman" w:eastAsia="Times New Roman" w:hAnsi="Times New Roman" w:cs="Times New Roman" w:hint="default"/>
      </w:rPr>
    </w:lvl>
    <w:lvl w:ilvl="1" w:tplc="081D0003" w:tentative="1">
      <w:start w:val="1"/>
      <w:numFmt w:val="bullet"/>
      <w:lvlText w:val="o"/>
      <w:lvlJc w:val="left"/>
      <w:pPr>
        <w:ind w:left="1320" w:hanging="360"/>
      </w:pPr>
      <w:rPr>
        <w:rFonts w:ascii="Courier New" w:hAnsi="Courier New" w:cs="Courier New" w:hint="default"/>
      </w:rPr>
    </w:lvl>
    <w:lvl w:ilvl="2" w:tplc="081D0005" w:tentative="1">
      <w:start w:val="1"/>
      <w:numFmt w:val="bullet"/>
      <w:lvlText w:val=""/>
      <w:lvlJc w:val="left"/>
      <w:pPr>
        <w:ind w:left="2040" w:hanging="360"/>
      </w:pPr>
      <w:rPr>
        <w:rFonts w:ascii="Wingdings" w:hAnsi="Wingdings" w:hint="default"/>
      </w:rPr>
    </w:lvl>
    <w:lvl w:ilvl="3" w:tplc="081D0001" w:tentative="1">
      <w:start w:val="1"/>
      <w:numFmt w:val="bullet"/>
      <w:lvlText w:val=""/>
      <w:lvlJc w:val="left"/>
      <w:pPr>
        <w:ind w:left="2760" w:hanging="360"/>
      </w:pPr>
      <w:rPr>
        <w:rFonts w:ascii="Symbol" w:hAnsi="Symbol" w:hint="default"/>
      </w:rPr>
    </w:lvl>
    <w:lvl w:ilvl="4" w:tplc="081D0003" w:tentative="1">
      <w:start w:val="1"/>
      <w:numFmt w:val="bullet"/>
      <w:lvlText w:val="o"/>
      <w:lvlJc w:val="left"/>
      <w:pPr>
        <w:ind w:left="3480" w:hanging="360"/>
      </w:pPr>
      <w:rPr>
        <w:rFonts w:ascii="Courier New" w:hAnsi="Courier New" w:cs="Courier New" w:hint="default"/>
      </w:rPr>
    </w:lvl>
    <w:lvl w:ilvl="5" w:tplc="081D0005" w:tentative="1">
      <w:start w:val="1"/>
      <w:numFmt w:val="bullet"/>
      <w:lvlText w:val=""/>
      <w:lvlJc w:val="left"/>
      <w:pPr>
        <w:ind w:left="4200" w:hanging="360"/>
      </w:pPr>
      <w:rPr>
        <w:rFonts w:ascii="Wingdings" w:hAnsi="Wingdings" w:hint="default"/>
      </w:rPr>
    </w:lvl>
    <w:lvl w:ilvl="6" w:tplc="081D0001" w:tentative="1">
      <w:start w:val="1"/>
      <w:numFmt w:val="bullet"/>
      <w:lvlText w:val=""/>
      <w:lvlJc w:val="left"/>
      <w:pPr>
        <w:ind w:left="4920" w:hanging="360"/>
      </w:pPr>
      <w:rPr>
        <w:rFonts w:ascii="Symbol" w:hAnsi="Symbol" w:hint="default"/>
      </w:rPr>
    </w:lvl>
    <w:lvl w:ilvl="7" w:tplc="081D0003" w:tentative="1">
      <w:start w:val="1"/>
      <w:numFmt w:val="bullet"/>
      <w:lvlText w:val="o"/>
      <w:lvlJc w:val="left"/>
      <w:pPr>
        <w:ind w:left="5640" w:hanging="360"/>
      </w:pPr>
      <w:rPr>
        <w:rFonts w:ascii="Courier New" w:hAnsi="Courier New" w:cs="Courier New" w:hint="default"/>
      </w:rPr>
    </w:lvl>
    <w:lvl w:ilvl="8" w:tplc="081D0005" w:tentative="1">
      <w:start w:val="1"/>
      <w:numFmt w:val="bullet"/>
      <w:lvlText w:val=""/>
      <w:lvlJc w:val="left"/>
      <w:pPr>
        <w:ind w:left="6360" w:hanging="360"/>
      </w:pPr>
      <w:rPr>
        <w:rFonts w:ascii="Wingdings" w:hAnsi="Wingdings" w:hint="default"/>
      </w:rPr>
    </w:lvl>
  </w:abstractNum>
  <w:abstractNum w:abstractNumId="11">
    <w:nsid w:val="4C8E189E"/>
    <w:multiLevelType w:val="hybridMultilevel"/>
    <w:tmpl w:val="C6AAFE9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2">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3">
    <w:nsid w:val="4E91631A"/>
    <w:multiLevelType w:val="hybridMultilevel"/>
    <w:tmpl w:val="DC84725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nsid w:val="4ED92F8C"/>
    <w:multiLevelType w:val="hybridMultilevel"/>
    <w:tmpl w:val="BBECF058"/>
    <w:lvl w:ilvl="0" w:tplc="0A3C1AB4">
      <w:start w:val="7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nsid w:val="54E93A44"/>
    <w:multiLevelType w:val="hybridMultilevel"/>
    <w:tmpl w:val="0A9E97E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nsid w:val="58852CD1"/>
    <w:multiLevelType w:val="hybridMultilevel"/>
    <w:tmpl w:val="C2BC2F02"/>
    <w:lvl w:ilvl="0" w:tplc="023AAB0E">
      <w:start w:val="2018"/>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61B4799F"/>
    <w:multiLevelType w:val="hybridMultilevel"/>
    <w:tmpl w:val="E050F912"/>
    <w:lvl w:ilvl="0" w:tplc="081D0001">
      <w:start w:val="1"/>
      <w:numFmt w:val="bullet"/>
      <w:lvlText w:val=""/>
      <w:lvlJc w:val="left"/>
      <w:pPr>
        <w:ind w:left="1003" w:hanging="360"/>
      </w:pPr>
      <w:rPr>
        <w:rFonts w:ascii="Symbol" w:hAnsi="Symbol" w:hint="default"/>
      </w:rPr>
    </w:lvl>
    <w:lvl w:ilvl="1" w:tplc="081D0003" w:tentative="1">
      <w:start w:val="1"/>
      <w:numFmt w:val="bullet"/>
      <w:lvlText w:val="o"/>
      <w:lvlJc w:val="left"/>
      <w:pPr>
        <w:ind w:left="1723" w:hanging="360"/>
      </w:pPr>
      <w:rPr>
        <w:rFonts w:ascii="Courier New" w:hAnsi="Courier New" w:cs="Courier New" w:hint="default"/>
      </w:rPr>
    </w:lvl>
    <w:lvl w:ilvl="2" w:tplc="081D0005" w:tentative="1">
      <w:start w:val="1"/>
      <w:numFmt w:val="bullet"/>
      <w:lvlText w:val=""/>
      <w:lvlJc w:val="left"/>
      <w:pPr>
        <w:ind w:left="2443" w:hanging="360"/>
      </w:pPr>
      <w:rPr>
        <w:rFonts w:ascii="Wingdings" w:hAnsi="Wingdings" w:hint="default"/>
      </w:rPr>
    </w:lvl>
    <w:lvl w:ilvl="3" w:tplc="081D0001" w:tentative="1">
      <w:start w:val="1"/>
      <w:numFmt w:val="bullet"/>
      <w:lvlText w:val=""/>
      <w:lvlJc w:val="left"/>
      <w:pPr>
        <w:ind w:left="3163" w:hanging="360"/>
      </w:pPr>
      <w:rPr>
        <w:rFonts w:ascii="Symbol" w:hAnsi="Symbol" w:hint="default"/>
      </w:rPr>
    </w:lvl>
    <w:lvl w:ilvl="4" w:tplc="081D0003" w:tentative="1">
      <w:start w:val="1"/>
      <w:numFmt w:val="bullet"/>
      <w:lvlText w:val="o"/>
      <w:lvlJc w:val="left"/>
      <w:pPr>
        <w:ind w:left="3883" w:hanging="360"/>
      </w:pPr>
      <w:rPr>
        <w:rFonts w:ascii="Courier New" w:hAnsi="Courier New" w:cs="Courier New" w:hint="default"/>
      </w:rPr>
    </w:lvl>
    <w:lvl w:ilvl="5" w:tplc="081D0005" w:tentative="1">
      <w:start w:val="1"/>
      <w:numFmt w:val="bullet"/>
      <w:lvlText w:val=""/>
      <w:lvlJc w:val="left"/>
      <w:pPr>
        <w:ind w:left="4603" w:hanging="360"/>
      </w:pPr>
      <w:rPr>
        <w:rFonts w:ascii="Wingdings" w:hAnsi="Wingdings" w:hint="default"/>
      </w:rPr>
    </w:lvl>
    <w:lvl w:ilvl="6" w:tplc="081D0001" w:tentative="1">
      <w:start w:val="1"/>
      <w:numFmt w:val="bullet"/>
      <w:lvlText w:val=""/>
      <w:lvlJc w:val="left"/>
      <w:pPr>
        <w:ind w:left="5323" w:hanging="360"/>
      </w:pPr>
      <w:rPr>
        <w:rFonts w:ascii="Symbol" w:hAnsi="Symbol" w:hint="default"/>
      </w:rPr>
    </w:lvl>
    <w:lvl w:ilvl="7" w:tplc="081D0003" w:tentative="1">
      <w:start w:val="1"/>
      <w:numFmt w:val="bullet"/>
      <w:lvlText w:val="o"/>
      <w:lvlJc w:val="left"/>
      <w:pPr>
        <w:ind w:left="6043" w:hanging="360"/>
      </w:pPr>
      <w:rPr>
        <w:rFonts w:ascii="Courier New" w:hAnsi="Courier New" w:cs="Courier New" w:hint="default"/>
      </w:rPr>
    </w:lvl>
    <w:lvl w:ilvl="8" w:tplc="081D0005" w:tentative="1">
      <w:start w:val="1"/>
      <w:numFmt w:val="bullet"/>
      <w:lvlText w:val=""/>
      <w:lvlJc w:val="left"/>
      <w:pPr>
        <w:ind w:left="6763" w:hanging="360"/>
      </w:pPr>
      <w:rPr>
        <w:rFonts w:ascii="Wingdings" w:hAnsi="Wingdings" w:hint="default"/>
      </w:rPr>
    </w:lvl>
  </w:abstractNum>
  <w:abstractNum w:abstractNumId="21">
    <w:nsid w:val="648E6915"/>
    <w:multiLevelType w:val="hybridMultilevel"/>
    <w:tmpl w:val="27AC46DC"/>
    <w:styleLink w:val="Importeradestilen1"/>
    <w:lvl w:ilvl="0" w:tplc="EC7628A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20FBE4">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3E43D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A0D63E">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7C67C6">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02E0EC">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78AB50">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72F96C">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A66DA0">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B8D5994"/>
    <w:multiLevelType w:val="hybridMultilevel"/>
    <w:tmpl w:val="7C5A222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16"/>
  </w:num>
  <w:num w:numId="2">
    <w:abstractNumId w:val="17"/>
  </w:num>
  <w:num w:numId="3">
    <w:abstractNumId w:val="19"/>
  </w:num>
  <w:num w:numId="4">
    <w:abstractNumId w:val="0"/>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5"/>
  </w:num>
  <w:num w:numId="15">
    <w:abstractNumId w:val="9"/>
  </w:num>
  <w:num w:numId="16">
    <w:abstractNumId w:val="3"/>
  </w:num>
  <w:num w:numId="17">
    <w:abstractNumId w:val="22"/>
  </w:num>
  <w:num w:numId="18">
    <w:abstractNumId w:val="11"/>
  </w:num>
  <w:num w:numId="19">
    <w:abstractNumId w:val="8"/>
  </w:num>
  <w:num w:numId="20">
    <w:abstractNumId w:val="20"/>
  </w:num>
  <w:num w:numId="21">
    <w:abstractNumId w:val="21"/>
  </w:num>
  <w:num w:numId="22">
    <w:abstractNumId w:val="1"/>
  </w:num>
  <w:num w:numId="23">
    <w:abstractNumId w:val="7"/>
  </w:num>
  <w:num w:numId="24">
    <w:abstractNumId w:val="13"/>
  </w:num>
  <w:num w:numId="25">
    <w:abstractNumId w:val="2"/>
  </w:num>
  <w:num w:numId="26">
    <w:abstractNumId w:val="5"/>
  </w:num>
  <w:num w:numId="27">
    <w:abstractNumId w:val="10"/>
  </w:num>
  <w:num w:numId="28">
    <w:abstractNumId w:val="6"/>
  </w:num>
  <w:num w:numId="29">
    <w:abstractNumId w:val="18"/>
  </w:num>
  <w:num w:numId="30">
    <w:abstractNumId w:val="14"/>
  </w:num>
  <w:num w:numId="3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7A"/>
    <w:rsid w:val="00021683"/>
    <w:rsid w:val="00031214"/>
    <w:rsid w:val="000323F6"/>
    <w:rsid w:val="00033B77"/>
    <w:rsid w:val="000346E8"/>
    <w:rsid w:val="000804DE"/>
    <w:rsid w:val="00081ED1"/>
    <w:rsid w:val="00084D5E"/>
    <w:rsid w:val="0009216B"/>
    <w:rsid w:val="000A1E17"/>
    <w:rsid w:val="000B11A5"/>
    <w:rsid w:val="000B7170"/>
    <w:rsid w:val="000C134F"/>
    <w:rsid w:val="000C61E8"/>
    <w:rsid w:val="000D0A33"/>
    <w:rsid w:val="000D4EC1"/>
    <w:rsid w:val="000D74F3"/>
    <w:rsid w:val="000E14E2"/>
    <w:rsid w:val="00101289"/>
    <w:rsid w:val="0010296A"/>
    <w:rsid w:val="00106F79"/>
    <w:rsid w:val="00115E56"/>
    <w:rsid w:val="00125162"/>
    <w:rsid w:val="00161D43"/>
    <w:rsid w:val="00192062"/>
    <w:rsid w:val="001A2357"/>
    <w:rsid w:val="001A3167"/>
    <w:rsid w:val="001A5978"/>
    <w:rsid w:val="001A6871"/>
    <w:rsid w:val="001E0AFF"/>
    <w:rsid w:val="001E313D"/>
    <w:rsid w:val="00201D09"/>
    <w:rsid w:val="00220E86"/>
    <w:rsid w:val="002247BB"/>
    <w:rsid w:val="002518EE"/>
    <w:rsid w:val="00251F53"/>
    <w:rsid w:val="002534CB"/>
    <w:rsid w:val="0025448C"/>
    <w:rsid w:val="00274F85"/>
    <w:rsid w:val="002A7E86"/>
    <w:rsid w:val="002B4942"/>
    <w:rsid w:val="002C34C0"/>
    <w:rsid w:val="002C6A51"/>
    <w:rsid w:val="0030116F"/>
    <w:rsid w:val="00304390"/>
    <w:rsid w:val="003050B6"/>
    <w:rsid w:val="00312B77"/>
    <w:rsid w:val="00355B86"/>
    <w:rsid w:val="00390D81"/>
    <w:rsid w:val="00397548"/>
    <w:rsid w:val="003A1469"/>
    <w:rsid w:val="003A3B8B"/>
    <w:rsid w:val="003A498C"/>
    <w:rsid w:val="003C6E16"/>
    <w:rsid w:val="003F1484"/>
    <w:rsid w:val="003F29AD"/>
    <w:rsid w:val="0041162B"/>
    <w:rsid w:val="00432543"/>
    <w:rsid w:val="004537F7"/>
    <w:rsid w:val="0046042F"/>
    <w:rsid w:val="00465C0E"/>
    <w:rsid w:val="00483BCC"/>
    <w:rsid w:val="004925F4"/>
    <w:rsid w:val="0049604A"/>
    <w:rsid w:val="004B33AD"/>
    <w:rsid w:val="004C4F72"/>
    <w:rsid w:val="004D2AF9"/>
    <w:rsid w:val="004D363A"/>
    <w:rsid w:val="004E5559"/>
    <w:rsid w:val="004F646E"/>
    <w:rsid w:val="00522770"/>
    <w:rsid w:val="00537773"/>
    <w:rsid w:val="005462DB"/>
    <w:rsid w:val="0057224C"/>
    <w:rsid w:val="0059788A"/>
    <w:rsid w:val="005A511B"/>
    <w:rsid w:val="005C6BE0"/>
    <w:rsid w:val="005C7780"/>
    <w:rsid w:val="005D1566"/>
    <w:rsid w:val="005E276B"/>
    <w:rsid w:val="0060121E"/>
    <w:rsid w:val="006218C8"/>
    <w:rsid w:val="00625DA2"/>
    <w:rsid w:val="00642690"/>
    <w:rsid w:val="0064699C"/>
    <w:rsid w:val="00652A22"/>
    <w:rsid w:val="00671816"/>
    <w:rsid w:val="006840BA"/>
    <w:rsid w:val="00691AA4"/>
    <w:rsid w:val="006B0ABB"/>
    <w:rsid w:val="006D06F2"/>
    <w:rsid w:val="006F290A"/>
    <w:rsid w:val="006F4626"/>
    <w:rsid w:val="006F687A"/>
    <w:rsid w:val="00735091"/>
    <w:rsid w:val="00736CA4"/>
    <w:rsid w:val="0075779A"/>
    <w:rsid w:val="007721DF"/>
    <w:rsid w:val="007854C9"/>
    <w:rsid w:val="007915D6"/>
    <w:rsid w:val="007D1C6A"/>
    <w:rsid w:val="007E2896"/>
    <w:rsid w:val="007E63B2"/>
    <w:rsid w:val="00804FFC"/>
    <w:rsid w:val="00815703"/>
    <w:rsid w:val="00820F01"/>
    <w:rsid w:val="0082136D"/>
    <w:rsid w:val="00821BFE"/>
    <w:rsid w:val="00845A97"/>
    <w:rsid w:val="00850D2A"/>
    <w:rsid w:val="008621A6"/>
    <w:rsid w:val="00864FA6"/>
    <w:rsid w:val="00885DE3"/>
    <w:rsid w:val="008A2253"/>
    <w:rsid w:val="008A7921"/>
    <w:rsid w:val="008C7875"/>
    <w:rsid w:val="009069E2"/>
    <w:rsid w:val="00912925"/>
    <w:rsid w:val="00912A83"/>
    <w:rsid w:val="0091576B"/>
    <w:rsid w:val="00932EB3"/>
    <w:rsid w:val="00935BD7"/>
    <w:rsid w:val="00943A2A"/>
    <w:rsid w:val="0095600A"/>
    <w:rsid w:val="00960AE7"/>
    <w:rsid w:val="00960C1F"/>
    <w:rsid w:val="00962C4D"/>
    <w:rsid w:val="00963B50"/>
    <w:rsid w:val="00981943"/>
    <w:rsid w:val="009A4355"/>
    <w:rsid w:val="009B49CA"/>
    <w:rsid w:val="009C4CC7"/>
    <w:rsid w:val="009D35F2"/>
    <w:rsid w:val="00A15179"/>
    <w:rsid w:val="00A16BD2"/>
    <w:rsid w:val="00A25D79"/>
    <w:rsid w:val="00A3249C"/>
    <w:rsid w:val="00A52572"/>
    <w:rsid w:val="00A65076"/>
    <w:rsid w:val="00A95CD3"/>
    <w:rsid w:val="00AA209F"/>
    <w:rsid w:val="00AA302C"/>
    <w:rsid w:val="00AA5735"/>
    <w:rsid w:val="00AB0ED6"/>
    <w:rsid w:val="00AB2337"/>
    <w:rsid w:val="00AC2AE9"/>
    <w:rsid w:val="00AE46C1"/>
    <w:rsid w:val="00AF15F1"/>
    <w:rsid w:val="00AF5E6A"/>
    <w:rsid w:val="00B17433"/>
    <w:rsid w:val="00B5373B"/>
    <w:rsid w:val="00B63922"/>
    <w:rsid w:val="00B729C3"/>
    <w:rsid w:val="00B7303B"/>
    <w:rsid w:val="00B823C5"/>
    <w:rsid w:val="00B875FD"/>
    <w:rsid w:val="00B97CBA"/>
    <w:rsid w:val="00BC293F"/>
    <w:rsid w:val="00BD4272"/>
    <w:rsid w:val="00C275C3"/>
    <w:rsid w:val="00C51F0F"/>
    <w:rsid w:val="00C5773B"/>
    <w:rsid w:val="00C8220E"/>
    <w:rsid w:val="00C85CD0"/>
    <w:rsid w:val="00C9093B"/>
    <w:rsid w:val="00C952CA"/>
    <w:rsid w:val="00CA3F8D"/>
    <w:rsid w:val="00CA4C6A"/>
    <w:rsid w:val="00CA5540"/>
    <w:rsid w:val="00CB6FBA"/>
    <w:rsid w:val="00CB7618"/>
    <w:rsid w:val="00CC03A9"/>
    <w:rsid w:val="00CC3EA7"/>
    <w:rsid w:val="00CD08D0"/>
    <w:rsid w:val="00CE13EC"/>
    <w:rsid w:val="00CE1D98"/>
    <w:rsid w:val="00D01E06"/>
    <w:rsid w:val="00D313F1"/>
    <w:rsid w:val="00D41BB2"/>
    <w:rsid w:val="00D507AE"/>
    <w:rsid w:val="00D63259"/>
    <w:rsid w:val="00D659C8"/>
    <w:rsid w:val="00D7189D"/>
    <w:rsid w:val="00D7318E"/>
    <w:rsid w:val="00D77277"/>
    <w:rsid w:val="00D81F90"/>
    <w:rsid w:val="00D83EB9"/>
    <w:rsid w:val="00D91C6C"/>
    <w:rsid w:val="00DB0CD1"/>
    <w:rsid w:val="00DB13F5"/>
    <w:rsid w:val="00DB5B6E"/>
    <w:rsid w:val="00DF0CD8"/>
    <w:rsid w:val="00E00C21"/>
    <w:rsid w:val="00E0710D"/>
    <w:rsid w:val="00E104ED"/>
    <w:rsid w:val="00E11EF1"/>
    <w:rsid w:val="00E13388"/>
    <w:rsid w:val="00E42618"/>
    <w:rsid w:val="00E62231"/>
    <w:rsid w:val="00E63DA9"/>
    <w:rsid w:val="00E64187"/>
    <w:rsid w:val="00E76C96"/>
    <w:rsid w:val="00E858FD"/>
    <w:rsid w:val="00E8783B"/>
    <w:rsid w:val="00E90CF4"/>
    <w:rsid w:val="00E95C1D"/>
    <w:rsid w:val="00EB3C07"/>
    <w:rsid w:val="00EF025E"/>
    <w:rsid w:val="00F03EF9"/>
    <w:rsid w:val="00F2674E"/>
    <w:rsid w:val="00F305D6"/>
    <w:rsid w:val="00F31A7D"/>
    <w:rsid w:val="00F343BD"/>
    <w:rsid w:val="00F3675C"/>
    <w:rsid w:val="00F43E99"/>
    <w:rsid w:val="00FA444E"/>
    <w:rsid w:val="00FA57DB"/>
    <w:rsid w:val="00FA62F3"/>
    <w:rsid w:val="00FA632E"/>
    <w:rsid w:val="00FB762E"/>
    <w:rsid w:val="00FE5AF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Fotnotstext">
    <w:name w:val="footnote text"/>
    <w:basedOn w:val="Normal"/>
    <w:link w:val="FotnotstextChar"/>
    <w:uiPriority w:val="99"/>
    <w:semiHidden/>
    <w:unhideWhenUsed/>
    <w:rsid w:val="003F29AD"/>
    <w:rPr>
      <w:rFonts w:ascii="Calibri" w:eastAsia="Calibri" w:hAnsi="Calibri"/>
      <w:sz w:val="20"/>
      <w:szCs w:val="20"/>
      <w:lang w:eastAsia="en-US"/>
    </w:rPr>
  </w:style>
  <w:style w:type="character" w:customStyle="1" w:styleId="FotnotstextChar">
    <w:name w:val="Fotnotstext Char"/>
    <w:link w:val="Fotnotstext"/>
    <w:uiPriority w:val="99"/>
    <w:semiHidden/>
    <w:rsid w:val="003F29AD"/>
    <w:rPr>
      <w:rFonts w:ascii="Calibri" w:eastAsia="Calibri" w:hAnsi="Calibri"/>
      <w:lang w:val="sv-SE" w:eastAsia="en-US"/>
    </w:rPr>
  </w:style>
  <w:style w:type="character" w:styleId="Fotnotsreferens">
    <w:name w:val="footnote reference"/>
    <w:uiPriority w:val="99"/>
    <w:semiHidden/>
    <w:unhideWhenUsed/>
    <w:rsid w:val="003F29AD"/>
    <w:rPr>
      <w:vertAlign w:val="superscript"/>
    </w:rPr>
  </w:style>
  <w:style w:type="paragraph" w:customStyle="1" w:styleId="rubrikb0">
    <w:name w:val="rubrikb"/>
    <w:basedOn w:val="Normal"/>
    <w:rsid w:val="003F29AD"/>
    <w:pPr>
      <w:spacing w:before="100" w:beforeAutospacing="1" w:after="100" w:afterAutospacing="1"/>
    </w:pPr>
    <w:rPr>
      <w:lang w:val="sv-FI" w:eastAsia="sv-FI"/>
    </w:rPr>
  </w:style>
  <w:style w:type="paragraph" w:customStyle="1" w:styleId="anormal0">
    <w:name w:val="anormal"/>
    <w:basedOn w:val="Normal"/>
    <w:rsid w:val="003F29AD"/>
    <w:pPr>
      <w:spacing w:before="100" w:beforeAutospacing="1" w:after="100" w:afterAutospacing="1"/>
    </w:pPr>
    <w:rPr>
      <w:lang w:val="sv-FI" w:eastAsia="sv-FI"/>
    </w:rPr>
  </w:style>
  <w:style w:type="paragraph" w:customStyle="1" w:styleId="BAllmottext">
    <w:name w:val="B Allmot text"/>
    <w:rsid w:val="002534CB"/>
    <w:pPr>
      <w:widowControl w:val="0"/>
      <w:spacing w:line="288" w:lineRule="auto"/>
      <w:ind w:rightChars="250" w:right="250"/>
      <w:jc w:val="both"/>
    </w:pPr>
    <w:rPr>
      <w:sz w:val="22"/>
      <w:lang w:val="sv-SE" w:eastAsia="sv-SE"/>
    </w:rPr>
  </w:style>
  <w:style w:type="character" w:customStyle="1" w:styleId="Inget">
    <w:name w:val="Inget"/>
    <w:rsid w:val="00F43E99"/>
    <w:rPr>
      <w:lang w:val="sv-SE"/>
    </w:rPr>
  </w:style>
  <w:style w:type="character" w:customStyle="1" w:styleId="IngetA">
    <w:name w:val="Inget A"/>
    <w:rsid w:val="00F43E99"/>
  </w:style>
  <w:style w:type="numbering" w:customStyle="1" w:styleId="Importeradestilen1">
    <w:name w:val="Importerade stilen 1"/>
    <w:rsid w:val="00F43E99"/>
    <w:pPr>
      <w:numPr>
        <w:numId w:val="21"/>
      </w:numPr>
    </w:pPr>
  </w:style>
  <w:style w:type="paragraph" w:styleId="Ballongtext">
    <w:name w:val="Balloon Text"/>
    <w:basedOn w:val="Normal"/>
    <w:link w:val="BallongtextChar"/>
    <w:uiPriority w:val="99"/>
    <w:semiHidden/>
    <w:unhideWhenUsed/>
    <w:rsid w:val="006D06F2"/>
    <w:rPr>
      <w:rFonts w:ascii="Tahoma" w:hAnsi="Tahoma" w:cs="Tahoma"/>
      <w:sz w:val="16"/>
      <w:szCs w:val="16"/>
    </w:rPr>
  </w:style>
  <w:style w:type="character" w:customStyle="1" w:styleId="BallongtextChar">
    <w:name w:val="Ballongtext Char"/>
    <w:link w:val="Ballongtext"/>
    <w:uiPriority w:val="99"/>
    <w:semiHidden/>
    <w:rsid w:val="006D06F2"/>
    <w:rPr>
      <w:rFonts w:ascii="Tahoma" w:hAnsi="Tahoma" w:cs="Tahoma"/>
      <w:sz w:val="16"/>
      <w:szCs w:val="16"/>
      <w:lang w:val="sv-SE" w:eastAsia="sv-SE"/>
    </w:rPr>
  </w:style>
  <w:style w:type="paragraph" w:customStyle="1" w:styleId="rubrika0">
    <w:name w:val="rubrika"/>
    <w:basedOn w:val="Normal"/>
    <w:rsid w:val="00912925"/>
    <w:pPr>
      <w:spacing w:after="165"/>
    </w:pPr>
    <w:rPr>
      <w:color w:val="555555"/>
      <w:lang w:val="sv-FI" w:eastAsia="sv-FI"/>
    </w:rPr>
  </w:style>
  <w:style w:type="character" w:customStyle="1" w:styleId="IngetAA">
    <w:name w:val="Inget A A"/>
    <w:rsid w:val="00251F53"/>
  </w:style>
  <w:style w:type="paragraph" w:styleId="Liststycke">
    <w:name w:val="List Paragraph"/>
    <w:basedOn w:val="Normal"/>
    <w:uiPriority w:val="34"/>
    <w:qFormat/>
    <w:rsid w:val="005E276B"/>
    <w:pPr>
      <w:spacing w:after="160" w:line="259" w:lineRule="auto"/>
      <w:ind w:left="720"/>
      <w:contextualSpacing/>
    </w:pPr>
    <w:rPr>
      <w:rFonts w:ascii="Calibri" w:eastAsia="Calibri" w:hAnsi="Calibri"/>
      <w:sz w:val="22"/>
      <w:szCs w:val="22"/>
      <w:lang w:eastAsia="en-US"/>
    </w:rPr>
  </w:style>
  <w:style w:type="paragraph" w:styleId="Oformateradtext">
    <w:name w:val="Plain Text"/>
    <w:basedOn w:val="Normal"/>
    <w:link w:val="OformateradtextChar"/>
    <w:uiPriority w:val="99"/>
    <w:semiHidden/>
    <w:unhideWhenUsed/>
    <w:rsid w:val="00AA302C"/>
    <w:rPr>
      <w:rFonts w:ascii="Calibri" w:eastAsia="Calibri" w:hAnsi="Calibri"/>
      <w:sz w:val="22"/>
      <w:szCs w:val="21"/>
      <w:lang w:val="en-US" w:eastAsia="en-US"/>
    </w:rPr>
  </w:style>
  <w:style w:type="character" w:customStyle="1" w:styleId="OformateradtextChar">
    <w:name w:val="Oformaterad text Char"/>
    <w:link w:val="Oformateradtext"/>
    <w:uiPriority w:val="99"/>
    <w:semiHidden/>
    <w:rsid w:val="00AA302C"/>
    <w:rPr>
      <w:rFonts w:ascii="Calibri" w:eastAsia="Calibri" w:hAnsi="Calibri"/>
      <w:sz w:val="22"/>
      <w:szCs w:val="21"/>
      <w:lang w:val="en-US" w:eastAsia="en-US"/>
    </w:rPr>
  </w:style>
  <w:style w:type="paragraph" w:customStyle="1" w:styleId="xmsonormal">
    <w:name w:val="x_msonormal"/>
    <w:basedOn w:val="Normal"/>
    <w:rsid w:val="00804FFC"/>
    <w:rPr>
      <w:rFonts w:ascii="Calibri" w:eastAsia="Calibri" w:hAnsi="Calibri" w:cs="Calibri"/>
      <w:sz w:val="22"/>
      <w:szCs w:val="22"/>
      <w:lang w:val="sv-FI" w:eastAsia="sv-FI"/>
    </w:rPr>
  </w:style>
  <w:style w:type="character" w:customStyle="1" w:styleId="UnresolvedMention">
    <w:name w:val="Unresolved Mention"/>
    <w:uiPriority w:val="99"/>
    <w:semiHidden/>
    <w:unhideWhenUsed/>
    <w:rsid w:val="00A52572"/>
    <w:rPr>
      <w:color w:val="808080"/>
      <w:shd w:val="clear" w:color="auto" w:fill="E6E6E6"/>
    </w:rPr>
  </w:style>
  <w:style w:type="character" w:styleId="Kommentarsreferens">
    <w:name w:val="annotation reference"/>
    <w:basedOn w:val="Standardstycketeckensnitt"/>
    <w:uiPriority w:val="99"/>
    <w:semiHidden/>
    <w:unhideWhenUsed/>
    <w:rsid w:val="00E858FD"/>
    <w:rPr>
      <w:sz w:val="16"/>
      <w:szCs w:val="16"/>
    </w:rPr>
  </w:style>
  <w:style w:type="paragraph" w:styleId="Kommentarer">
    <w:name w:val="annotation text"/>
    <w:basedOn w:val="Normal"/>
    <w:link w:val="KommentarerChar"/>
    <w:uiPriority w:val="99"/>
    <w:semiHidden/>
    <w:unhideWhenUsed/>
    <w:rsid w:val="00E858FD"/>
    <w:rPr>
      <w:sz w:val="20"/>
      <w:szCs w:val="20"/>
    </w:rPr>
  </w:style>
  <w:style w:type="character" w:customStyle="1" w:styleId="KommentarerChar">
    <w:name w:val="Kommentarer Char"/>
    <w:basedOn w:val="Standardstycketeckensnitt"/>
    <w:link w:val="Kommentarer"/>
    <w:uiPriority w:val="99"/>
    <w:semiHidden/>
    <w:rsid w:val="00E858FD"/>
    <w:rPr>
      <w:lang w:val="sv-SE" w:eastAsia="sv-SE"/>
    </w:rPr>
  </w:style>
  <w:style w:type="paragraph" w:styleId="Kommentarsmne">
    <w:name w:val="annotation subject"/>
    <w:basedOn w:val="Kommentarer"/>
    <w:next w:val="Kommentarer"/>
    <w:link w:val="KommentarsmneChar"/>
    <w:uiPriority w:val="99"/>
    <w:semiHidden/>
    <w:unhideWhenUsed/>
    <w:rsid w:val="00E858FD"/>
    <w:rPr>
      <w:b/>
      <w:bCs/>
    </w:rPr>
  </w:style>
  <w:style w:type="character" w:customStyle="1" w:styleId="KommentarsmneChar">
    <w:name w:val="Kommentarsämne Char"/>
    <w:basedOn w:val="KommentarerChar"/>
    <w:link w:val="Kommentarsmne"/>
    <w:uiPriority w:val="99"/>
    <w:semiHidden/>
    <w:rsid w:val="00E858FD"/>
    <w:rPr>
      <w:b/>
      <w:bCs/>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Fotnotstext">
    <w:name w:val="footnote text"/>
    <w:basedOn w:val="Normal"/>
    <w:link w:val="FotnotstextChar"/>
    <w:uiPriority w:val="99"/>
    <w:semiHidden/>
    <w:unhideWhenUsed/>
    <w:rsid w:val="003F29AD"/>
    <w:rPr>
      <w:rFonts w:ascii="Calibri" w:eastAsia="Calibri" w:hAnsi="Calibri"/>
      <w:sz w:val="20"/>
      <w:szCs w:val="20"/>
      <w:lang w:eastAsia="en-US"/>
    </w:rPr>
  </w:style>
  <w:style w:type="character" w:customStyle="1" w:styleId="FotnotstextChar">
    <w:name w:val="Fotnotstext Char"/>
    <w:link w:val="Fotnotstext"/>
    <w:uiPriority w:val="99"/>
    <w:semiHidden/>
    <w:rsid w:val="003F29AD"/>
    <w:rPr>
      <w:rFonts w:ascii="Calibri" w:eastAsia="Calibri" w:hAnsi="Calibri"/>
      <w:lang w:val="sv-SE" w:eastAsia="en-US"/>
    </w:rPr>
  </w:style>
  <w:style w:type="character" w:styleId="Fotnotsreferens">
    <w:name w:val="footnote reference"/>
    <w:uiPriority w:val="99"/>
    <w:semiHidden/>
    <w:unhideWhenUsed/>
    <w:rsid w:val="003F29AD"/>
    <w:rPr>
      <w:vertAlign w:val="superscript"/>
    </w:rPr>
  </w:style>
  <w:style w:type="paragraph" w:customStyle="1" w:styleId="rubrikb0">
    <w:name w:val="rubrikb"/>
    <w:basedOn w:val="Normal"/>
    <w:rsid w:val="003F29AD"/>
    <w:pPr>
      <w:spacing w:before="100" w:beforeAutospacing="1" w:after="100" w:afterAutospacing="1"/>
    </w:pPr>
    <w:rPr>
      <w:lang w:val="sv-FI" w:eastAsia="sv-FI"/>
    </w:rPr>
  </w:style>
  <w:style w:type="paragraph" w:customStyle="1" w:styleId="anormal0">
    <w:name w:val="anormal"/>
    <w:basedOn w:val="Normal"/>
    <w:rsid w:val="003F29AD"/>
    <w:pPr>
      <w:spacing w:before="100" w:beforeAutospacing="1" w:after="100" w:afterAutospacing="1"/>
    </w:pPr>
    <w:rPr>
      <w:lang w:val="sv-FI" w:eastAsia="sv-FI"/>
    </w:rPr>
  </w:style>
  <w:style w:type="paragraph" w:customStyle="1" w:styleId="BAllmottext">
    <w:name w:val="B Allmot text"/>
    <w:rsid w:val="002534CB"/>
    <w:pPr>
      <w:widowControl w:val="0"/>
      <w:spacing w:line="288" w:lineRule="auto"/>
      <w:ind w:rightChars="250" w:right="250"/>
      <w:jc w:val="both"/>
    </w:pPr>
    <w:rPr>
      <w:sz w:val="22"/>
      <w:lang w:val="sv-SE" w:eastAsia="sv-SE"/>
    </w:rPr>
  </w:style>
  <w:style w:type="character" w:customStyle="1" w:styleId="Inget">
    <w:name w:val="Inget"/>
    <w:rsid w:val="00F43E99"/>
    <w:rPr>
      <w:lang w:val="sv-SE"/>
    </w:rPr>
  </w:style>
  <w:style w:type="character" w:customStyle="1" w:styleId="IngetA">
    <w:name w:val="Inget A"/>
    <w:rsid w:val="00F43E99"/>
  </w:style>
  <w:style w:type="numbering" w:customStyle="1" w:styleId="Importeradestilen1">
    <w:name w:val="Importerade stilen 1"/>
    <w:rsid w:val="00F43E99"/>
    <w:pPr>
      <w:numPr>
        <w:numId w:val="21"/>
      </w:numPr>
    </w:pPr>
  </w:style>
  <w:style w:type="paragraph" w:styleId="Ballongtext">
    <w:name w:val="Balloon Text"/>
    <w:basedOn w:val="Normal"/>
    <w:link w:val="BallongtextChar"/>
    <w:uiPriority w:val="99"/>
    <w:semiHidden/>
    <w:unhideWhenUsed/>
    <w:rsid w:val="006D06F2"/>
    <w:rPr>
      <w:rFonts w:ascii="Tahoma" w:hAnsi="Tahoma" w:cs="Tahoma"/>
      <w:sz w:val="16"/>
      <w:szCs w:val="16"/>
    </w:rPr>
  </w:style>
  <w:style w:type="character" w:customStyle="1" w:styleId="BallongtextChar">
    <w:name w:val="Ballongtext Char"/>
    <w:link w:val="Ballongtext"/>
    <w:uiPriority w:val="99"/>
    <w:semiHidden/>
    <w:rsid w:val="006D06F2"/>
    <w:rPr>
      <w:rFonts w:ascii="Tahoma" w:hAnsi="Tahoma" w:cs="Tahoma"/>
      <w:sz w:val="16"/>
      <w:szCs w:val="16"/>
      <w:lang w:val="sv-SE" w:eastAsia="sv-SE"/>
    </w:rPr>
  </w:style>
  <w:style w:type="paragraph" w:customStyle="1" w:styleId="rubrika0">
    <w:name w:val="rubrika"/>
    <w:basedOn w:val="Normal"/>
    <w:rsid w:val="00912925"/>
    <w:pPr>
      <w:spacing w:after="165"/>
    </w:pPr>
    <w:rPr>
      <w:color w:val="555555"/>
      <w:lang w:val="sv-FI" w:eastAsia="sv-FI"/>
    </w:rPr>
  </w:style>
  <w:style w:type="character" w:customStyle="1" w:styleId="IngetAA">
    <w:name w:val="Inget A A"/>
    <w:rsid w:val="00251F53"/>
  </w:style>
  <w:style w:type="paragraph" w:styleId="Liststycke">
    <w:name w:val="List Paragraph"/>
    <w:basedOn w:val="Normal"/>
    <w:uiPriority w:val="34"/>
    <w:qFormat/>
    <w:rsid w:val="005E276B"/>
    <w:pPr>
      <w:spacing w:after="160" w:line="259" w:lineRule="auto"/>
      <w:ind w:left="720"/>
      <w:contextualSpacing/>
    </w:pPr>
    <w:rPr>
      <w:rFonts w:ascii="Calibri" w:eastAsia="Calibri" w:hAnsi="Calibri"/>
      <w:sz w:val="22"/>
      <w:szCs w:val="22"/>
      <w:lang w:eastAsia="en-US"/>
    </w:rPr>
  </w:style>
  <w:style w:type="paragraph" w:styleId="Oformateradtext">
    <w:name w:val="Plain Text"/>
    <w:basedOn w:val="Normal"/>
    <w:link w:val="OformateradtextChar"/>
    <w:uiPriority w:val="99"/>
    <w:semiHidden/>
    <w:unhideWhenUsed/>
    <w:rsid w:val="00AA302C"/>
    <w:rPr>
      <w:rFonts w:ascii="Calibri" w:eastAsia="Calibri" w:hAnsi="Calibri"/>
      <w:sz w:val="22"/>
      <w:szCs w:val="21"/>
      <w:lang w:val="en-US" w:eastAsia="en-US"/>
    </w:rPr>
  </w:style>
  <w:style w:type="character" w:customStyle="1" w:styleId="OformateradtextChar">
    <w:name w:val="Oformaterad text Char"/>
    <w:link w:val="Oformateradtext"/>
    <w:uiPriority w:val="99"/>
    <w:semiHidden/>
    <w:rsid w:val="00AA302C"/>
    <w:rPr>
      <w:rFonts w:ascii="Calibri" w:eastAsia="Calibri" w:hAnsi="Calibri"/>
      <w:sz w:val="22"/>
      <w:szCs w:val="21"/>
      <w:lang w:val="en-US" w:eastAsia="en-US"/>
    </w:rPr>
  </w:style>
  <w:style w:type="paragraph" w:customStyle="1" w:styleId="xmsonormal">
    <w:name w:val="x_msonormal"/>
    <w:basedOn w:val="Normal"/>
    <w:rsid w:val="00804FFC"/>
    <w:rPr>
      <w:rFonts w:ascii="Calibri" w:eastAsia="Calibri" w:hAnsi="Calibri" w:cs="Calibri"/>
      <w:sz w:val="22"/>
      <w:szCs w:val="22"/>
      <w:lang w:val="sv-FI" w:eastAsia="sv-FI"/>
    </w:rPr>
  </w:style>
  <w:style w:type="character" w:customStyle="1" w:styleId="UnresolvedMention">
    <w:name w:val="Unresolved Mention"/>
    <w:uiPriority w:val="99"/>
    <w:semiHidden/>
    <w:unhideWhenUsed/>
    <w:rsid w:val="00A52572"/>
    <w:rPr>
      <w:color w:val="808080"/>
      <w:shd w:val="clear" w:color="auto" w:fill="E6E6E6"/>
    </w:rPr>
  </w:style>
  <w:style w:type="character" w:styleId="Kommentarsreferens">
    <w:name w:val="annotation reference"/>
    <w:basedOn w:val="Standardstycketeckensnitt"/>
    <w:uiPriority w:val="99"/>
    <w:semiHidden/>
    <w:unhideWhenUsed/>
    <w:rsid w:val="00E858FD"/>
    <w:rPr>
      <w:sz w:val="16"/>
      <w:szCs w:val="16"/>
    </w:rPr>
  </w:style>
  <w:style w:type="paragraph" w:styleId="Kommentarer">
    <w:name w:val="annotation text"/>
    <w:basedOn w:val="Normal"/>
    <w:link w:val="KommentarerChar"/>
    <w:uiPriority w:val="99"/>
    <w:semiHidden/>
    <w:unhideWhenUsed/>
    <w:rsid w:val="00E858FD"/>
    <w:rPr>
      <w:sz w:val="20"/>
      <w:szCs w:val="20"/>
    </w:rPr>
  </w:style>
  <w:style w:type="character" w:customStyle="1" w:styleId="KommentarerChar">
    <w:name w:val="Kommentarer Char"/>
    <w:basedOn w:val="Standardstycketeckensnitt"/>
    <w:link w:val="Kommentarer"/>
    <w:uiPriority w:val="99"/>
    <w:semiHidden/>
    <w:rsid w:val="00E858FD"/>
    <w:rPr>
      <w:lang w:val="sv-SE" w:eastAsia="sv-SE"/>
    </w:rPr>
  </w:style>
  <w:style w:type="paragraph" w:styleId="Kommentarsmne">
    <w:name w:val="annotation subject"/>
    <w:basedOn w:val="Kommentarer"/>
    <w:next w:val="Kommentarer"/>
    <w:link w:val="KommentarsmneChar"/>
    <w:uiPriority w:val="99"/>
    <w:semiHidden/>
    <w:unhideWhenUsed/>
    <w:rsid w:val="00E858FD"/>
    <w:rPr>
      <w:b/>
      <w:bCs/>
    </w:rPr>
  </w:style>
  <w:style w:type="character" w:customStyle="1" w:styleId="KommentarsmneChar">
    <w:name w:val="Kommentarsämne Char"/>
    <w:basedOn w:val="KommentarerChar"/>
    <w:link w:val="Kommentarsmne"/>
    <w:uiPriority w:val="99"/>
    <w:semiHidden/>
    <w:rsid w:val="00E858FD"/>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eringen.ax/andra-verksamheter-hor-forvaltningen/sprakrad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D46E7-3436-43C3-8281-361367FC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95F79536.dotm</Template>
  <TotalTime>4</TotalTime>
  <Pages>27</Pages>
  <Words>11279</Words>
  <Characters>76521</Characters>
  <Application>Microsoft Office Word</Application>
  <DocSecurity>0</DocSecurity>
  <Lines>637</Lines>
  <Paragraphs>175</Paragraphs>
  <ScaleCrop>false</ScaleCrop>
  <HeadingPairs>
    <vt:vector size="2" baseType="variant">
      <vt:variant>
        <vt:lpstr>Rubrik</vt:lpstr>
      </vt:variant>
      <vt:variant>
        <vt:i4>1</vt:i4>
      </vt:variant>
    </vt:vector>
  </HeadingPairs>
  <TitlesOfParts>
    <vt:vector size="1" baseType="lpstr">
      <vt:lpstr>Landskapsregeringens meddelande nr x/201x-201x</vt:lpstr>
    </vt:vector>
  </TitlesOfParts>
  <Company/>
  <LinksUpToDate>false</LinksUpToDate>
  <CharactersWithSpaces>87625</CharactersWithSpaces>
  <SharedDoc>false</SharedDoc>
  <HLinks>
    <vt:vector size="282" baseType="variant">
      <vt:variant>
        <vt:i4>4980827</vt:i4>
      </vt:variant>
      <vt:variant>
        <vt:i4>273</vt:i4>
      </vt:variant>
      <vt:variant>
        <vt:i4>0</vt:i4>
      </vt:variant>
      <vt:variant>
        <vt:i4>5</vt:i4>
      </vt:variant>
      <vt:variant>
        <vt:lpwstr>http://www.regeringen.ax/andra-verksamheter-hor-forvaltningen/sprakradet</vt:lpwstr>
      </vt:variant>
      <vt:variant>
        <vt:lpwstr/>
      </vt:variant>
      <vt:variant>
        <vt:i4>1376309</vt:i4>
      </vt:variant>
      <vt:variant>
        <vt:i4>266</vt:i4>
      </vt:variant>
      <vt:variant>
        <vt:i4>0</vt:i4>
      </vt:variant>
      <vt:variant>
        <vt:i4>5</vt:i4>
      </vt:variant>
      <vt:variant>
        <vt:lpwstr/>
      </vt:variant>
      <vt:variant>
        <vt:lpwstr>_Toc505762377</vt:lpwstr>
      </vt:variant>
      <vt:variant>
        <vt:i4>1376309</vt:i4>
      </vt:variant>
      <vt:variant>
        <vt:i4>260</vt:i4>
      </vt:variant>
      <vt:variant>
        <vt:i4>0</vt:i4>
      </vt:variant>
      <vt:variant>
        <vt:i4>5</vt:i4>
      </vt:variant>
      <vt:variant>
        <vt:lpwstr/>
      </vt:variant>
      <vt:variant>
        <vt:lpwstr>_Toc505762376</vt:lpwstr>
      </vt:variant>
      <vt:variant>
        <vt:i4>1376309</vt:i4>
      </vt:variant>
      <vt:variant>
        <vt:i4>254</vt:i4>
      </vt:variant>
      <vt:variant>
        <vt:i4>0</vt:i4>
      </vt:variant>
      <vt:variant>
        <vt:i4>5</vt:i4>
      </vt:variant>
      <vt:variant>
        <vt:lpwstr/>
      </vt:variant>
      <vt:variant>
        <vt:lpwstr>_Toc505762375</vt:lpwstr>
      </vt:variant>
      <vt:variant>
        <vt:i4>1376309</vt:i4>
      </vt:variant>
      <vt:variant>
        <vt:i4>248</vt:i4>
      </vt:variant>
      <vt:variant>
        <vt:i4>0</vt:i4>
      </vt:variant>
      <vt:variant>
        <vt:i4>5</vt:i4>
      </vt:variant>
      <vt:variant>
        <vt:lpwstr/>
      </vt:variant>
      <vt:variant>
        <vt:lpwstr>_Toc505762374</vt:lpwstr>
      </vt:variant>
      <vt:variant>
        <vt:i4>1376309</vt:i4>
      </vt:variant>
      <vt:variant>
        <vt:i4>242</vt:i4>
      </vt:variant>
      <vt:variant>
        <vt:i4>0</vt:i4>
      </vt:variant>
      <vt:variant>
        <vt:i4>5</vt:i4>
      </vt:variant>
      <vt:variant>
        <vt:lpwstr/>
      </vt:variant>
      <vt:variant>
        <vt:lpwstr>_Toc505762373</vt:lpwstr>
      </vt:variant>
      <vt:variant>
        <vt:i4>1376309</vt:i4>
      </vt:variant>
      <vt:variant>
        <vt:i4>236</vt:i4>
      </vt:variant>
      <vt:variant>
        <vt:i4>0</vt:i4>
      </vt:variant>
      <vt:variant>
        <vt:i4>5</vt:i4>
      </vt:variant>
      <vt:variant>
        <vt:lpwstr/>
      </vt:variant>
      <vt:variant>
        <vt:lpwstr>_Toc505762372</vt:lpwstr>
      </vt:variant>
      <vt:variant>
        <vt:i4>1376309</vt:i4>
      </vt:variant>
      <vt:variant>
        <vt:i4>230</vt:i4>
      </vt:variant>
      <vt:variant>
        <vt:i4>0</vt:i4>
      </vt:variant>
      <vt:variant>
        <vt:i4>5</vt:i4>
      </vt:variant>
      <vt:variant>
        <vt:lpwstr/>
      </vt:variant>
      <vt:variant>
        <vt:lpwstr>_Toc505762371</vt:lpwstr>
      </vt:variant>
      <vt:variant>
        <vt:i4>1376309</vt:i4>
      </vt:variant>
      <vt:variant>
        <vt:i4>224</vt:i4>
      </vt:variant>
      <vt:variant>
        <vt:i4>0</vt:i4>
      </vt:variant>
      <vt:variant>
        <vt:i4>5</vt:i4>
      </vt:variant>
      <vt:variant>
        <vt:lpwstr/>
      </vt:variant>
      <vt:variant>
        <vt:lpwstr>_Toc505762370</vt:lpwstr>
      </vt:variant>
      <vt:variant>
        <vt:i4>1310773</vt:i4>
      </vt:variant>
      <vt:variant>
        <vt:i4>218</vt:i4>
      </vt:variant>
      <vt:variant>
        <vt:i4>0</vt:i4>
      </vt:variant>
      <vt:variant>
        <vt:i4>5</vt:i4>
      </vt:variant>
      <vt:variant>
        <vt:lpwstr/>
      </vt:variant>
      <vt:variant>
        <vt:lpwstr>_Toc505762369</vt:lpwstr>
      </vt:variant>
      <vt:variant>
        <vt:i4>1310773</vt:i4>
      </vt:variant>
      <vt:variant>
        <vt:i4>212</vt:i4>
      </vt:variant>
      <vt:variant>
        <vt:i4>0</vt:i4>
      </vt:variant>
      <vt:variant>
        <vt:i4>5</vt:i4>
      </vt:variant>
      <vt:variant>
        <vt:lpwstr/>
      </vt:variant>
      <vt:variant>
        <vt:lpwstr>_Toc505762368</vt:lpwstr>
      </vt:variant>
      <vt:variant>
        <vt:i4>1310773</vt:i4>
      </vt:variant>
      <vt:variant>
        <vt:i4>206</vt:i4>
      </vt:variant>
      <vt:variant>
        <vt:i4>0</vt:i4>
      </vt:variant>
      <vt:variant>
        <vt:i4>5</vt:i4>
      </vt:variant>
      <vt:variant>
        <vt:lpwstr/>
      </vt:variant>
      <vt:variant>
        <vt:lpwstr>_Toc505762367</vt:lpwstr>
      </vt:variant>
      <vt:variant>
        <vt:i4>1310773</vt:i4>
      </vt:variant>
      <vt:variant>
        <vt:i4>200</vt:i4>
      </vt:variant>
      <vt:variant>
        <vt:i4>0</vt:i4>
      </vt:variant>
      <vt:variant>
        <vt:i4>5</vt:i4>
      </vt:variant>
      <vt:variant>
        <vt:lpwstr/>
      </vt:variant>
      <vt:variant>
        <vt:lpwstr>_Toc505762366</vt:lpwstr>
      </vt:variant>
      <vt:variant>
        <vt:i4>1310773</vt:i4>
      </vt:variant>
      <vt:variant>
        <vt:i4>194</vt:i4>
      </vt:variant>
      <vt:variant>
        <vt:i4>0</vt:i4>
      </vt:variant>
      <vt:variant>
        <vt:i4>5</vt:i4>
      </vt:variant>
      <vt:variant>
        <vt:lpwstr/>
      </vt:variant>
      <vt:variant>
        <vt:lpwstr>_Toc505762365</vt:lpwstr>
      </vt:variant>
      <vt:variant>
        <vt:i4>1310773</vt:i4>
      </vt:variant>
      <vt:variant>
        <vt:i4>188</vt:i4>
      </vt:variant>
      <vt:variant>
        <vt:i4>0</vt:i4>
      </vt:variant>
      <vt:variant>
        <vt:i4>5</vt:i4>
      </vt:variant>
      <vt:variant>
        <vt:lpwstr/>
      </vt:variant>
      <vt:variant>
        <vt:lpwstr>_Toc505762364</vt:lpwstr>
      </vt:variant>
      <vt:variant>
        <vt:i4>1310773</vt:i4>
      </vt:variant>
      <vt:variant>
        <vt:i4>182</vt:i4>
      </vt:variant>
      <vt:variant>
        <vt:i4>0</vt:i4>
      </vt:variant>
      <vt:variant>
        <vt:i4>5</vt:i4>
      </vt:variant>
      <vt:variant>
        <vt:lpwstr/>
      </vt:variant>
      <vt:variant>
        <vt:lpwstr>_Toc505762363</vt:lpwstr>
      </vt:variant>
      <vt:variant>
        <vt:i4>1310773</vt:i4>
      </vt:variant>
      <vt:variant>
        <vt:i4>176</vt:i4>
      </vt:variant>
      <vt:variant>
        <vt:i4>0</vt:i4>
      </vt:variant>
      <vt:variant>
        <vt:i4>5</vt:i4>
      </vt:variant>
      <vt:variant>
        <vt:lpwstr/>
      </vt:variant>
      <vt:variant>
        <vt:lpwstr>_Toc505762362</vt:lpwstr>
      </vt:variant>
      <vt:variant>
        <vt:i4>1310773</vt:i4>
      </vt:variant>
      <vt:variant>
        <vt:i4>170</vt:i4>
      </vt:variant>
      <vt:variant>
        <vt:i4>0</vt:i4>
      </vt:variant>
      <vt:variant>
        <vt:i4>5</vt:i4>
      </vt:variant>
      <vt:variant>
        <vt:lpwstr/>
      </vt:variant>
      <vt:variant>
        <vt:lpwstr>_Toc505762361</vt:lpwstr>
      </vt:variant>
      <vt:variant>
        <vt:i4>1310773</vt:i4>
      </vt:variant>
      <vt:variant>
        <vt:i4>164</vt:i4>
      </vt:variant>
      <vt:variant>
        <vt:i4>0</vt:i4>
      </vt:variant>
      <vt:variant>
        <vt:i4>5</vt:i4>
      </vt:variant>
      <vt:variant>
        <vt:lpwstr/>
      </vt:variant>
      <vt:variant>
        <vt:lpwstr>_Toc505762360</vt:lpwstr>
      </vt:variant>
      <vt:variant>
        <vt:i4>1507381</vt:i4>
      </vt:variant>
      <vt:variant>
        <vt:i4>158</vt:i4>
      </vt:variant>
      <vt:variant>
        <vt:i4>0</vt:i4>
      </vt:variant>
      <vt:variant>
        <vt:i4>5</vt:i4>
      </vt:variant>
      <vt:variant>
        <vt:lpwstr/>
      </vt:variant>
      <vt:variant>
        <vt:lpwstr>_Toc505762359</vt:lpwstr>
      </vt:variant>
      <vt:variant>
        <vt:i4>1507381</vt:i4>
      </vt:variant>
      <vt:variant>
        <vt:i4>152</vt:i4>
      </vt:variant>
      <vt:variant>
        <vt:i4>0</vt:i4>
      </vt:variant>
      <vt:variant>
        <vt:i4>5</vt:i4>
      </vt:variant>
      <vt:variant>
        <vt:lpwstr/>
      </vt:variant>
      <vt:variant>
        <vt:lpwstr>_Toc505762358</vt:lpwstr>
      </vt:variant>
      <vt:variant>
        <vt:i4>1507381</vt:i4>
      </vt:variant>
      <vt:variant>
        <vt:i4>146</vt:i4>
      </vt:variant>
      <vt:variant>
        <vt:i4>0</vt:i4>
      </vt:variant>
      <vt:variant>
        <vt:i4>5</vt:i4>
      </vt:variant>
      <vt:variant>
        <vt:lpwstr/>
      </vt:variant>
      <vt:variant>
        <vt:lpwstr>_Toc505762357</vt:lpwstr>
      </vt:variant>
      <vt:variant>
        <vt:i4>1507381</vt:i4>
      </vt:variant>
      <vt:variant>
        <vt:i4>140</vt:i4>
      </vt:variant>
      <vt:variant>
        <vt:i4>0</vt:i4>
      </vt:variant>
      <vt:variant>
        <vt:i4>5</vt:i4>
      </vt:variant>
      <vt:variant>
        <vt:lpwstr/>
      </vt:variant>
      <vt:variant>
        <vt:lpwstr>_Toc505762356</vt:lpwstr>
      </vt:variant>
      <vt:variant>
        <vt:i4>1507381</vt:i4>
      </vt:variant>
      <vt:variant>
        <vt:i4>134</vt:i4>
      </vt:variant>
      <vt:variant>
        <vt:i4>0</vt:i4>
      </vt:variant>
      <vt:variant>
        <vt:i4>5</vt:i4>
      </vt:variant>
      <vt:variant>
        <vt:lpwstr/>
      </vt:variant>
      <vt:variant>
        <vt:lpwstr>_Toc505762355</vt:lpwstr>
      </vt:variant>
      <vt:variant>
        <vt:i4>1507381</vt:i4>
      </vt:variant>
      <vt:variant>
        <vt:i4>128</vt:i4>
      </vt:variant>
      <vt:variant>
        <vt:i4>0</vt:i4>
      </vt:variant>
      <vt:variant>
        <vt:i4>5</vt:i4>
      </vt:variant>
      <vt:variant>
        <vt:lpwstr/>
      </vt:variant>
      <vt:variant>
        <vt:lpwstr>_Toc505762354</vt:lpwstr>
      </vt:variant>
      <vt:variant>
        <vt:i4>1507381</vt:i4>
      </vt:variant>
      <vt:variant>
        <vt:i4>122</vt:i4>
      </vt:variant>
      <vt:variant>
        <vt:i4>0</vt:i4>
      </vt:variant>
      <vt:variant>
        <vt:i4>5</vt:i4>
      </vt:variant>
      <vt:variant>
        <vt:lpwstr/>
      </vt:variant>
      <vt:variant>
        <vt:lpwstr>_Toc505762353</vt:lpwstr>
      </vt:variant>
      <vt:variant>
        <vt:i4>1507381</vt:i4>
      </vt:variant>
      <vt:variant>
        <vt:i4>116</vt:i4>
      </vt:variant>
      <vt:variant>
        <vt:i4>0</vt:i4>
      </vt:variant>
      <vt:variant>
        <vt:i4>5</vt:i4>
      </vt:variant>
      <vt:variant>
        <vt:lpwstr/>
      </vt:variant>
      <vt:variant>
        <vt:lpwstr>_Toc505762352</vt:lpwstr>
      </vt:variant>
      <vt:variant>
        <vt:i4>1507381</vt:i4>
      </vt:variant>
      <vt:variant>
        <vt:i4>110</vt:i4>
      </vt:variant>
      <vt:variant>
        <vt:i4>0</vt:i4>
      </vt:variant>
      <vt:variant>
        <vt:i4>5</vt:i4>
      </vt:variant>
      <vt:variant>
        <vt:lpwstr/>
      </vt:variant>
      <vt:variant>
        <vt:lpwstr>_Toc505762351</vt:lpwstr>
      </vt:variant>
      <vt:variant>
        <vt:i4>1507381</vt:i4>
      </vt:variant>
      <vt:variant>
        <vt:i4>104</vt:i4>
      </vt:variant>
      <vt:variant>
        <vt:i4>0</vt:i4>
      </vt:variant>
      <vt:variant>
        <vt:i4>5</vt:i4>
      </vt:variant>
      <vt:variant>
        <vt:lpwstr/>
      </vt:variant>
      <vt:variant>
        <vt:lpwstr>_Toc505762350</vt:lpwstr>
      </vt:variant>
      <vt:variant>
        <vt:i4>1441845</vt:i4>
      </vt:variant>
      <vt:variant>
        <vt:i4>98</vt:i4>
      </vt:variant>
      <vt:variant>
        <vt:i4>0</vt:i4>
      </vt:variant>
      <vt:variant>
        <vt:i4>5</vt:i4>
      </vt:variant>
      <vt:variant>
        <vt:lpwstr/>
      </vt:variant>
      <vt:variant>
        <vt:lpwstr>_Toc505762349</vt:lpwstr>
      </vt:variant>
      <vt:variant>
        <vt:i4>1441845</vt:i4>
      </vt:variant>
      <vt:variant>
        <vt:i4>92</vt:i4>
      </vt:variant>
      <vt:variant>
        <vt:i4>0</vt:i4>
      </vt:variant>
      <vt:variant>
        <vt:i4>5</vt:i4>
      </vt:variant>
      <vt:variant>
        <vt:lpwstr/>
      </vt:variant>
      <vt:variant>
        <vt:lpwstr>_Toc505762348</vt:lpwstr>
      </vt:variant>
      <vt:variant>
        <vt:i4>1441845</vt:i4>
      </vt:variant>
      <vt:variant>
        <vt:i4>86</vt:i4>
      </vt:variant>
      <vt:variant>
        <vt:i4>0</vt:i4>
      </vt:variant>
      <vt:variant>
        <vt:i4>5</vt:i4>
      </vt:variant>
      <vt:variant>
        <vt:lpwstr/>
      </vt:variant>
      <vt:variant>
        <vt:lpwstr>_Toc505762347</vt:lpwstr>
      </vt:variant>
      <vt:variant>
        <vt:i4>1441845</vt:i4>
      </vt:variant>
      <vt:variant>
        <vt:i4>80</vt:i4>
      </vt:variant>
      <vt:variant>
        <vt:i4>0</vt:i4>
      </vt:variant>
      <vt:variant>
        <vt:i4>5</vt:i4>
      </vt:variant>
      <vt:variant>
        <vt:lpwstr/>
      </vt:variant>
      <vt:variant>
        <vt:lpwstr>_Toc505762346</vt:lpwstr>
      </vt:variant>
      <vt:variant>
        <vt:i4>1441845</vt:i4>
      </vt:variant>
      <vt:variant>
        <vt:i4>74</vt:i4>
      </vt:variant>
      <vt:variant>
        <vt:i4>0</vt:i4>
      </vt:variant>
      <vt:variant>
        <vt:i4>5</vt:i4>
      </vt:variant>
      <vt:variant>
        <vt:lpwstr/>
      </vt:variant>
      <vt:variant>
        <vt:lpwstr>_Toc505762345</vt:lpwstr>
      </vt:variant>
      <vt:variant>
        <vt:i4>1441845</vt:i4>
      </vt:variant>
      <vt:variant>
        <vt:i4>68</vt:i4>
      </vt:variant>
      <vt:variant>
        <vt:i4>0</vt:i4>
      </vt:variant>
      <vt:variant>
        <vt:i4>5</vt:i4>
      </vt:variant>
      <vt:variant>
        <vt:lpwstr/>
      </vt:variant>
      <vt:variant>
        <vt:lpwstr>_Toc505762344</vt:lpwstr>
      </vt:variant>
      <vt:variant>
        <vt:i4>1441845</vt:i4>
      </vt:variant>
      <vt:variant>
        <vt:i4>62</vt:i4>
      </vt:variant>
      <vt:variant>
        <vt:i4>0</vt:i4>
      </vt:variant>
      <vt:variant>
        <vt:i4>5</vt:i4>
      </vt:variant>
      <vt:variant>
        <vt:lpwstr/>
      </vt:variant>
      <vt:variant>
        <vt:lpwstr>_Toc505762343</vt:lpwstr>
      </vt:variant>
      <vt:variant>
        <vt:i4>1441845</vt:i4>
      </vt:variant>
      <vt:variant>
        <vt:i4>56</vt:i4>
      </vt:variant>
      <vt:variant>
        <vt:i4>0</vt:i4>
      </vt:variant>
      <vt:variant>
        <vt:i4>5</vt:i4>
      </vt:variant>
      <vt:variant>
        <vt:lpwstr/>
      </vt:variant>
      <vt:variant>
        <vt:lpwstr>_Toc505762342</vt:lpwstr>
      </vt:variant>
      <vt:variant>
        <vt:i4>1441845</vt:i4>
      </vt:variant>
      <vt:variant>
        <vt:i4>50</vt:i4>
      </vt:variant>
      <vt:variant>
        <vt:i4>0</vt:i4>
      </vt:variant>
      <vt:variant>
        <vt:i4>5</vt:i4>
      </vt:variant>
      <vt:variant>
        <vt:lpwstr/>
      </vt:variant>
      <vt:variant>
        <vt:lpwstr>_Toc505762341</vt:lpwstr>
      </vt:variant>
      <vt:variant>
        <vt:i4>1441845</vt:i4>
      </vt:variant>
      <vt:variant>
        <vt:i4>44</vt:i4>
      </vt:variant>
      <vt:variant>
        <vt:i4>0</vt:i4>
      </vt:variant>
      <vt:variant>
        <vt:i4>5</vt:i4>
      </vt:variant>
      <vt:variant>
        <vt:lpwstr/>
      </vt:variant>
      <vt:variant>
        <vt:lpwstr>_Toc505762340</vt:lpwstr>
      </vt:variant>
      <vt:variant>
        <vt:i4>1114165</vt:i4>
      </vt:variant>
      <vt:variant>
        <vt:i4>38</vt:i4>
      </vt:variant>
      <vt:variant>
        <vt:i4>0</vt:i4>
      </vt:variant>
      <vt:variant>
        <vt:i4>5</vt:i4>
      </vt:variant>
      <vt:variant>
        <vt:lpwstr/>
      </vt:variant>
      <vt:variant>
        <vt:lpwstr>_Toc505762339</vt:lpwstr>
      </vt:variant>
      <vt:variant>
        <vt:i4>1114165</vt:i4>
      </vt:variant>
      <vt:variant>
        <vt:i4>32</vt:i4>
      </vt:variant>
      <vt:variant>
        <vt:i4>0</vt:i4>
      </vt:variant>
      <vt:variant>
        <vt:i4>5</vt:i4>
      </vt:variant>
      <vt:variant>
        <vt:lpwstr/>
      </vt:variant>
      <vt:variant>
        <vt:lpwstr>_Toc505762338</vt:lpwstr>
      </vt:variant>
      <vt:variant>
        <vt:i4>1114165</vt:i4>
      </vt:variant>
      <vt:variant>
        <vt:i4>26</vt:i4>
      </vt:variant>
      <vt:variant>
        <vt:i4>0</vt:i4>
      </vt:variant>
      <vt:variant>
        <vt:i4>5</vt:i4>
      </vt:variant>
      <vt:variant>
        <vt:lpwstr/>
      </vt:variant>
      <vt:variant>
        <vt:lpwstr>_Toc505762337</vt:lpwstr>
      </vt:variant>
      <vt:variant>
        <vt:i4>1114165</vt:i4>
      </vt:variant>
      <vt:variant>
        <vt:i4>20</vt:i4>
      </vt:variant>
      <vt:variant>
        <vt:i4>0</vt:i4>
      </vt:variant>
      <vt:variant>
        <vt:i4>5</vt:i4>
      </vt:variant>
      <vt:variant>
        <vt:lpwstr/>
      </vt:variant>
      <vt:variant>
        <vt:lpwstr>_Toc505762336</vt:lpwstr>
      </vt:variant>
      <vt:variant>
        <vt:i4>1114165</vt:i4>
      </vt:variant>
      <vt:variant>
        <vt:i4>14</vt:i4>
      </vt:variant>
      <vt:variant>
        <vt:i4>0</vt:i4>
      </vt:variant>
      <vt:variant>
        <vt:i4>5</vt:i4>
      </vt:variant>
      <vt:variant>
        <vt:lpwstr/>
      </vt:variant>
      <vt:variant>
        <vt:lpwstr>_Toc505762335</vt:lpwstr>
      </vt:variant>
      <vt:variant>
        <vt:i4>1114165</vt:i4>
      </vt:variant>
      <vt:variant>
        <vt:i4>8</vt:i4>
      </vt:variant>
      <vt:variant>
        <vt:i4>0</vt:i4>
      </vt:variant>
      <vt:variant>
        <vt:i4>5</vt:i4>
      </vt:variant>
      <vt:variant>
        <vt:lpwstr/>
      </vt:variant>
      <vt:variant>
        <vt:lpwstr>_Toc505762334</vt:lpwstr>
      </vt:variant>
      <vt:variant>
        <vt:i4>1114165</vt:i4>
      </vt:variant>
      <vt:variant>
        <vt:i4>2</vt:i4>
      </vt:variant>
      <vt:variant>
        <vt:i4>0</vt:i4>
      </vt:variant>
      <vt:variant>
        <vt:i4>5</vt:i4>
      </vt:variant>
      <vt:variant>
        <vt:lpwstr/>
      </vt:variant>
      <vt:variant>
        <vt:lpwstr>_Toc505762333</vt:lpwstr>
      </vt:variant>
      <vt:variant>
        <vt:i4>7340116</vt:i4>
      </vt:variant>
      <vt:variant>
        <vt:i4>0</vt:i4>
      </vt:variant>
      <vt:variant>
        <vt:i4>0</vt:i4>
      </vt:variant>
      <vt:variant>
        <vt:i4>5</vt:i4>
      </vt:variant>
      <vt:variant>
        <vt:lpwstr>https://julkaisut.valtioneuvosto.fi/bitstream/handle/10024/79275/JO6_2017_Statsradets_forsvarpolitiska redogorelse_ruotsi_PLM.pdf?sequence=1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x/201x-201x</dc:title>
  <dc:creator>Dan E Eriksson</dc:creator>
  <cp:lastModifiedBy>Jessica Laaksonen</cp:lastModifiedBy>
  <cp:revision>3</cp:revision>
  <cp:lastPrinted>2018-03-08T09:15:00Z</cp:lastPrinted>
  <dcterms:created xsi:type="dcterms:W3CDTF">2018-03-08T09:30:00Z</dcterms:created>
  <dcterms:modified xsi:type="dcterms:W3CDTF">2019-02-12T13:15:00Z</dcterms:modified>
</cp:coreProperties>
</file>