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449"/>
        <w:gridCol w:w="1722"/>
        <w:gridCol w:w="2559"/>
      </w:tblGrid>
      <w:tr w:rsidR="008B496A" w:rsidTr="00ED2CBB">
        <w:trPr>
          <w:cantSplit/>
          <w:trHeight w:val="20"/>
        </w:trPr>
        <w:tc>
          <w:tcPr>
            <w:tcW w:w="851" w:type="dxa"/>
            <w:vMerge w:val="restart"/>
          </w:tcPr>
          <w:p w:rsidR="008B496A" w:rsidRDefault="00252EB5">
            <w:pPr>
              <w:pStyle w:val="xLedtext"/>
              <w:rPr>
                <w:noProof/>
              </w:rPr>
            </w:pPr>
            <w:bookmarkStart w:id="0" w:name="_top"/>
            <w:bookmarkStart w:id="1" w:name="_Hlk528830380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3710" cy="683895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gridSpan w:val="3"/>
            <w:vAlign w:val="bottom"/>
          </w:tcPr>
          <w:p w:rsidR="008B496A" w:rsidRDefault="00252EB5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96A" w:rsidTr="00ED2CBB">
        <w:trPr>
          <w:cantSplit/>
          <w:trHeight w:val="299"/>
        </w:trPr>
        <w:tc>
          <w:tcPr>
            <w:tcW w:w="851" w:type="dxa"/>
            <w:vMerge/>
          </w:tcPr>
          <w:p w:rsidR="008B496A" w:rsidRDefault="008B496A">
            <w:pPr>
              <w:pStyle w:val="xLedtext"/>
            </w:pPr>
          </w:p>
        </w:tc>
        <w:tc>
          <w:tcPr>
            <w:tcW w:w="4449" w:type="dxa"/>
            <w:vAlign w:val="bottom"/>
          </w:tcPr>
          <w:p w:rsidR="008B496A" w:rsidRDefault="008B496A">
            <w:pPr>
              <w:pStyle w:val="xAvsandare1"/>
            </w:pPr>
            <w:r>
              <w:t>Ålands landskapsregering</w:t>
            </w:r>
          </w:p>
        </w:tc>
        <w:tc>
          <w:tcPr>
            <w:tcW w:w="4281" w:type="dxa"/>
            <w:gridSpan w:val="2"/>
            <w:vAlign w:val="bottom"/>
          </w:tcPr>
          <w:p w:rsidR="008B496A" w:rsidRDefault="00AE67F9" w:rsidP="00E33B3C">
            <w:pPr>
              <w:pStyle w:val="xDokTypNr"/>
            </w:pPr>
            <w:r>
              <w:t>YTTRANDE</w:t>
            </w: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  <w:vMerge/>
          </w:tcPr>
          <w:p w:rsidR="008B496A" w:rsidRDefault="008B496A">
            <w:pPr>
              <w:pStyle w:val="xLedtext"/>
            </w:pPr>
          </w:p>
        </w:tc>
        <w:tc>
          <w:tcPr>
            <w:tcW w:w="4449" w:type="dxa"/>
            <w:vAlign w:val="bottom"/>
          </w:tcPr>
          <w:p w:rsidR="008B496A" w:rsidRDefault="008B496A">
            <w:pPr>
              <w:pStyle w:val="xLedtext"/>
            </w:pPr>
          </w:p>
        </w:tc>
        <w:tc>
          <w:tcPr>
            <w:tcW w:w="1722" w:type="dxa"/>
            <w:vAlign w:val="bottom"/>
          </w:tcPr>
          <w:p w:rsidR="008B496A" w:rsidRDefault="008B496A">
            <w:pPr>
              <w:pStyle w:val="xLedtext"/>
            </w:pPr>
            <w:r>
              <w:t>Datum</w:t>
            </w:r>
          </w:p>
        </w:tc>
        <w:tc>
          <w:tcPr>
            <w:tcW w:w="2559" w:type="dxa"/>
            <w:vAlign w:val="bottom"/>
          </w:tcPr>
          <w:p w:rsidR="008B496A" w:rsidRDefault="008B496A">
            <w:pPr>
              <w:pStyle w:val="xLedtext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  <w:vMerge/>
          </w:tcPr>
          <w:p w:rsidR="008B496A" w:rsidRDefault="008B496A">
            <w:pPr>
              <w:pStyle w:val="xAvsandare2"/>
            </w:pPr>
          </w:p>
        </w:tc>
        <w:tc>
          <w:tcPr>
            <w:tcW w:w="4449" w:type="dxa"/>
            <w:vAlign w:val="center"/>
          </w:tcPr>
          <w:p w:rsidR="008B496A" w:rsidRDefault="008B496A">
            <w:pPr>
              <w:pStyle w:val="xAvsandare2"/>
            </w:pPr>
          </w:p>
        </w:tc>
        <w:tc>
          <w:tcPr>
            <w:tcW w:w="1722" w:type="dxa"/>
            <w:vAlign w:val="center"/>
          </w:tcPr>
          <w:p w:rsidR="008B496A" w:rsidRDefault="00EA0517" w:rsidP="002542CD">
            <w:pPr>
              <w:pStyle w:val="xDatum1"/>
            </w:pPr>
            <w:r>
              <w:t>1</w:t>
            </w:r>
            <w:r w:rsidR="008B496A">
              <w:t>.</w:t>
            </w:r>
            <w:r>
              <w:t>11</w:t>
            </w:r>
            <w:r w:rsidR="00807F6D">
              <w:t>.201</w:t>
            </w:r>
            <w:r w:rsidR="00C979E6">
              <w:t>8</w:t>
            </w:r>
          </w:p>
        </w:tc>
        <w:tc>
          <w:tcPr>
            <w:tcW w:w="2559" w:type="dxa"/>
            <w:vAlign w:val="center"/>
          </w:tcPr>
          <w:p w:rsidR="008B496A" w:rsidRDefault="008B496A">
            <w:pPr>
              <w:pStyle w:val="xBeteckning1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  <w:vMerge/>
          </w:tcPr>
          <w:p w:rsidR="008B496A" w:rsidRDefault="008B496A">
            <w:pPr>
              <w:pStyle w:val="xLedtext"/>
            </w:pPr>
          </w:p>
        </w:tc>
        <w:tc>
          <w:tcPr>
            <w:tcW w:w="4449" w:type="dxa"/>
            <w:vAlign w:val="bottom"/>
          </w:tcPr>
          <w:p w:rsidR="008B496A" w:rsidRDefault="008B496A">
            <w:pPr>
              <w:pStyle w:val="xLedtext"/>
            </w:pPr>
          </w:p>
        </w:tc>
        <w:tc>
          <w:tcPr>
            <w:tcW w:w="1722" w:type="dxa"/>
            <w:vAlign w:val="bottom"/>
          </w:tcPr>
          <w:p w:rsidR="008B496A" w:rsidRDefault="008B496A">
            <w:pPr>
              <w:pStyle w:val="xLedtext"/>
            </w:pPr>
          </w:p>
        </w:tc>
        <w:tc>
          <w:tcPr>
            <w:tcW w:w="2559" w:type="dxa"/>
            <w:vAlign w:val="bottom"/>
          </w:tcPr>
          <w:p w:rsidR="008B496A" w:rsidRDefault="008B496A">
            <w:pPr>
              <w:pStyle w:val="xLedtext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496A" w:rsidRDefault="008B496A">
            <w:pPr>
              <w:pStyle w:val="xAvsandare3"/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8B496A" w:rsidRDefault="008B496A">
            <w:pPr>
              <w:pStyle w:val="xAvsandare3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8B496A" w:rsidRDefault="008B496A">
            <w:pPr>
              <w:pStyle w:val="xDatum2"/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B496A" w:rsidRDefault="008B496A">
            <w:pPr>
              <w:pStyle w:val="xBeteckning2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B496A" w:rsidRDefault="008B496A">
            <w:pPr>
              <w:pStyle w:val="xLedtext"/>
            </w:pPr>
          </w:p>
        </w:tc>
        <w:tc>
          <w:tcPr>
            <w:tcW w:w="4449" w:type="dxa"/>
            <w:tcBorders>
              <w:top w:val="single" w:sz="4" w:space="0" w:color="auto"/>
            </w:tcBorders>
            <w:vAlign w:val="bottom"/>
          </w:tcPr>
          <w:p w:rsidR="008B496A" w:rsidRDefault="008B496A">
            <w:pPr>
              <w:pStyle w:val="xLedtext"/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:rsidR="008B496A" w:rsidRDefault="008B496A">
            <w:pPr>
              <w:pStyle w:val="xLedtext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</w:tcPr>
          <w:p w:rsidR="008B496A" w:rsidRDefault="008B496A">
            <w:pPr>
              <w:pStyle w:val="xCelltext"/>
            </w:pPr>
          </w:p>
        </w:tc>
        <w:tc>
          <w:tcPr>
            <w:tcW w:w="4449" w:type="dxa"/>
            <w:vMerge w:val="restart"/>
          </w:tcPr>
          <w:p w:rsidR="008B496A" w:rsidRDefault="008B496A">
            <w:pPr>
              <w:pStyle w:val="xMottagare1"/>
            </w:pPr>
            <w:r>
              <w:t>Till Ålands lagting</w:t>
            </w:r>
          </w:p>
        </w:tc>
        <w:tc>
          <w:tcPr>
            <w:tcW w:w="4281" w:type="dxa"/>
            <w:gridSpan w:val="2"/>
            <w:vMerge w:val="restart"/>
          </w:tcPr>
          <w:p w:rsidR="008B496A" w:rsidRDefault="008B496A">
            <w:pPr>
              <w:pStyle w:val="xMottagare1"/>
              <w:tabs>
                <w:tab w:val="left" w:pos="2349"/>
              </w:tabs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</w:tcPr>
          <w:p w:rsidR="008B496A" w:rsidRDefault="008B496A">
            <w:pPr>
              <w:pStyle w:val="xCelltext"/>
            </w:pPr>
          </w:p>
        </w:tc>
        <w:tc>
          <w:tcPr>
            <w:tcW w:w="4449" w:type="dxa"/>
            <w:vMerge/>
            <w:vAlign w:val="center"/>
          </w:tcPr>
          <w:p w:rsidR="008B496A" w:rsidRDefault="008B496A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8B496A" w:rsidRDefault="008B496A">
            <w:pPr>
              <w:pStyle w:val="xCelltext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</w:tcPr>
          <w:p w:rsidR="008B496A" w:rsidRDefault="008B496A">
            <w:pPr>
              <w:pStyle w:val="xCelltext"/>
            </w:pPr>
          </w:p>
        </w:tc>
        <w:tc>
          <w:tcPr>
            <w:tcW w:w="4449" w:type="dxa"/>
            <w:vMerge/>
            <w:vAlign w:val="center"/>
          </w:tcPr>
          <w:p w:rsidR="008B496A" w:rsidRDefault="008B496A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8B496A" w:rsidRDefault="008B496A">
            <w:pPr>
              <w:pStyle w:val="xCelltext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</w:tcPr>
          <w:p w:rsidR="008B496A" w:rsidRDefault="008B496A">
            <w:pPr>
              <w:pStyle w:val="xCelltext"/>
            </w:pPr>
          </w:p>
        </w:tc>
        <w:tc>
          <w:tcPr>
            <w:tcW w:w="4449" w:type="dxa"/>
            <w:vMerge/>
            <w:vAlign w:val="center"/>
          </w:tcPr>
          <w:p w:rsidR="008B496A" w:rsidRDefault="008B496A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8B496A" w:rsidRDefault="008B496A">
            <w:pPr>
              <w:pStyle w:val="xCelltext"/>
            </w:pPr>
          </w:p>
        </w:tc>
      </w:tr>
      <w:tr w:rsidR="008B496A" w:rsidTr="00ED2CBB">
        <w:trPr>
          <w:cantSplit/>
          <w:trHeight w:val="238"/>
        </w:trPr>
        <w:tc>
          <w:tcPr>
            <w:tcW w:w="851" w:type="dxa"/>
          </w:tcPr>
          <w:p w:rsidR="008B496A" w:rsidRDefault="008B496A">
            <w:pPr>
              <w:pStyle w:val="xCelltext"/>
            </w:pPr>
          </w:p>
        </w:tc>
        <w:tc>
          <w:tcPr>
            <w:tcW w:w="4449" w:type="dxa"/>
            <w:vMerge/>
            <w:vAlign w:val="center"/>
          </w:tcPr>
          <w:p w:rsidR="008B496A" w:rsidRDefault="008B496A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8B496A" w:rsidRDefault="008B496A">
            <w:pPr>
              <w:pStyle w:val="xCelltext"/>
            </w:pPr>
          </w:p>
        </w:tc>
      </w:tr>
    </w:tbl>
    <w:p w:rsidR="008B496A" w:rsidRDefault="008B496A">
      <w:pPr>
        <w:rPr>
          <w:b/>
          <w:bCs/>
        </w:rPr>
        <w:sectPr w:rsidR="008B496A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8B496A" w:rsidRDefault="00AE67F9">
      <w:pPr>
        <w:pStyle w:val="ArendeOverRubrik"/>
      </w:pPr>
      <w:r>
        <w:lastRenderedPageBreak/>
        <w:t>Landskapsregeringens yttrande</w:t>
      </w:r>
    </w:p>
    <w:p w:rsidR="008B496A" w:rsidRDefault="00347B66" w:rsidP="00066D2D">
      <w:pPr>
        <w:pStyle w:val="ArendeRubrik"/>
      </w:pPr>
      <w:r>
        <w:t>Ang</w:t>
      </w:r>
      <w:r w:rsidR="0070149C">
        <w:t>å</w:t>
      </w:r>
      <w:r>
        <w:t>e</w:t>
      </w:r>
      <w:r w:rsidR="0070149C">
        <w:t>nde</w:t>
      </w:r>
      <w:r w:rsidR="00F05CDF">
        <w:t xml:space="preserve"> regeringens proposition till riksdagen om godkännande </w:t>
      </w:r>
      <w:r w:rsidR="00A43D44">
        <w:t>och sättande i kraft av avtalet och protokollet med Hongkong för att undanröja</w:t>
      </w:r>
      <w:r w:rsidR="00F05CDF">
        <w:t xml:space="preserve"> dubbelbeskattning beträffande skatter på inkomst</w:t>
      </w:r>
      <w:r w:rsidR="00A43D44">
        <w:t xml:space="preserve"> och för att förhindra kringgående och undvikande av skatt</w:t>
      </w:r>
    </w:p>
    <w:p w:rsidR="00C669F9" w:rsidRPr="00DC6234" w:rsidRDefault="00DC6234" w:rsidP="00066D2D">
      <w:pPr>
        <w:pStyle w:val="ArendeUnderRubrik"/>
        <w:rPr>
          <w:rStyle w:val="Hyperlnk"/>
        </w:rPr>
      </w:pPr>
      <w:r>
        <w:fldChar w:fldCharType="begin"/>
      </w:r>
      <w:r w:rsidR="000E0870">
        <w:instrText>HYPERLINK "rp0820172018.htm"</w:instrText>
      </w:r>
      <w:r>
        <w:fldChar w:fldCharType="separate"/>
      </w:r>
      <w:r w:rsidR="00AE67F9" w:rsidRPr="00DC6234">
        <w:rPr>
          <w:rStyle w:val="Hyperlnk"/>
        </w:rPr>
        <w:t xml:space="preserve">Republikens presidents framställning </w:t>
      </w:r>
      <w:r w:rsidR="008B496A" w:rsidRPr="00DC6234">
        <w:rPr>
          <w:rStyle w:val="Hyperlnk"/>
        </w:rPr>
        <w:t xml:space="preserve">nr </w:t>
      </w:r>
      <w:r w:rsidR="00807F6D" w:rsidRPr="00DC6234">
        <w:rPr>
          <w:rStyle w:val="Hyperlnk"/>
        </w:rPr>
        <w:t>8</w:t>
      </w:r>
      <w:r w:rsidR="008B496A" w:rsidRPr="00DC6234">
        <w:rPr>
          <w:rStyle w:val="Hyperlnk"/>
        </w:rPr>
        <w:t>/201</w:t>
      </w:r>
      <w:r w:rsidR="00A43D44" w:rsidRPr="00DC6234">
        <w:rPr>
          <w:rStyle w:val="Hyperlnk"/>
        </w:rPr>
        <w:t>7</w:t>
      </w:r>
      <w:r w:rsidR="008B496A" w:rsidRPr="00DC6234">
        <w:rPr>
          <w:rStyle w:val="Hyperlnk"/>
        </w:rPr>
        <w:t>-201</w:t>
      </w:r>
      <w:r w:rsidR="00A43D44" w:rsidRPr="00DC6234">
        <w:rPr>
          <w:rStyle w:val="Hyperlnk"/>
        </w:rPr>
        <w:t>8</w:t>
      </w:r>
    </w:p>
    <w:p w:rsidR="008B496A" w:rsidRDefault="00DC6234" w:rsidP="00066D2D">
      <w:pPr>
        <w:pStyle w:val="ANormal"/>
      </w:pPr>
      <w:r>
        <w:rPr>
          <w:rFonts w:ascii="Verdana" w:hAnsi="Verdana" w:cs="Arial"/>
          <w:sz w:val="16"/>
        </w:rPr>
        <w:fldChar w:fldCharType="end"/>
      </w:r>
      <w:bookmarkStart w:id="2" w:name="_GoBack"/>
      <w:bookmarkEnd w:id="2"/>
    </w:p>
    <w:p w:rsidR="00134462" w:rsidRDefault="00807F6D" w:rsidP="00066D2D">
      <w:pPr>
        <w:pStyle w:val="Brdtext"/>
        <w:rPr>
          <w:sz w:val="22"/>
          <w:szCs w:val="22"/>
        </w:rPr>
      </w:pPr>
      <w:r w:rsidRPr="00807F6D">
        <w:rPr>
          <w:sz w:val="22"/>
          <w:szCs w:val="22"/>
        </w:rPr>
        <w:t xml:space="preserve">Ålands lagting har den </w:t>
      </w:r>
      <w:r w:rsidR="00DD789C">
        <w:rPr>
          <w:sz w:val="22"/>
          <w:szCs w:val="22"/>
        </w:rPr>
        <w:t>3</w:t>
      </w:r>
      <w:r w:rsidRPr="00807F6D">
        <w:rPr>
          <w:sz w:val="22"/>
          <w:szCs w:val="22"/>
        </w:rPr>
        <w:t xml:space="preserve"> </w:t>
      </w:r>
      <w:r w:rsidR="00DD789C">
        <w:rPr>
          <w:sz w:val="22"/>
          <w:szCs w:val="22"/>
        </w:rPr>
        <w:t>oktober</w:t>
      </w:r>
      <w:r w:rsidRPr="00807F6D">
        <w:rPr>
          <w:sz w:val="22"/>
          <w:szCs w:val="22"/>
        </w:rPr>
        <w:t xml:space="preserve"> 201</w:t>
      </w:r>
      <w:r w:rsidR="00DD789C">
        <w:rPr>
          <w:sz w:val="22"/>
          <w:szCs w:val="22"/>
        </w:rPr>
        <w:t>8</w:t>
      </w:r>
      <w:r w:rsidRPr="00807F6D">
        <w:rPr>
          <w:sz w:val="22"/>
          <w:szCs w:val="22"/>
        </w:rPr>
        <w:t xml:space="preserve"> begärt ett yttrande från landskapsr</w:t>
      </w:r>
      <w:r w:rsidRPr="00807F6D">
        <w:rPr>
          <w:sz w:val="22"/>
          <w:szCs w:val="22"/>
        </w:rPr>
        <w:t>e</w:t>
      </w:r>
      <w:r w:rsidRPr="00807F6D">
        <w:rPr>
          <w:sz w:val="22"/>
          <w:szCs w:val="22"/>
        </w:rPr>
        <w:t>ge</w:t>
      </w:r>
      <w:r>
        <w:rPr>
          <w:sz w:val="22"/>
          <w:szCs w:val="22"/>
        </w:rPr>
        <w:t>ringen om en proposition till riksdagen om godkännande av</w:t>
      </w:r>
      <w:r w:rsidR="00DD789C">
        <w:rPr>
          <w:sz w:val="22"/>
          <w:szCs w:val="22"/>
        </w:rPr>
        <w:t xml:space="preserve"> och sättande i kraft av avtalet och protokollet med Hongkong för att undanröja </w:t>
      </w:r>
      <w:r>
        <w:rPr>
          <w:sz w:val="22"/>
          <w:szCs w:val="22"/>
        </w:rPr>
        <w:t>dubbe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beskattning </w:t>
      </w:r>
      <w:r w:rsidR="00DD789C">
        <w:rPr>
          <w:sz w:val="22"/>
          <w:szCs w:val="22"/>
        </w:rPr>
        <w:t xml:space="preserve">beträffande skatter på inkomst </w:t>
      </w:r>
      <w:r>
        <w:rPr>
          <w:sz w:val="22"/>
          <w:szCs w:val="22"/>
        </w:rPr>
        <w:t xml:space="preserve">och </w:t>
      </w:r>
      <w:r w:rsidR="00DD789C">
        <w:rPr>
          <w:sz w:val="22"/>
          <w:szCs w:val="22"/>
        </w:rPr>
        <w:t>för att förhindra kringg</w:t>
      </w:r>
      <w:r w:rsidR="00DD789C">
        <w:rPr>
          <w:sz w:val="22"/>
          <w:szCs w:val="22"/>
        </w:rPr>
        <w:t>å</w:t>
      </w:r>
      <w:r w:rsidR="00DD789C">
        <w:rPr>
          <w:sz w:val="22"/>
          <w:szCs w:val="22"/>
        </w:rPr>
        <w:t>ende och undvikande</w:t>
      </w:r>
      <w:r>
        <w:rPr>
          <w:sz w:val="22"/>
          <w:szCs w:val="22"/>
        </w:rPr>
        <w:t xml:space="preserve"> av skatt. </w:t>
      </w:r>
      <w:r w:rsidR="00134462">
        <w:rPr>
          <w:sz w:val="22"/>
          <w:szCs w:val="22"/>
        </w:rPr>
        <w:t>Begäran är gjord i enlighet med lagsting</w:t>
      </w:r>
      <w:r w:rsidR="00134462">
        <w:rPr>
          <w:sz w:val="22"/>
          <w:szCs w:val="22"/>
        </w:rPr>
        <w:t>s</w:t>
      </w:r>
      <w:r w:rsidR="00134462">
        <w:rPr>
          <w:sz w:val="22"/>
          <w:szCs w:val="22"/>
        </w:rPr>
        <w:t>ordningen 31 § 2 mom.</w:t>
      </w:r>
    </w:p>
    <w:p w:rsidR="00134462" w:rsidRDefault="00134462" w:rsidP="00C669F9">
      <w:pPr>
        <w:pStyle w:val="Brdtext"/>
        <w:rPr>
          <w:sz w:val="22"/>
          <w:szCs w:val="22"/>
        </w:rPr>
      </w:pPr>
    </w:p>
    <w:p w:rsidR="00AE67F9" w:rsidRDefault="00134462" w:rsidP="00C669F9">
      <w:pPr>
        <w:pStyle w:val="Brdtext"/>
        <w:rPr>
          <w:b/>
          <w:sz w:val="22"/>
          <w:szCs w:val="22"/>
        </w:rPr>
      </w:pPr>
      <w:r w:rsidRPr="00134462">
        <w:rPr>
          <w:b/>
          <w:sz w:val="22"/>
          <w:szCs w:val="22"/>
        </w:rPr>
        <w:t>Propositionens huvudsakliga innehåll</w:t>
      </w:r>
    </w:p>
    <w:p w:rsidR="00DA3B20" w:rsidRDefault="00DA3B20" w:rsidP="00066D2D">
      <w:pPr>
        <w:pStyle w:val="Brdtext"/>
        <w:rPr>
          <w:b/>
          <w:sz w:val="22"/>
          <w:szCs w:val="22"/>
        </w:rPr>
      </w:pPr>
    </w:p>
    <w:p w:rsidR="00DA3B20" w:rsidRDefault="004100B4" w:rsidP="00066D2D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Regeringen föreslår att riksdagen godkänner det med </w:t>
      </w:r>
      <w:r w:rsidR="003F501D">
        <w:rPr>
          <w:sz w:val="22"/>
          <w:szCs w:val="22"/>
        </w:rPr>
        <w:t>Hongkong</w:t>
      </w:r>
      <w:r w:rsidR="0077263C">
        <w:rPr>
          <w:sz w:val="22"/>
          <w:szCs w:val="22"/>
        </w:rPr>
        <w:t xml:space="preserve"> i maj 2018 ingångna avtalet och protokollet för att undanröja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B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dubbelbeskattning </w:t>
      </w:r>
      <w:r w:rsidR="00952768">
        <w:rPr>
          <w:sz w:val="22"/>
          <w:szCs w:val="22"/>
        </w:rPr>
        <w:t xml:space="preserve">beträffande </w:t>
      </w:r>
      <w:r w:rsidR="002A46D6">
        <w:rPr>
          <w:sz w:val="22"/>
          <w:szCs w:val="22"/>
        </w:rPr>
        <w:t xml:space="preserve">skatter på inkomst och </w:t>
      </w:r>
      <w:r w:rsidR="00921D85">
        <w:rPr>
          <w:sz w:val="22"/>
          <w:szCs w:val="22"/>
        </w:rPr>
        <w:t xml:space="preserve">för att </w:t>
      </w:r>
      <w:r w:rsidR="002A46D6">
        <w:rPr>
          <w:sz w:val="22"/>
          <w:szCs w:val="22"/>
        </w:rPr>
        <w:t>f</w:t>
      </w:r>
      <w:r>
        <w:rPr>
          <w:sz w:val="22"/>
          <w:szCs w:val="22"/>
        </w:rPr>
        <w:t>örhindra kringgående</w:t>
      </w:r>
      <w:r w:rsidR="002A46D6">
        <w:rPr>
          <w:sz w:val="22"/>
          <w:szCs w:val="22"/>
        </w:rPr>
        <w:t xml:space="preserve"> och undvikande</w:t>
      </w:r>
      <w:r>
        <w:rPr>
          <w:sz w:val="22"/>
          <w:szCs w:val="22"/>
        </w:rPr>
        <w:t xml:space="preserve"> av skatt</w:t>
      </w:r>
      <w:r w:rsidR="002A46D6">
        <w:rPr>
          <w:sz w:val="22"/>
          <w:szCs w:val="22"/>
        </w:rPr>
        <w:t>.</w:t>
      </w:r>
      <w:r w:rsidR="003E0A7B">
        <w:rPr>
          <w:sz w:val="22"/>
          <w:szCs w:val="22"/>
        </w:rPr>
        <w:t xml:space="preserve"> </w:t>
      </w:r>
      <w:r w:rsidR="002A46D6">
        <w:rPr>
          <w:sz w:val="22"/>
          <w:szCs w:val="22"/>
        </w:rPr>
        <w:t>Avtalet och protokollet bygger med vissa avvikelser på det modellavtal som Organisationen för ekonomiskt samarbete och utveckling (OECD) har utarbetat.</w:t>
      </w:r>
      <w:r w:rsidR="003E0A7B">
        <w:rPr>
          <w:sz w:val="22"/>
          <w:szCs w:val="22"/>
        </w:rPr>
        <w:t xml:space="preserve"> </w:t>
      </w:r>
      <w:r w:rsidR="002A46D6">
        <w:rPr>
          <w:sz w:val="22"/>
          <w:szCs w:val="22"/>
        </w:rPr>
        <w:t>Avtalet och protokollet innehåller bestämmelser enligt vilka en avtalsslutande part tillerkänns rä</w:t>
      </w:r>
      <w:r w:rsidR="002A46D6">
        <w:rPr>
          <w:sz w:val="22"/>
          <w:szCs w:val="22"/>
        </w:rPr>
        <w:t>t</w:t>
      </w:r>
      <w:r w:rsidR="002A46D6">
        <w:rPr>
          <w:sz w:val="22"/>
          <w:szCs w:val="22"/>
        </w:rPr>
        <w:t>ten att beskatta olika inkomster medan den andra avtalsslutande parten i motsvarande mån måste avstå från att använda sin på egen skattelagstif</w:t>
      </w:r>
      <w:r w:rsidR="002A46D6">
        <w:rPr>
          <w:sz w:val="22"/>
          <w:szCs w:val="22"/>
        </w:rPr>
        <w:t>t</w:t>
      </w:r>
      <w:r w:rsidR="002A46D6">
        <w:rPr>
          <w:sz w:val="22"/>
          <w:szCs w:val="22"/>
        </w:rPr>
        <w:t xml:space="preserve">ning grundade beskattningsrätt eller på annat sätt ge lättnad från skatt för att internationell dubbelbeskattning ska undvikas. I avtalet och protokollet finns även bestämmelser om </w:t>
      </w:r>
      <w:r w:rsidR="00806099">
        <w:rPr>
          <w:sz w:val="22"/>
          <w:szCs w:val="22"/>
        </w:rPr>
        <w:t>bl.a. förbud mot diskriminering och om utbyte av upplysningar om beskattning.</w:t>
      </w:r>
    </w:p>
    <w:p w:rsidR="00806099" w:rsidRDefault="00806099" w:rsidP="00066D2D">
      <w:pPr>
        <w:pStyle w:val="Brdtext"/>
        <w:rPr>
          <w:sz w:val="22"/>
          <w:szCs w:val="22"/>
        </w:rPr>
      </w:pPr>
    </w:p>
    <w:p w:rsidR="008F09B1" w:rsidRDefault="00806099" w:rsidP="008405B8">
      <w:pPr>
        <w:pStyle w:val="Brdtext"/>
        <w:rPr>
          <w:sz w:val="22"/>
          <w:szCs w:val="22"/>
        </w:rPr>
      </w:pPr>
      <w:r>
        <w:rPr>
          <w:sz w:val="22"/>
          <w:szCs w:val="22"/>
        </w:rPr>
        <w:t>För närvarande</w:t>
      </w:r>
      <w:r w:rsidR="008F09B1">
        <w:rPr>
          <w:sz w:val="22"/>
          <w:szCs w:val="22"/>
        </w:rPr>
        <w:t xml:space="preserve"> finns inte något </w:t>
      </w:r>
      <w:r w:rsidR="009D2195">
        <w:rPr>
          <w:sz w:val="22"/>
          <w:szCs w:val="22"/>
        </w:rPr>
        <w:t>allmänt</w:t>
      </w:r>
      <w:r w:rsidR="008F09B1">
        <w:rPr>
          <w:sz w:val="22"/>
          <w:szCs w:val="22"/>
        </w:rPr>
        <w:t xml:space="preserve"> dubbelbeskattningsavtal och inte heller något avtal om utbyte av upplysningar i kraft. Mellan Finland och Hongkong finns</w:t>
      </w:r>
      <w:r w:rsidR="00E44BD9">
        <w:rPr>
          <w:sz w:val="22"/>
          <w:szCs w:val="22"/>
        </w:rPr>
        <w:t xml:space="preserve"> </w:t>
      </w:r>
      <w:r w:rsidR="008F09B1">
        <w:rPr>
          <w:sz w:val="22"/>
          <w:szCs w:val="22"/>
        </w:rPr>
        <w:t xml:space="preserve">endast i kraft </w:t>
      </w:r>
      <w:r w:rsidR="00E44BD9">
        <w:rPr>
          <w:sz w:val="22"/>
          <w:szCs w:val="22"/>
        </w:rPr>
        <w:t>det i Hongkong den 19 november mellan Republiken Finl</w:t>
      </w:r>
      <w:r w:rsidR="008F09B1">
        <w:rPr>
          <w:sz w:val="22"/>
          <w:szCs w:val="22"/>
        </w:rPr>
        <w:t>and</w:t>
      </w:r>
      <w:r w:rsidR="00E44BD9">
        <w:rPr>
          <w:sz w:val="22"/>
          <w:szCs w:val="22"/>
        </w:rPr>
        <w:t xml:space="preserve"> och Hongkongs särskilda administrativa område i Folkrepubliken</w:t>
      </w:r>
      <w:r w:rsidR="008F09B1">
        <w:rPr>
          <w:sz w:val="22"/>
          <w:szCs w:val="22"/>
        </w:rPr>
        <w:t xml:space="preserve"> Kina ingångna avtalet för att undvika dubbelbeskattning b</w:t>
      </w:r>
      <w:r w:rsidR="008F09B1">
        <w:rPr>
          <w:sz w:val="22"/>
          <w:szCs w:val="22"/>
        </w:rPr>
        <w:t>e</w:t>
      </w:r>
      <w:r w:rsidR="008F09B1">
        <w:rPr>
          <w:sz w:val="22"/>
          <w:szCs w:val="22"/>
        </w:rPr>
        <w:t xml:space="preserve">träffande skatter på inkomst som härrör från användning av luftfartyg. Av detta skäl är det viktigt att </w:t>
      </w:r>
      <w:r w:rsidR="009D2195">
        <w:rPr>
          <w:sz w:val="22"/>
          <w:szCs w:val="22"/>
        </w:rPr>
        <w:t>sätta i kraft</w:t>
      </w:r>
      <w:r w:rsidR="008F09B1">
        <w:rPr>
          <w:sz w:val="22"/>
          <w:szCs w:val="22"/>
        </w:rPr>
        <w:t xml:space="preserve"> dubbelbeskattningsavtal</w:t>
      </w:r>
      <w:r w:rsidR="009D2195">
        <w:rPr>
          <w:sz w:val="22"/>
          <w:szCs w:val="22"/>
        </w:rPr>
        <w:t>et</w:t>
      </w:r>
      <w:r w:rsidR="008F09B1">
        <w:rPr>
          <w:sz w:val="22"/>
          <w:szCs w:val="22"/>
        </w:rPr>
        <w:t xml:space="preserve"> eftersom det underlättar investeringar och stärker de ekonomiska förbindelserna me</w:t>
      </w:r>
      <w:r w:rsidR="008F09B1">
        <w:rPr>
          <w:sz w:val="22"/>
          <w:szCs w:val="22"/>
        </w:rPr>
        <w:t>l</w:t>
      </w:r>
      <w:r w:rsidR="008F09B1">
        <w:rPr>
          <w:sz w:val="22"/>
          <w:szCs w:val="22"/>
        </w:rPr>
        <w:t>lan de avtalsslutande parterna.</w:t>
      </w:r>
    </w:p>
    <w:p w:rsidR="00A43117" w:rsidRDefault="002A76A0" w:rsidP="008405B8">
      <w:pPr>
        <w:pStyle w:val="Brdtext"/>
        <w:rPr>
          <w:sz w:val="22"/>
          <w:szCs w:val="22"/>
        </w:rPr>
      </w:pPr>
      <w:r>
        <w:rPr>
          <w:sz w:val="22"/>
          <w:szCs w:val="22"/>
        </w:rPr>
        <w:lastRenderedPageBreak/>
        <w:t>Förhandlingarna fördes i Hongkong i juli 2010 och i september 2011. Avt</w:t>
      </w:r>
      <w:r>
        <w:rPr>
          <w:sz w:val="22"/>
          <w:szCs w:val="22"/>
        </w:rPr>
        <w:t>a</w:t>
      </w:r>
      <w:r>
        <w:rPr>
          <w:sz w:val="22"/>
          <w:szCs w:val="22"/>
        </w:rPr>
        <w:t>let följer huvudsakligen OECD:</w:t>
      </w:r>
      <w:r w:rsidR="00F02EF6">
        <w:rPr>
          <w:sz w:val="22"/>
          <w:szCs w:val="22"/>
        </w:rPr>
        <w:t>s</w:t>
      </w:r>
      <w:r>
        <w:rPr>
          <w:sz w:val="22"/>
          <w:szCs w:val="22"/>
        </w:rPr>
        <w:t xml:space="preserve"> modellavtal. Avvikelser från modellavt</w:t>
      </w:r>
      <w:r>
        <w:rPr>
          <w:sz w:val="22"/>
          <w:szCs w:val="22"/>
        </w:rPr>
        <w:t>a</w:t>
      </w:r>
      <w:r>
        <w:rPr>
          <w:sz w:val="22"/>
          <w:szCs w:val="22"/>
        </w:rPr>
        <w:t>let finns avseende definitionen av fast driftsställe, beskattning av ränta, royalty och annan inkomst samt begränsning av avtalsförmåner. Avvikelser avseende definitionen för hemvist, bestämmande av hemvist för fysisk pe</w:t>
      </w:r>
      <w:r>
        <w:rPr>
          <w:sz w:val="22"/>
          <w:szCs w:val="22"/>
        </w:rPr>
        <w:t>r</w:t>
      </w:r>
      <w:r>
        <w:rPr>
          <w:sz w:val="22"/>
          <w:szCs w:val="22"/>
        </w:rPr>
        <w:t>son med dubbel hemvist, offentlig tjänst och förbud mot diskriminering b</w:t>
      </w:r>
      <w:r>
        <w:rPr>
          <w:sz w:val="22"/>
          <w:szCs w:val="22"/>
        </w:rPr>
        <w:t>e</w:t>
      </w:r>
      <w:r>
        <w:rPr>
          <w:sz w:val="22"/>
          <w:szCs w:val="22"/>
        </w:rPr>
        <w:t>ror på att Hongkong inte använder begreppet nationalitet.</w:t>
      </w:r>
      <w:r w:rsidR="002E0B6B">
        <w:rPr>
          <w:sz w:val="22"/>
          <w:szCs w:val="22"/>
        </w:rPr>
        <w:t xml:space="preserve"> </w:t>
      </w:r>
    </w:p>
    <w:p w:rsidR="002E0B6B" w:rsidRDefault="002E0B6B" w:rsidP="008405B8">
      <w:pPr>
        <w:pStyle w:val="Brdtext"/>
        <w:rPr>
          <w:sz w:val="22"/>
          <w:szCs w:val="22"/>
        </w:rPr>
      </w:pPr>
    </w:p>
    <w:p w:rsidR="008405B8" w:rsidRDefault="00F24695" w:rsidP="008405B8">
      <w:pPr>
        <w:pStyle w:val="Brdtext"/>
        <w:rPr>
          <w:sz w:val="22"/>
          <w:szCs w:val="22"/>
        </w:rPr>
      </w:pPr>
      <w:r>
        <w:rPr>
          <w:sz w:val="22"/>
          <w:szCs w:val="22"/>
        </w:rPr>
        <w:t>Båda parter tillämpar avräkningsmetoden som huvudmetod för att unda</w:t>
      </w:r>
      <w:r>
        <w:rPr>
          <w:sz w:val="22"/>
          <w:szCs w:val="22"/>
        </w:rPr>
        <w:t>n</w:t>
      </w:r>
      <w:r>
        <w:rPr>
          <w:sz w:val="22"/>
          <w:szCs w:val="22"/>
        </w:rPr>
        <w:t>röja dubbelbeskattning.</w:t>
      </w:r>
    </w:p>
    <w:p w:rsidR="00826F01" w:rsidRDefault="00826F01" w:rsidP="008405B8">
      <w:pPr>
        <w:pStyle w:val="Brdtext"/>
        <w:rPr>
          <w:sz w:val="22"/>
          <w:szCs w:val="22"/>
        </w:rPr>
      </w:pPr>
    </w:p>
    <w:p w:rsidR="003E0A7B" w:rsidRDefault="003E0A7B" w:rsidP="003E0A7B">
      <w:pPr>
        <w:pStyle w:val="Brdtext"/>
        <w:rPr>
          <w:sz w:val="22"/>
          <w:szCs w:val="22"/>
        </w:rPr>
      </w:pPr>
      <w:r>
        <w:rPr>
          <w:sz w:val="22"/>
          <w:szCs w:val="22"/>
        </w:rPr>
        <w:t>Avtalet och protokollet träder i kraft tre</w:t>
      </w:r>
      <w:r w:rsidR="002A46D6">
        <w:rPr>
          <w:sz w:val="22"/>
          <w:szCs w:val="22"/>
        </w:rPr>
        <w:t>ttionde dagen efter den då de avtal</w:t>
      </w:r>
      <w:r w:rsidR="002A46D6">
        <w:rPr>
          <w:sz w:val="22"/>
          <w:szCs w:val="22"/>
        </w:rPr>
        <w:t>s</w:t>
      </w:r>
      <w:r w:rsidR="002A46D6">
        <w:rPr>
          <w:sz w:val="22"/>
          <w:szCs w:val="22"/>
        </w:rPr>
        <w:t>slutande parterna har meddelat varandra att de lagstadgade förutsättninga</w:t>
      </w:r>
      <w:r w:rsidR="002A46D6">
        <w:rPr>
          <w:sz w:val="22"/>
          <w:szCs w:val="22"/>
        </w:rPr>
        <w:t>r</w:t>
      </w:r>
      <w:r w:rsidR="002A46D6">
        <w:rPr>
          <w:sz w:val="22"/>
          <w:szCs w:val="22"/>
        </w:rPr>
        <w:t>na för deras ikraftträdande har uppfyllts.</w:t>
      </w:r>
      <w:r>
        <w:rPr>
          <w:sz w:val="22"/>
          <w:szCs w:val="22"/>
        </w:rPr>
        <w:t xml:space="preserve"> Enligt lagförslaget om sättande i kraft av de bestämmelser i avtalet och protokollet som hör till området för lagstiftning ska lagen träda i kraft samti</w:t>
      </w:r>
      <w:r w:rsidR="008C5AF1">
        <w:rPr>
          <w:sz w:val="22"/>
          <w:szCs w:val="22"/>
        </w:rPr>
        <w:t>d</w:t>
      </w:r>
      <w:r w:rsidR="00EA4E92">
        <w:rPr>
          <w:sz w:val="22"/>
          <w:szCs w:val="22"/>
        </w:rPr>
        <w:t xml:space="preserve">igt som avtalet </w:t>
      </w:r>
      <w:r w:rsidR="002A46D6">
        <w:rPr>
          <w:sz w:val="22"/>
          <w:szCs w:val="22"/>
        </w:rPr>
        <w:t xml:space="preserve">och protokollet </w:t>
      </w:r>
      <w:r w:rsidR="00EA4E92">
        <w:rPr>
          <w:sz w:val="22"/>
          <w:szCs w:val="22"/>
        </w:rPr>
        <w:t>tr</w:t>
      </w:r>
      <w:r w:rsidR="00EA4E92">
        <w:rPr>
          <w:sz w:val="22"/>
          <w:szCs w:val="22"/>
        </w:rPr>
        <w:t>ä</w:t>
      </w:r>
      <w:r w:rsidR="00EA4E92">
        <w:rPr>
          <w:sz w:val="22"/>
          <w:szCs w:val="22"/>
        </w:rPr>
        <w:t>der i kraft</w:t>
      </w:r>
      <w:r w:rsidR="002A46D6">
        <w:rPr>
          <w:sz w:val="22"/>
          <w:szCs w:val="22"/>
        </w:rPr>
        <w:t xml:space="preserve"> vid en tidpunkt som fastställs genom förordning av statsrådet.</w:t>
      </w:r>
    </w:p>
    <w:p w:rsidR="002542CD" w:rsidRDefault="002542CD" w:rsidP="00C669F9">
      <w:pPr>
        <w:pStyle w:val="Brdtext"/>
        <w:rPr>
          <w:b/>
          <w:sz w:val="22"/>
          <w:szCs w:val="22"/>
        </w:rPr>
      </w:pPr>
    </w:p>
    <w:p w:rsidR="002542CD" w:rsidRDefault="004100B4" w:rsidP="00C669F9">
      <w:pPr>
        <w:pStyle w:val="Brdtext"/>
        <w:rPr>
          <w:b/>
          <w:sz w:val="22"/>
          <w:szCs w:val="22"/>
        </w:rPr>
      </w:pPr>
      <w:r>
        <w:rPr>
          <w:b/>
          <w:sz w:val="22"/>
          <w:szCs w:val="22"/>
        </w:rPr>
        <w:t>Avtalets och protokollets</w:t>
      </w:r>
      <w:r w:rsidR="002542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konsekvenser för</w:t>
      </w:r>
      <w:r w:rsidR="002542CD">
        <w:rPr>
          <w:b/>
          <w:sz w:val="22"/>
          <w:szCs w:val="22"/>
        </w:rPr>
        <w:t xml:space="preserve"> Finland och Åland</w:t>
      </w:r>
    </w:p>
    <w:p w:rsidR="002542CD" w:rsidRDefault="002542CD" w:rsidP="00C669F9">
      <w:pPr>
        <w:pStyle w:val="Brdtext"/>
        <w:rPr>
          <w:b/>
          <w:sz w:val="22"/>
          <w:szCs w:val="22"/>
        </w:rPr>
      </w:pPr>
    </w:p>
    <w:p w:rsidR="009D4246" w:rsidRPr="008329DE" w:rsidRDefault="008329DE" w:rsidP="008329DE">
      <w:pPr>
        <w:pStyle w:val="Hger"/>
        <w:spacing w:line="288" w:lineRule="auto"/>
        <w:ind w:left="0"/>
        <w:jc w:val="both"/>
        <w:rPr>
          <w:sz w:val="22"/>
          <w:szCs w:val="22"/>
        </w:rPr>
      </w:pPr>
      <w:r w:rsidRPr="008329DE">
        <w:rPr>
          <w:sz w:val="22"/>
          <w:szCs w:val="22"/>
        </w:rPr>
        <w:t xml:space="preserve">Skatteavtalet med </w:t>
      </w:r>
      <w:r w:rsidR="00E54408">
        <w:rPr>
          <w:sz w:val="22"/>
          <w:szCs w:val="22"/>
        </w:rPr>
        <w:t>Hongkong</w:t>
      </w:r>
      <w:r w:rsidRPr="008329DE">
        <w:rPr>
          <w:sz w:val="22"/>
          <w:szCs w:val="22"/>
        </w:rPr>
        <w:t xml:space="preserve"> innehåller bestämmelser som påverkar b</w:t>
      </w:r>
      <w:r w:rsidRPr="008329DE">
        <w:rPr>
          <w:sz w:val="22"/>
          <w:szCs w:val="22"/>
        </w:rPr>
        <w:t>e</w:t>
      </w:r>
      <w:r w:rsidRPr="008329DE">
        <w:rPr>
          <w:sz w:val="22"/>
          <w:szCs w:val="22"/>
        </w:rPr>
        <w:t>skattningsrätt inom kommunalbeskattningen, och avtalet innehåller därför bestämmelser som faller inom landskapets behörighet</w:t>
      </w:r>
      <w:r w:rsidR="00E47111">
        <w:rPr>
          <w:sz w:val="22"/>
          <w:szCs w:val="22"/>
        </w:rPr>
        <w:t xml:space="preserve"> genom 18 § 5 pun</w:t>
      </w:r>
      <w:r w:rsidR="00E47111">
        <w:rPr>
          <w:sz w:val="22"/>
          <w:szCs w:val="22"/>
        </w:rPr>
        <w:t>k</w:t>
      </w:r>
      <w:r w:rsidR="00E47111">
        <w:rPr>
          <w:sz w:val="22"/>
          <w:szCs w:val="22"/>
        </w:rPr>
        <w:t>ten i självstyrelselagen</w:t>
      </w:r>
      <w:r w:rsidRPr="008329DE">
        <w:rPr>
          <w:sz w:val="22"/>
          <w:szCs w:val="22"/>
        </w:rPr>
        <w:t xml:space="preserve">. </w:t>
      </w:r>
      <w:r w:rsidR="00E47111">
        <w:rPr>
          <w:sz w:val="22"/>
          <w:szCs w:val="22"/>
        </w:rPr>
        <w:t xml:space="preserve">Kommunalskatten omfattas enligt avtalets artikel 2 punkt 3.b.3 av de skatter som omfattas av avtalets tillämpningsområde. Ålands behörighet nämns inte särskilt i avtalet. Enligt artikel 2 punkt </w:t>
      </w:r>
      <w:r w:rsidR="009D2195">
        <w:rPr>
          <w:sz w:val="22"/>
          <w:szCs w:val="22"/>
        </w:rPr>
        <w:t>4</w:t>
      </w:r>
      <w:r w:rsidR="00E47111">
        <w:rPr>
          <w:sz w:val="22"/>
          <w:szCs w:val="22"/>
        </w:rPr>
        <w:t xml:space="preserve"> ska avtalet tillämpas även på skatter av samma eller i huvudsak likartat slag, som efter undertecknande av avtalet påförs vid sidan av eller i stället för de närvarande utgående skatterna. Enligt avtalet ska de behöriga myndighete</w:t>
      </w:r>
      <w:r w:rsidR="00E47111">
        <w:rPr>
          <w:sz w:val="22"/>
          <w:szCs w:val="22"/>
        </w:rPr>
        <w:t>r</w:t>
      </w:r>
      <w:r w:rsidR="00E47111">
        <w:rPr>
          <w:sz w:val="22"/>
          <w:szCs w:val="22"/>
        </w:rPr>
        <w:t>na i de avtalsslutande staterna meddela varandra de betydelsefulla ändrin</w:t>
      </w:r>
      <w:r w:rsidR="00E47111">
        <w:rPr>
          <w:sz w:val="22"/>
          <w:szCs w:val="22"/>
        </w:rPr>
        <w:t>g</w:t>
      </w:r>
      <w:r w:rsidR="00E47111">
        <w:rPr>
          <w:sz w:val="22"/>
          <w:szCs w:val="22"/>
        </w:rPr>
        <w:t xml:space="preserve">ar som gjorts i respektive skattelagstiftning. Det är </w:t>
      </w:r>
      <w:r w:rsidR="008C5AF1">
        <w:rPr>
          <w:sz w:val="22"/>
          <w:szCs w:val="22"/>
        </w:rPr>
        <w:t>oklart om, men inte omöjligt,</w:t>
      </w:r>
      <w:r w:rsidR="00E47111">
        <w:rPr>
          <w:sz w:val="22"/>
          <w:szCs w:val="22"/>
        </w:rPr>
        <w:t xml:space="preserve"> att en av landskapet eventuell</w:t>
      </w:r>
      <w:r w:rsidR="008C5AF1">
        <w:rPr>
          <w:sz w:val="22"/>
          <w:szCs w:val="22"/>
        </w:rPr>
        <w:t xml:space="preserve"> införd</w:t>
      </w:r>
      <w:r w:rsidR="00E47111">
        <w:rPr>
          <w:sz w:val="22"/>
          <w:szCs w:val="22"/>
        </w:rPr>
        <w:t xml:space="preserve"> landskapsskatt skulle omfa</w:t>
      </w:r>
      <w:r w:rsidR="00E47111">
        <w:rPr>
          <w:sz w:val="22"/>
          <w:szCs w:val="22"/>
        </w:rPr>
        <w:t>t</w:t>
      </w:r>
      <w:r w:rsidR="00E47111">
        <w:rPr>
          <w:sz w:val="22"/>
          <w:szCs w:val="22"/>
        </w:rPr>
        <w:t xml:space="preserve">tas av avtalets tillämpningsområde. </w:t>
      </w:r>
      <w:r w:rsidR="00E54408">
        <w:rPr>
          <w:sz w:val="22"/>
          <w:szCs w:val="22"/>
        </w:rPr>
        <w:t>Av</w:t>
      </w:r>
      <w:r w:rsidR="00237F5A" w:rsidRPr="008329DE">
        <w:rPr>
          <w:sz w:val="22"/>
          <w:szCs w:val="22"/>
        </w:rPr>
        <w:t>talets innehåll</w:t>
      </w:r>
      <w:r w:rsidR="008C5AF1">
        <w:rPr>
          <w:sz w:val="22"/>
          <w:szCs w:val="22"/>
        </w:rPr>
        <w:t xml:space="preserve"> bedöms </w:t>
      </w:r>
      <w:r w:rsidRPr="008329DE">
        <w:rPr>
          <w:sz w:val="22"/>
          <w:szCs w:val="22"/>
        </w:rPr>
        <w:t xml:space="preserve">inte stå i strid med självstyrelselagen eller </w:t>
      </w:r>
      <w:r w:rsidR="00D61064" w:rsidRPr="008329DE">
        <w:rPr>
          <w:sz w:val="22"/>
          <w:szCs w:val="22"/>
        </w:rPr>
        <w:t>landskapslag</w:t>
      </w:r>
      <w:r w:rsidRPr="008329DE">
        <w:rPr>
          <w:sz w:val="22"/>
          <w:szCs w:val="22"/>
        </w:rPr>
        <w:t>stiftning</w:t>
      </w:r>
      <w:r w:rsidR="00D61064" w:rsidRPr="008329DE">
        <w:rPr>
          <w:sz w:val="22"/>
          <w:szCs w:val="22"/>
        </w:rPr>
        <w:t>.</w:t>
      </w:r>
    </w:p>
    <w:p w:rsidR="009D4246" w:rsidRDefault="009D4246" w:rsidP="00C669F9">
      <w:pPr>
        <w:pStyle w:val="Brdtext"/>
        <w:rPr>
          <w:sz w:val="22"/>
          <w:szCs w:val="22"/>
        </w:rPr>
      </w:pPr>
    </w:p>
    <w:p w:rsidR="002542CD" w:rsidRDefault="00F24695" w:rsidP="00C669F9">
      <w:pPr>
        <w:pStyle w:val="Brdtext"/>
        <w:rPr>
          <w:sz w:val="22"/>
          <w:szCs w:val="22"/>
        </w:rPr>
      </w:pPr>
      <w:r>
        <w:rPr>
          <w:sz w:val="22"/>
          <w:szCs w:val="22"/>
        </w:rPr>
        <w:t>Förslaget beräknas inte ge upphov till några betydande ekonomiska effe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ter. </w:t>
      </w:r>
      <w:r w:rsidR="00654B04">
        <w:rPr>
          <w:sz w:val="22"/>
          <w:szCs w:val="22"/>
        </w:rPr>
        <w:t xml:space="preserve">Syftet med avtalet är att </w:t>
      </w:r>
      <w:r w:rsidR="00A43117">
        <w:rPr>
          <w:sz w:val="22"/>
          <w:szCs w:val="22"/>
        </w:rPr>
        <w:t>skattetagare</w:t>
      </w:r>
      <w:r w:rsidR="00654B04">
        <w:rPr>
          <w:sz w:val="22"/>
          <w:szCs w:val="22"/>
        </w:rPr>
        <w:t xml:space="preserve"> av skatter som omfattas av avtalet inte använder sin beskattningsrätt i fall som framgår av avtalet. Källskatt</w:t>
      </w:r>
      <w:r w:rsidR="00654B04">
        <w:rPr>
          <w:sz w:val="22"/>
          <w:szCs w:val="22"/>
        </w:rPr>
        <w:t>e</w:t>
      </w:r>
      <w:r w:rsidR="00654B04">
        <w:rPr>
          <w:sz w:val="22"/>
          <w:szCs w:val="22"/>
        </w:rPr>
        <w:t>satsen sjunker från 20 eller 30 procent till 5 eller 10 procent i fråga om d</w:t>
      </w:r>
      <w:r w:rsidR="00654B04">
        <w:rPr>
          <w:sz w:val="22"/>
          <w:szCs w:val="22"/>
        </w:rPr>
        <w:t>i</w:t>
      </w:r>
      <w:r w:rsidR="00654B04">
        <w:rPr>
          <w:sz w:val="22"/>
          <w:szCs w:val="22"/>
        </w:rPr>
        <w:t>vidend som betalas från Finland till Hongkong och till 3 procent för royalty så att källskatteintäkter minskar. Skattekostnaden i landskapet för avrä</w:t>
      </w:r>
      <w:r w:rsidR="00654B04">
        <w:rPr>
          <w:sz w:val="22"/>
          <w:szCs w:val="22"/>
        </w:rPr>
        <w:t>k</w:t>
      </w:r>
      <w:r w:rsidR="00654B04">
        <w:rPr>
          <w:sz w:val="22"/>
          <w:szCs w:val="22"/>
        </w:rPr>
        <w:t>ning av utländsk skatt kan minska eftersom källskattesatsen om 4,95 pr</w:t>
      </w:r>
      <w:r w:rsidR="00654B04">
        <w:rPr>
          <w:sz w:val="22"/>
          <w:szCs w:val="22"/>
        </w:rPr>
        <w:t>o</w:t>
      </w:r>
      <w:r w:rsidR="00654B04">
        <w:rPr>
          <w:sz w:val="22"/>
          <w:szCs w:val="22"/>
        </w:rPr>
        <w:t xml:space="preserve">cent för royalty </w:t>
      </w:r>
      <w:r w:rsidR="00A43117">
        <w:rPr>
          <w:sz w:val="22"/>
          <w:szCs w:val="22"/>
        </w:rPr>
        <w:t>i Hongkong sjunker till 3 procent. Totalbeloppet av i</w:t>
      </w:r>
      <w:r w:rsidR="00A43117">
        <w:rPr>
          <w:sz w:val="22"/>
          <w:szCs w:val="22"/>
        </w:rPr>
        <w:t>n</w:t>
      </w:r>
      <w:r w:rsidR="00A43117">
        <w:rPr>
          <w:sz w:val="22"/>
          <w:szCs w:val="22"/>
        </w:rPr>
        <w:t>komster som betalades till begränsat skattskyldiga från Finland till Hon</w:t>
      </w:r>
      <w:r w:rsidR="00A43117">
        <w:rPr>
          <w:sz w:val="22"/>
          <w:szCs w:val="22"/>
        </w:rPr>
        <w:t>g</w:t>
      </w:r>
      <w:r w:rsidR="00A43117">
        <w:rPr>
          <w:sz w:val="22"/>
          <w:szCs w:val="22"/>
        </w:rPr>
        <w:t xml:space="preserve">kong år 2017 var 1 529 504 euro. Med hänsyn till </w:t>
      </w:r>
      <w:r w:rsidR="009D2195">
        <w:rPr>
          <w:sz w:val="22"/>
          <w:szCs w:val="22"/>
        </w:rPr>
        <w:t>detta</w:t>
      </w:r>
      <w:r w:rsidR="00A43117">
        <w:rPr>
          <w:sz w:val="22"/>
          <w:szCs w:val="22"/>
        </w:rPr>
        <w:t xml:space="preserve"> </w:t>
      </w:r>
      <w:r w:rsidR="00F02EF6">
        <w:rPr>
          <w:sz w:val="22"/>
          <w:szCs w:val="22"/>
        </w:rPr>
        <w:t>kommer,</w:t>
      </w:r>
      <w:r w:rsidR="00A43117">
        <w:rPr>
          <w:sz w:val="22"/>
          <w:szCs w:val="22"/>
        </w:rPr>
        <w:t xml:space="preserve"> vid ti</w:t>
      </w:r>
      <w:r w:rsidR="00A43117">
        <w:rPr>
          <w:sz w:val="22"/>
          <w:szCs w:val="22"/>
        </w:rPr>
        <w:t>l</w:t>
      </w:r>
      <w:r w:rsidR="00A43117">
        <w:rPr>
          <w:sz w:val="22"/>
          <w:szCs w:val="22"/>
        </w:rPr>
        <w:t>lämpning av avtalet kommer staten, kommunerna och församlingarna inom den evangelisk lutherska kyrkan och det ortodoxa kyrkosamfundet</w:t>
      </w:r>
      <w:r w:rsidR="00F02EF6">
        <w:rPr>
          <w:sz w:val="22"/>
          <w:szCs w:val="22"/>
        </w:rPr>
        <w:t>,</w:t>
      </w:r>
      <w:r w:rsidR="00A43117">
        <w:rPr>
          <w:sz w:val="22"/>
          <w:szCs w:val="22"/>
        </w:rPr>
        <w:t xml:space="preserve"> avstå </w:t>
      </w:r>
      <w:r w:rsidR="00A43117">
        <w:rPr>
          <w:sz w:val="22"/>
          <w:szCs w:val="22"/>
        </w:rPr>
        <w:lastRenderedPageBreak/>
        <w:t>från en ringa del av sina skatteinkomster för att internationell dubbelb</w:t>
      </w:r>
      <w:r w:rsidR="00A43117">
        <w:rPr>
          <w:sz w:val="22"/>
          <w:szCs w:val="22"/>
        </w:rPr>
        <w:t>e</w:t>
      </w:r>
      <w:r w:rsidR="00A43117">
        <w:rPr>
          <w:sz w:val="22"/>
          <w:szCs w:val="22"/>
        </w:rPr>
        <w:t>skattning ska undvikas.</w:t>
      </w:r>
    </w:p>
    <w:p w:rsidR="004100B4" w:rsidRDefault="004100B4" w:rsidP="00C669F9">
      <w:pPr>
        <w:pStyle w:val="Brdtext"/>
        <w:rPr>
          <w:sz w:val="22"/>
          <w:szCs w:val="22"/>
        </w:rPr>
      </w:pPr>
    </w:p>
    <w:p w:rsidR="002542CD" w:rsidRDefault="002542CD" w:rsidP="00C669F9">
      <w:pPr>
        <w:pStyle w:val="Brd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Landskapsregeringens </w:t>
      </w:r>
      <w:r w:rsidR="004100B4">
        <w:rPr>
          <w:b/>
          <w:sz w:val="22"/>
          <w:szCs w:val="22"/>
        </w:rPr>
        <w:t>bedömning</w:t>
      </w:r>
    </w:p>
    <w:p w:rsidR="00134462" w:rsidRPr="00D61064" w:rsidRDefault="004100B4" w:rsidP="00C669F9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Landskapsregeringen </w:t>
      </w:r>
      <w:r w:rsidR="00D61064">
        <w:rPr>
          <w:sz w:val="22"/>
          <w:szCs w:val="22"/>
        </w:rPr>
        <w:t>förordar att lagtinget ger sitt bifall till propositionen om godkännande</w:t>
      </w:r>
      <w:r w:rsidR="00DD789C">
        <w:rPr>
          <w:sz w:val="22"/>
          <w:szCs w:val="22"/>
        </w:rPr>
        <w:t xml:space="preserve"> och sättande i kraft av avtalet och protokollet med Hon</w:t>
      </w:r>
      <w:r w:rsidR="00DD789C">
        <w:rPr>
          <w:sz w:val="22"/>
          <w:szCs w:val="22"/>
        </w:rPr>
        <w:t>g</w:t>
      </w:r>
      <w:r w:rsidR="00DD789C">
        <w:rPr>
          <w:sz w:val="22"/>
          <w:szCs w:val="22"/>
        </w:rPr>
        <w:t>kong för att undanröja</w:t>
      </w:r>
      <w:r w:rsidR="00D61064">
        <w:rPr>
          <w:sz w:val="22"/>
          <w:szCs w:val="22"/>
        </w:rPr>
        <w:t xml:space="preserve"> dubbelbeskattning</w:t>
      </w:r>
      <w:r w:rsidR="00DD789C">
        <w:rPr>
          <w:sz w:val="22"/>
          <w:szCs w:val="22"/>
        </w:rPr>
        <w:t xml:space="preserve"> beträffande skatter på inkomst och för att </w:t>
      </w:r>
      <w:r w:rsidR="00D61064">
        <w:rPr>
          <w:sz w:val="22"/>
          <w:szCs w:val="22"/>
        </w:rPr>
        <w:t xml:space="preserve">förhindra kringgående </w:t>
      </w:r>
      <w:r w:rsidR="00DD789C">
        <w:rPr>
          <w:sz w:val="22"/>
          <w:szCs w:val="22"/>
        </w:rPr>
        <w:t>och undvikande av</w:t>
      </w:r>
      <w:r w:rsidR="00D61064">
        <w:rPr>
          <w:sz w:val="22"/>
          <w:szCs w:val="22"/>
        </w:rPr>
        <w:t xml:space="preserve"> skatt</w:t>
      </w:r>
      <w:r w:rsidR="00237F5A">
        <w:rPr>
          <w:sz w:val="22"/>
          <w:szCs w:val="22"/>
        </w:rPr>
        <w:t>.</w:t>
      </w:r>
    </w:p>
    <w:p w:rsidR="009D4246" w:rsidRDefault="009D4246" w:rsidP="00C669F9">
      <w:pPr>
        <w:pStyle w:val="Brdtext"/>
        <w:rPr>
          <w:b/>
          <w:sz w:val="22"/>
          <w:szCs w:val="22"/>
        </w:rPr>
      </w:pPr>
    </w:p>
    <w:p w:rsidR="00134462" w:rsidRPr="00404226" w:rsidRDefault="00134462" w:rsidP="00C669F9">
      <w:pPr>
        <w:pStyle w:val="Brdtext"/>
        <w:rPr>
          <w:sz w:val="22"/>
          <w:szCs w:val="22"/>
        </w:rPr>
      </w:pPr>
    </w:p>
    <w:p w:rsidR="008B496A" w:rsidRPr="008C148A" w:rsidRDefault="008B496A">
      <w:pPr>
        <w:pStyle w:val="ANormal"/>
        <w:rPr>
          <w:sz w:val="20"/>
        </w:rPr>
      </w:pPr>
    </w:p>
    <w:p w:rsidR="008B496A" w:rsidRPr="008C148A" w:rsidRDefault="008B496A">
      <w:pPr>
        <w:pStyle w:val="ANormal"/>
        <w:rPr>
          <w:sz w:val="20"/>
        </w:rPr>
      </w:pPr>
    </w:p>
    <w:tbl>
      <w:tblPr>
        <w:tblW w:w="7931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8B496A">
        <w:trPr>
          <w:cantSplit/>
        </w:trPr>
        <w:tc>
          <w:tcPr>
            <w:tcW w:w="7931" w:type="dxa"/>
            <w:gridSpan w:val="2"/>
          </w:tcPr>
          <w:p w:rsidR="008B496A" w:rsidRDefault="008B496A" w:rsidP="002542CD">
            <w:pPr>
              <w:pStyle w:val="ANormal"/>
              <w:keepNext/>
            </w:pPr>
            <w:r>
              <w:t xml:space="preserve">Mariehamn den </w:t>
            </w:r>
            <w:r w:rsidR="002542CD">
              <w:t>1</w:t>
            </w:r>
            <w:r>
              <w:t xml:space="preserve"> </w:t>
            </w:r>
            <w:r w:rsidR="00D561FD">
              <w:t>november</w:t>
            </w:r>
            <w:r>
              <w:t xml:space="preserve"> 201</w:t>
            </w:r>
            <w:r w:rsidR="00D561FD">
              <w:t>8</w:t>
            </w:r>
          </w:p>
        </w:tc>
      </w:tr>
      <w:tr w:rsidR="008B496A">
        <w:tc>
          <w:tcPr>
            <w:tcW w:w="4454" w:type="dxa"/>
            <w:vAlign w:val="bottom"/>
          </w:tcPr>
          <w:p w:rsidR="008B496A" w:rsidRDefault="008B496A">
            <w:pPr>
              <w:pStyle w:val="ANormal"/>
              <w:keepNext/>
            </w:pPr>
          </w:p>
          <w:p w:rsidR="008B496A" w:rsidRDefault="008B496A">
            <w:pPr>
              <w:pStyle w:val="ANormal"/>
              <w:keepNext/>
            </w:pPr>
          </w:p>
          <w:p w:rsidR="00D561FD" w:rsidRDefault="00D561FD" w:rsidP="002542CD">
            <w:pPr>
              <w:pStyle w:val="ANormal"/>
              <w:keepNext/>
            </w:pPr>
          </w:p>
          <w:p w:rsidR="00D561FD" w:rsidRDefault="00D561FD" w:rsidP="002542CD">
            <w:pPr>
              <w:pStyle w:val="ANormal"/>
              <w:keepNext/>
            </w:pPr>
          </w:p>
          <w:p w:rsidR="008B496A" w:rsidRDefault="008B496A" w:rsidP="002542CD">
            <w:pPr>
              <w:pStyle w:val="ANormal"/>
              <w:keepNext/>
            </w:pPr>
            <w:r>
              <w:t>L a n t r å d</w:t>
            </w:r>
            <w:r w:rsidR="00807F6D">
              <w:t xml:space="preserve">                                 Katrin Sjögren</w:t>
            </w:r>
          </w:p>
        </w:tc>
        <w:tc>
          <w:tcPr>
            <w:tcW w:w="3477" w:type="dxa"/>
            <w:vAlign w:val="bottom"/>
          </w:tcPr>
          <w:p w:rsidR="008B496A" w:rsidRDefault="008B496A">
            <w:pPr>
              <w:pStyle w:val="ANormal"/>
              <w:keepNext/>
            </w:pPr>
          </w:p>
          <w:p w:rsidR="008B496A" w:rsidRDefault="008B496A">
            <w:pPr>
              <w:pStyle w:val="ANormal"/>
              <w:keepNext/>
            </w:pPr>
          </w:p>
        </w:tc>
      </w:tr>
      <w:tr w:rsidR="008B496A">
        <w:tc>
          <w:tcPr>
            <w:tcW w:w="4454" w:type="dxa"/>
            <w:vAlign w:val="bottom"/>
          </w:tcPr>
          <w:p w:rsidR="008B496A" w:rsidRDefault="008B496A">
            <w:pPr>
              <w:pStyle w:val="ANormal"/>
              <w:keepNext/>
            </w:pPr>
          </w:p>
          <w:p w:rsidR="008B496A" w:rsidRDefault="008B496A">
            <w:pPr>
              <w:pStyle w:val="ANormal"/>
              <w:keepNext/>
            </w:pPr>
          </w:p>
          <w:p w:rsidR="00807F6D" w:rsidRDefault="00807F6D">
            <w:pPr>
              <w:pStyle w:val="ANormal"/>
              <w:keepNext/>
            </w:pPr>
          </w:p>
          <w:p w:rsidR="00807F6D" w:rsidRDefault="00807F6D">
            <w:pPr>
              <w:pStyle w:val="ANormal"/>
              <w:keepNext/>
            </w:pPr>
          </w:p>
          <w:p w:rsidR="008B496A" w:rsidRDefault="00AE67F9" w:rsidP="002542CD">
            <w:pPr>
              <w:pStyle w:val="ANormal"/>
              <w:keepNext/>
            </w:pPr>
            <w:r>
              <w:t>Minister</w:t>
            </w:r>
            <w:r w:rsidR="00807F6D">
              <w:t xml:space="preserve">                                      Mats Perämaa</w:t>
            </w:r>
          </w:p>
        </w:tc>
        <w:tc>
          <w:tcPr>
            <w:tcW w:w="3477" w:type="dxa"/>
            <w:vAlign w:val="bottom"/>
          </w:tcPr>
          <w:p w:rsidR="008B496A" w:rsidRDefault="008B496A">
            <w:pPr>
              <w:pStyle w:val="ANormal"/>
              <w:keepNext/>
            </w:pPr>
          </w:p>
          <w:p w:rsidR="008B496A" w:rsidRDefault="008B496A">
            <w:pPr>
              <w:pStyle w:val="ANormal"/>
              <w:keepNext/>
            </w:pPr>
          </w:p>
          <w:p w:rsidR="008B496A" w:rsidRDefault="008B496A">
            <w:pPr>
              <w:pStyle w:val="ANormal"/>
              <w:keepNext/>
            </w:pPr>
          </w:p>
        </w:tc>
      </w:tr>
      <w:bookmarkEnd w:id="1"/>
    </w:tbl>
    <w:p w:rsidR="008B496A" w:rsidRDefault="008B496A">
      <w:pPr>
        <w:pStyle w:val="ANormal"/>
      </w:pPr>
    </w:p>
    <w:sectPr w:rsidR="008B496A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5" w:rsidRDefault="001847A5">
      <w:r>
        <w:separator/>
      </w:r>
    </w:p>
  </w:endnote>
  <w:endnote w:type="continuationSeparator" w:id="0">
    <w:p w:rsidR="001847A5" w:rsidRDefault="001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6D" w:rsidRDefault="00807F6D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BD" w:rsidRDefault="000E0870">
    <w:pPr>
      <w:pStyle w:val="Sidfot"/>
    </w:pPr>
    <w:r>
      <w:fldChar w:fldCharType="begin"/>
    </w:r>
    <w:r>
      <w:instrText xml:space="preserve"> FILENAME   \* MERGEFORMAT </w:instrText>
    </w:r>
    <w:r>
      <w:fldChar w:fldCharType="separate"/>
    </w:r>
    <w:r w:rsidR="009D6F3D">
      <w:rPr>
        <w:noProof/>
      </w:rPr>
      <w:t>RP082017-2018-s.docx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6D" w:rsidRDefault="00807F6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5" w:rsidRDefault="001847A5">
      <w:r>
        <w:separator/>
      </w:r>
    </w:p>
  </w:footnote>
  <w:footnote w:type="continuationSeparator" w:id="0">
    <w:p w:rsidR="001847A5" w:rsidRDefault="0018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6D" w:rsidRDefault="00807F6D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0870">
      <w:rPr>
        <w:rStyle w:val="Sidnummer"/>
        <w:noProof/>
      </w:rPr>
      <w:t>2</w:t>
    </w:r>
    <w:r>
      <w:rPr>
        <w:rStyle w:val="Sidnummer"/>
      </w:rPr>
      <w:fldChar w:fldCharType="end"/>
    </w:r>
  </w:p>
  <w:p w:rsidR="00807F6D" w:rsidRDefault="00807F6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6D" w:rsidRDefault="00807F6D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087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64B5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B13E31B4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C400EEC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4CACF01A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BDF8646E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1E"/>
    <w:rsid w:val="00066D2D"/>
    <w:rsid w:val="000E0870"/>
    <w:rsid w:val="00134462"/>
    <w:rsid w:val="00176B89"/>
    <w:rsid w:val="001847A5"/>
    <w:rsid w:val="00237F5A"/>
    <w:rsid w:val="00252EB5"/>
    <w:rsid w:val="002542CD"/>
    <w:rsid w:val="00270852"/>
    <w:rsid w:val="002A46D6"/>
    <w:rsid w:val="002A76A0"/>
    <w:rsid w:val="002E0B6B"/>
    <w:rsid w:val="00347B66"/>
    <w:rsid w:val="003E0A7B"/>
    <w:rsid w:val="003F501D"/>
    <w:rsid w:val="00404226"/>
    <w:rsid w:val="004100B4"/>
    <w:rsid w:val="00416B38"/>
    <w:rsid w:val="004677E0"/>
    <w:rsid w:val="00476ACD"/>
    <w:rsid w:val="004C15E6"/>
    <w:rsid w:val="004D4DD9"/>
    <w:rsid w:val="00580C28"/>
    <w:rsid w:val="005E5F35"/>
    <w:rsid w:val="00654B04"/>
    <w:rsid w:val="006B50A4"/>
    <w:rsid w:val="0070149C"/>
    <w:rsid w:val="00712D4E"/>
    <w:rsid w:val="0077263C"/>
    <w:rsid w:val="00780630"/>
    <w:rsid w:val="00806099"/>
    <w:rsid w:val="00807F6D"/>
    <w:rsid w:val="00826F01"/>
    <w:rsid w:val="008329DE"/>
    <w:rsid w:val="008405B8"/>
    <w:rsid w:val="008B496A"/>
    <w:rsid w:val="008C148A"/>
    <w:rsid w:val="008C5AF1"/>
    <w:rsid w:val="008F09B1"/>
    <w:rsid w:val="00921D85"/>
    <w:rsid w:val="00952768"/>
    <w:rsid w:val="009D2195"/>
    <w:rsid w:val="009D4246"/>
    <w:rsid w:val="009D6F3D"/>
    <w:rsid w:val="009E009E"/>
    <w:rsid w:val="00A43117"/>
    <w:rsid w:val="00A43D44"/>
    <w:rsid w:val="00A757B5"/>
    <w:rsid w:val="00AE67F9"/>
    <w:rsid w:val="00B0241E"/>
    <w:rsid w:val="00BD0D5F"/>
    <w:rsid w:val="00BF491B"/>
    <w:rsid w:val="00C1581C"/>
    <w:rsid w:val="00C47AC6"/>
    <w:rsid w:val="00C669F9"/>
    <w:rsid w:val="00C979E6"/>
    <w:rsid w:val="00CF5571"/>
    <w:rsid w:val="00D561FD"/>
    <w:rsid w:val="00D61064"/>
    <w:rsid w:val="00D6321E"/>
    <w:rsid w:val="00D87486"/>
    <w:rsid w:val="00D92542"/>
    <w:rsid w:val="00D93FD6"/>
    <w:rsid w:val="00DA3B20"/>
    <w:rsid w:val="00DC6234"/>
    <w:rsid w:val="00DD789C"/>
    <w:rsid w:val="00E000EE"/>
    <w:rsid w:val="00E33B3C"/>
    <w:rsid w:val="00E44BD9"/>
    <w:rsid w:val="00E47111"/>
    <w:rsid w:val="00E54408"/>
    <w:rsid w:val="00E63912"/>
    <w:rsid w:val="00E66E5D"/>
    <w:rsid w:val="00EA0517"/>
    <w:rsid w:val="00EA4E92"/>
    <w:rsid w:val="00ED2CBB"/>
    <w:rsid w:val="00ED5A12"/>
    <w:rsid w:val="00EF11BD"/>
    <w:rsid w:val="00F02EF6"/>
    <w:rsid w:val="00F05CDF"/>
    <w:rsid w:val="00F24505"/>
    <w:rsid w:val="00F24695"/>
    <w:rsid w:val="00F5580B"/>
    <w:rsid w:val="00F76D23"/>
    <w:rsid w:val="00F92C80"/>
    <w:rsid w:val="00FB4689"/>
    <w:rsid w:val="00FC57AC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4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rdtextmedindrag2">
    <w:name w:val="Body Text Indent 2"/>
    <w:basedOn w:val="Normal"/>
    <w:pPr>
      <w:ind w:left="1304"/>
    </w:pPr>
  </w:style>
  <w:style w:type="paragraph" w:customStyle="1" w:styleId="anormal0">
    <w:name w:val="anormal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anormalindraget0">
    <w:name w:val="anormalindraget"/>
    <w:basedOn w:val="Normal"/>
    <w:pPr>
      <w:ind w:left="851"/>
      <w:jc w:val="both"/>
    </w:pPr>
    <w:rPr>
      <w:rFonts w:eastAsia="Arial Unicode MS"/>
      <w:sz w:val="22"/>
      <w:szCs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ger">
    <w:name w:val="Höger"/>
    <w:basedOn w:val="Normal"/>
    <w:rsid w:val="00D93FD6"/>
    <w:pPr>
      <w:tabs>
        <w:tab w:val="left" w:pos="2552"/>
        <w:tab w:val="left" w:pos="5670"/>
      </w:tabs>
      <w:ind w:left="255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4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indraget">
    <w:name w:val="ANormal_indraget"/>
    <w:basedOn w:val="ANormal"/>
    <w:next w:val="ANormal"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pPr>
      <w:numPr>
        <w:numId w:val="3"/>
      </w:numPr>
    </w:pPr>
  </w:style>
  <w:style w:type="paragraph" w:customStyle="1" w:styleId="Tabelldecimal">
    <w:name w:val="Tabelldecimal"/>
    <w:basedOn w:val="Tabelltext"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rdtextmedindrag2">
    <w:name w:val="Body Text Indent 2"/>
    <w:basedOn w:val="Normal"/>
    <w:pPr>
      <w:ind w:left="1304"/>
    </w:pPr>
  </w:style>
  <w:style w:type="paragraph" w:customStyle="1" w:styleId="anormal0">
    <w:name w:val="anormal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anormalindraget0">
    <w:name w:val="anormalindraget"/>
    <w:basedOn w:val="Normal"/>
    <w:pPr>
      <w:ind w:left="851"/>
      <w:jc w:val="both"/>
    </w:pPr>
    <w:rPr>
      <w:rFonts w:eastAsia="Arial Unicode MS"/>
      <w:sz w:val="22"/>
      <w:szCs w:val="22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ger">
    <w:name w:val="Höger"/>
    <w:basedOn w:val="Normal"/>
    <w:rsid w:val="00D93FD6"/>
    <w:pPr>
      <w:tabs>
        <w:tab w:val="left" w:pos="2552"/>
        <w:tab w:val="left" w:pos="5670"/>
      </w:tabs>
      <w:ind w:left="255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P51DOK\MALLAR\CENTRAL\LS-Svar%20p&#229;%20sp&#246;rs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LS-Svar på spörsmål.dot</Template>
  <TotalTime>2</TotalTime>
  <Pages>3</Pages>
  <Words>1689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spörsmål nr 8/2017-2018</vt:lpstr>
    </vt:vector>
  </TitlesOfParts>
  <Company>Ålands landsskapsstyrelse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spörsmål nr 8/2017-2018</dc:title>
  <dc:creator>Ålands landskapsstyrelse</dc:creator>
  <cp:lastModifiedBy>Jessica Laaksonen</cp:lastModifiedBy>
  <cp:revision>5</cp:revision>
  <cp:lastPrinted>2018-11-01T07:55:00Z</cp:lastPrinted>
  <dcterms:created xsi:type="dcterms:W3CDTF">2018-11-01T13:10:00Z</dcterms:created>
  <dcterms:modified xsi:type="dcterms:W3CDTF">2018-11-01T13:14:00Z</dcterms:modified>
</cp:coreProperties>
</file>