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78EF4ED3" w14:textId="77777777">
        <w:trPr>
          <w:cantSplit/>
          <w:trHeight w:val="20"/>
        </w:trPr>
        <w:tc>
          <w:tcPr>
            <w:tcW w:w="861" w:type="dxa"/>
            <w:vMerge w:val="restart"/>
          </w:tcPr>
          <w:p w14:paraId="51574C74" w14:textId="77777777" w:rsidR="00AF3004" w:rsidRDefault="0014739D">
            <w:pPr>
              <w:pStyle w:val="xLedtext"/>
              <w:keepNext/>
              <w:rPr>
                <w:noProof/>
              </w:rPr>
            </w:pPr>
            <w:bookmarkStart w:id="0" w:name="_GoBack"/>
            <w:bookmarkEnd w:id="0"/>
            <w:r>
              <w:rPr>
                <w:noProof/>
                <w:sz w:val="20"/>
                <w:lang w:val="sv-FI" w:eastAsia="sv-FI"/>
              </w:rPr>
              <w:drawing>
                <wp:anchor distT="0" distB="0" distL="114300" distR="114300" simplePos="0" relativeHeight="251657728" behindDoc="0" locked="0" layoutInCell="1" allowOverlap="1" wp14:anchorId="008B9042" wp14:editId="0529DBC4">
                  <wp:simplePos x="0" y="0"/>
                  <wp:positionH relativeFrom="column">
                    <wp:posOffset>-31115</wp:posOffset>
                  </wp:positionH>
                  <wp:positionV relativeFrom="paragraph">
                    <wp:posOffset>635</wp:posOffset>
                  </wp:positionV>
                  <wp:extent cx="2647950" cy="685800"/>
                  <wp:effectExtent l="0" t="0" r="0" b="0"/>
                  <wp:wrapNone/>
                  <wp:docPr id="2"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eringen_svartv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1D1CE7A4" w14:textId="77777777" w:rsidR="00AF3004" w:rsidRDefault="0014739D">
            <w:pPr>
              <w:pStyle w:val="xMellanrum"/>
            </w:pPr>
            <w:r>
              <w:rPr>
                <w:noProof/>
                <w:lang w:val="sv-FI" w:eastAsia="sv-FI"/>
              </w:rPr>
              <w:drawing>
                <wp:inline distT="0" distB="0" distL="0" distR="0" wp14:anchorId="31E0B2FD" wp14:editId="143F6F82">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x5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7F4FAF9A" w14:textId="77777777">
        <w:trPr>
          <w:cantSplit/>
          <w:trHeight w:val="299"/>
        </w:trPr>
        <w:tc>
          <w:tcPr>
            <w:tcW w:w="861" w:type="dxa"/>
            <w:vMerge/>
          </w:tcPr>
          <w:p w14:paraId="0FAFE31A" w14:textId="77777777" w:rsidR="00AF3004" w:rsidRDefault="00AF3004">
            <w:pPr>
              <w:pStyle w:val="xLedtext"/>
            </w:pPr>
          </w:p>
        </w:tc>
        <w:tc>
          <w:tcPr>
            <w:tcW w:w="4448" w:type="dxa"/>
            <w:vAlign w:val="bottom"/>
          </w:tcPr>
          <w:p w14:paraId="69A80607" w14:textId="77777777" w:rsidR="00AF3004" w:rsidRDefault="00AF3004">
            <w:pPr>
              <w:pStyle w:val="xAvsandare1"/>
            </w:pPr>
          </w:p>
        </w:tc>
        <w:tc>
          <w:tcPr>
            <w:tcW w:w="4288" w:type="dxa"/>
            <w:gridSpan w:val="2"/>
            <w:vAlign w:val="bottom"/>
          </w:tcPr>
          <w:p w14:paraId="6DFC337A" w14:textId="0D7229EB" w:rsidR="00AF3004" w:rsidRDefault="0009273F" w:rsidP="00BB4FE9">
            <w:pPr>
              <w:pStyle w:val="xDokTypNr"/>
            </w:pPr>
            <w:r>
              <w:t>LAGFÖRSLAG</w:t>
            </w:r>
            <w:r w:rsidR="00AF3004">
              <w:t xml:space="preserve"> nr </w:t>
            </w:r>
            <w:r w:rsidR="002F1465">
              <w:t>27</w:t>
            </w:r>
            <w:r w:rsidR="00AF3004">
              <w:t>/</w:t>
            </w:r>
            <w:r w:rsidR="0039695A">
              <w:t>2017–2018</w:t>
            </w:r>
          </w:p>
        </w:tc>
      </w:tr>
      <w:tr w:rsidR="00AF3004" w14:paraId="797B4D8F" w14:textId="77777777">
        <w:trPr>
          <w:cantSplit/>
          <w:trHeight w:val="238"/>
        </w:trPr>
        <w:tc>
          <w:tcPr>
            <w:tcW w:w="861" w:type="dxa"/>
            <w:vMerge/>
          </w:tcPr>
          <w:p w14:paraId="2F109085" w14:textId="77777777" w:rsidR="00AF3004" w:rsidRDefault="00AF3004">
            <w:pPr>
              <w:pStyle w:val="xLedtext"/>
            </w:pPr>
          </w:p>
        </w:tc>
        <w:tc>
          <w:tcPr>
            <w:tcW w:w="4448" w:type="dxa"/>
            <w:vAlign w:val="bottom"/>
          </w:tcPr>
          <w:p w14:paraId="2985159C" w14:textId="77777777" w:rsidR="00AF3004" w:rsidRDefault="00AF3004">
            <w:pPr>
              <w:pStyle w:val="xLedtext"/>
            </w:pPr>
          </w:p>
        </w:tc>
        <w:tc>
          <w:tcPr>
            <w:tcW w:w="1725" w:type="dxa"/>
            <w:vAlign w:val="bottom"/>
          </w:tcPr>
          <w:p w14:paraId="719ACC99" w14:textId="77777777" w:rsidR="00AF3004" w:rsidRDefault="00AF3004">
            <w:pPr>
              <w:pStyle w:val="xLedtext"/>
              <w:rPr>
                <w:lang w:val="de-DE"/>
              </w:rPr>
            </w:pPr>
            <w:r>
              <w:rPr>
                <w:lang w:val="de-DE"/>
              </w:rPr>
              <w:t>Datum</w:t>
            </w:r>
          </w:p>
        </w:tc>
        <w:tc>
          <w:tcPr>
            <w:tcW w:w="2563" w:type="dxa"/>
            <w:vAlign w:val="bottom"/>
          </w:tcPr>
          <w:p w14:paraId="5AA7FBFF" w14:textId="77777777" w:rsidR="00AF3004" w:rsidRDefault="00AF3004">
            <w:pPr>
              <w:pStyle w:val="xLedtext"/>
              <w:rPr>
                <w:lang w:val="de-DE"/>
              </w:rPr>
            </w:pPr>
          </w:p>
        </w:tc>
      </w:tr>
      <w:tr w:rsidR="00AF3004" w14:paraId="27B6D396" w14:textId="77777777">
        <w:trPr>
          <w:cantSplit/>
          <w:trHeight w:val="238"/>
        </w:trPr>
        <w:tc>
          <w:tcPr>
            <w:tcW w:w="861" w:type="dxa"/>
            <w:vMerge/>
          </w:tcPr>
          <w:p w14:paraId="0A5B64AF" w14:textId="77777777" w:rsidR="00AF3004" w:rsidRDefault="00AF3004">
            <w:pPr>
              <w:pStyle w:val="xAvsandare2"/>
              <w:rPr>
                <w:lang w:val="de-DE"/>
              </w:rPr>
            </w:pPr>
          </w:p>
        </w:tc>
        <w:tc>
          <w:tcPr>
            <w:tcW w:w="4448" w:type="dxa"/>
            <w:vAlign w:val="center"/>
          </w:tcPr>
          <w:p w14:paraId="6F323941" w14:textId="77777777" w:rsidR="00AF3004" w:rsidRDefault="00AF3004">
            <w:pPr>
              <w:pStyle w:val="xAvsandare2"/>
              <w:rPr>
                <w:lang w:val="de-DE"/>
              </w:rPr>
            </w:pPr>
          </w:p>
        </w:tc>
        <w:tc>
          <w:tcPr>
            <w:tcW w:w="1725" w:type="dxa"/>
            <w:vAlign w:val="center"/>
          </w:tcPr>
          <w:p w14:paraId="74CB6ED7" w14:textId="233761FA" w:rsidR="00AF3004" w:rsidRDefault="00AF3004" w:rsidP="00A33027">
            <w:pPr>
              <w:pStyle w:val="xDatum1"/>
              <w:rPr>
                <w:lang w:val="de-DE"/>
              </w:rPr>
            </w:pPr>
            <w:r>
              <w:rPr>
                <w:lang w:val="de-DE"/>
              </w:rPr>
              <w:t>20</w:t>
            </w:r>
            <w:r w:rsidR="005E3014">
              <w:rPr>
                <w:lang w:val="de-DE"/>
              </w:rPr>
              <w:t>1</w:t>
            </w:r>
            <w:r w:rsidR="00935646">
              <w:rPr>
                <w:lang w:val="de-DE"/>
              </w:rPr>
              <w:t>8</w:t>
            </w:r>
            <w:r>
              <w:rPr>
                <w:lang w:val="de-DE"/>
              </w:rPr>
              <w:t>-</w:t>
            </w:r>
            <w:r w:rsidR="00935646">
              <w:rPr>
                <w:lang w:val="de-DE"/>
              </w:rPr>
              <w:t>0</w:t>
            </w:r>
            <w:r w:rsidR="00013F02">
              <w:rPr>
                <w:lang w:val="de-DE"/>
              </w:rPr>
              <w:t>9</w:t>
            </w:r>
            <w:r>
              <w:rPr>
                <w:lang w:val="de-DE"/>
              </w:rPr>
              <w:t>-</w:t>
            </w:r>
            <w:r w:rsidR="002C125A">
              <w:rPr>
                <w:lang w:val="de-DE"/>
              </w:rPr>
              <w:t>13</w:t>
            </w:r>
          </w:p>
        </w:tc>
        <w:tc>
          <w:tcPr>
            <w:tcW w:w="2563" w:type="dxa"/>
            <w:vAlign w:val="center"/>
          </w:tcPr>
          <w:p w14:paraId="3B68349A" w14:textId="77777777" w:rsidR="00AF3004" w:rsidRDefault="00AF3004">
            <w:pPr>
              <w:pStyle w:val="xBeteckning1"/>
              <w:rPr>
                <w:lang w:val="de-DE"/>
              </w:rPr>
            </w:pPr>
          </w:p>
        </w:tc>
      </w:tr>
      <w:tr w:rsidR="00AF3004" w14:paraId="4CE00DD7" w14:textId="77777777">
        <w:trPr>
          <w:cantSplit/>
          <w:trHeight w:val="238"/>
        </w:trPr>
        <w:tc>
          <w:tcPr>
            <w:tcW w:w="861" w:type="dxa"/>
            <w:vMerge/>
          </w:tcPr>
          <w:p w14:paraId="2BDFDA97" w14:textId="77777777" w:rsidR="00AF3004" w:rsidRDefault="00AF3004">
            <w:pPr>
              <w:pStyle w:val="xLedtext"/>
              <w:rPr>
                <w:lang w:val="de-DE"/>
              </w:rPr>
            </w:pPr>
          </w:p>
        </w:tc>
        <w:tc>
          <w:tcPr>
            <w:tcW w:w="4448" w:type="dxa"/>
            <w:vAlign w:val="bottom"/>
          </w:tcPr>
          <w:p w14:paraId="45D19611" w14:textId="77777777" w:rsidR="00AF3004" w:rsidRDefault="00AF3004">
            <w:pPr>
              <w:pStyle w:val="xLedtext"/>
              <w:rPr>
                <w:lang w:val="de-DE"/>
              </w:rPr>
            </w:pPr>
          </w:p>
        </w:tc>
        <w:tc>
          <w:tcPr>
            <w:tcW w:w="1725" w:type="dxa"/>
            <w:vAlign w:val="bottom"/>
          </w:tcPr>
          <w:p w14:paraId="1476E165" w14:textId="77777777" w:rsidR="00AF3004" w:rsidRDefault="00AF3004">
            <w:pPr>
              <w:pStyle w:val="xLedtext"/>
              <w:rPr>
                <w:lang w:val="de-DE"/>
              </w:rPr>
            </w:pPr>
          </w:p>
        </w:tc>
        <w:tc>
          <w:tcPr>
            <w:tcW w:w="2563" w:type="dxa"/>
            <w:vAlign w:val="bottom"/>
          </w:tcPr>
          <w:p w14:paraId="2FB1A3A7" w14:textId="77777777" w:rsidR="00AF3004" w:rsidRDefault="00AF3004">
            <w:pPr>
              <w:pStyle w:val="xLedtext"/>
              <w:rPr>
                <w:lang w:val="de-DE"/>
              </w:rPr>
            </w:pPr>
          </w:p>
        </w:tc>
      </w:tr>
      <w:tr w:rsidR="00AF3004" w14:paraId="1AE9796E" w14:textId="77777777">
        <w:trPr>
          <w:cantSplit/>
          <w:trHeight w:val="238"/>
        </w:trPr>
        <w:tc>
          <w:tcPr>
            <w:tcW w:w="861" w:type="dxa"/>
            <w:vMerge/>
            <w:tcBorders>
              <w:bottom w:val="single" w:sz="4" w:space="0" w:color="auto"/>
            </w:tcBorders>
          </w:tcPr>
          <w:p w14:paraId="4A7FD895" w14:textId="77777777" w:rsidR="00AF3004" w:rsidRDefault="00AF3004">
            <w:pPr>
              <w:pStyle w:val="xAvsandare3"/>
              <w:rPr>
                <w:lang w:val="de-DE"/>
              </w:rPr>
            </w:pPr>
          </w:p>
        </w:tc>
        <w:tc>
          <w:tcPr>
            <w:tcW w:w="4448" w:type="dxa"/>
            <w:tcBorders>
              <w:bottom w:val="single" w:sz="4" w:space="0" w:color="auto"/>
            </w:tcBorders>
            <w:vAlign w:val="center"/>
          </w:tcPr>
          <w:p w14:paraId="25A4A00D" w14:textId="77777777" w:rsidR="00AF3004" w:rsidRDefault="00AF3004">
            <w:pPr>
              <w:pStyle w:val="xAvsandare3"/>
              <w:rPr>
                <w:lang w:val="de-DE"/>
              </w:rPr>
            </w:pPr>
          </w:p>
        </w:tc>
        <w:tc>
          <w:tcPr>
            <w:tcW w:w="1725" w:type="dxa"/>
            <w:tcBorders>
              <w:bottom w:val="single" w:sz="4" w:space="0" w:color="auto"/>
            </w:tcBorders>
            <w:vAlign w:val="center"/>
          </w:tcPr>
          <w:p w14:paraId="379CD6FC" w14:textId="77777777" w:rsidR="00AF3004" w:rsidRDefault="00AF3004">
            <w:pPr>
              <w:pStyle w:val="xDatum2"/>
              <w:rPr>
                <w:lang w:val="de-DE"/>
              </w:rPr>
            </w:pPr>
          </w:p>
        </w:tc>
        <w:tc>
          <w:tcPr>
            <w:tcW w:w="2563" w:type="dxa"/>
            <w:tcBorders>
              <w:bottom w:val="single" w:sz="4" w:space="0" w:color="auto"/>
            </w:tcBorders>
            <w:vAlign w:val="center"/>
          </w:tcPr>
          <w:p w14:paraId="16F0473C" w14:textId="77777777" w:rsidR="00AF3004" w:rsidRDefault="00AF3004">
            <w:pPr>
              <w:pStyle w:val="xBeteckning2"/>
              <w:rPr>
                <w:lang w:val="de-DE"/>
              </w:rPr>
            </w:pPr>
          </w:p>
        </w:tc>
      </w:tr>
      <w:tr w:rsidR="00AF3004" w14:paraId="49D2F5D3" w14:textId="77777777">
        <w:trPr>
          <w:cantSplit/>
          <w:trHeight w:val="238"/>
        </w:trPr>
        <w:tc>
          <w:tcPr>
            <w:tcW w:w="861" w:type="dxa"/>
            <w:tcBorders>
              <w:top w:val="single" w:sz="4" w:space="0" w:color="auto"/>
            </w:tcBorders>
            <w:vAlign w:val="bottom"/>
          </w:tcPr>
          <w:p w14:paraId="09E42005" w14:textId="77777777" w:rsidR="00AF3004" w:rsidRDefault="00AF3004">
            <w:pPr>
              <w:pStyle w:val="xLedtext"/>
              <w:rPr>
                <w:lang w:val="de-DE"/>
              </w:rPr>
            </w:pPr>
          </w:p>
        </w:tc>
        <w:tc>
          <w:tcPr>
            <w:tcW w:w="4448" w:type="dxa"/>
            <w:tcBorders>
              <w:top w:val="single" w:sz="4" w:space="0" w:color="auto"/>
            </w:tcBorders>
            <w:vAlign w:val="bottom"/>
          </w:tcPr>
          <w:p w14:paraId="0FAD15FE" w14:textId="77777777" w:rsidR="00AF3004" w:rsidRDefault="00AF3004">
            <w:pPr>
              <w:pStyle w:val="xLedtext"/>
              <w:rPr>
                <w:lang w:val="de-DE"/>
              </w:rPr>
            </w:pPr>
          </w:p>
        </w:tc>
        <w:tc>
          <w:tcPr>
            <w:tcW w:w="4288" w:type="dxa"/>
            <w:gridSpan w:val="2"/>
            <w:tcBorders>
              <w:top w:val="single" w:sz="4" w:space="0" w:color="auto"/>
            </w:tcBorders>
            <w:vAlign w:val="bottom"/>
          </w:tcPr>
          <w:p w14:paraId="7E317142" w14:textId="77777777" w:rsidR="00AF3004" w:rsidRDefault="00AF3004">
            <w:pPr>
              <w:pStyle w:val="xLedtext"/>
              <w:rPr>
                <w:lang w:val="de-DE"/>
              </w:rPr>
            </w:pPr>
          </w:p>
        </w:tc>
      </w:tr>
      <w:tr w:rsidR="00AF3004" w14:paraId="6F953055" w14:textId="77777777">
        <w:trPr>
          <w:cantSplit/>
          <w:trHeight w:val="238"/>
        </w:trPr>
        <w:tc>
          <w:tcPr>
            <w:tcW w:w="861" w:type="dxa"/>
          </w:tcPr>
          <w:p w14:paraId="3D2D7B71" w14:textId="77777777" w:rsidR="00AF3004" w:rsidRDefault="00AF3004">
            <w:pPr>
              <w:pStyle w:val="xCelltext"/>
              <w:rPr>
                <w:lang w:val="de-DE"/>
              </w:rPr>
            </w:pPr>
          </w:p>
        </w:tc>
        <w:tc>
          <w:tcPr>
            <w:tcW w:w="4448" w:type="dxa"/>
            <w:vMerge w:val="restart"/>
          </w:tcPr>
          <w:p w14:paraId="14E56516" w14:textId="77777777" w:rsidR="00AF3004" w:rsidRDefault="00AF3004">
            <w:pPr>
              <w:pStyle w:val="xMottagare1"/>
            </w:pPr>
            <w:bookmarkStart w:id="1" w:name="_top"/>
            <w:bookmarkEnd w:id="1"/>
            <w:r>
              <w:t>Till Ålands lagting</w:t>
            </w:r>
          </w:p>
        </w:tc>
        <w:tc>
          <w:tcPr>
            <w:tcW w:w="4288" w:type="dxa"/>
            <w:gridSpan w:val="2"/>
            <w:vMerge w:val="restart"/>
          </w:tcPr>
          <w:p w14:paraId="3F63B7F6" w14:textId="77777777" w:rsidR="00AF3004" w:rsidRDefault="00AF3004">
            <w:pPr>
              <w:pStyle w:val="xMottagare1"/>
              <w:tabs>
                <w:tab w:val="left" w:pos="2349"/>
              </w:tabs>
            </w:pPr>
          </w:p>
        </w:tc>
      </w:tr>
      <w:tr w:rsidR="00AF3004" w14:paraId="620700A2" w14:textId="77777777">
        <w:trPr>
          <w:cantSplit/>
          <w:trHeight w:val="238"/>
        </w:trPr>
        <w:tc>
          <w:tcPr>
            <w:tcW w:w="861" w:type="dxa"/>
          </w:tcPr>
          <w:p w14:paraId="496C1029" w14:textId="77777777" w:rsidR="00AF3004" w:rsidRDefault="00AF3004">
            <w:pPr>
              <w:pStyle w:val="xCelltext"/>
            </w:pPr>
          </w:p>
        </w:tc>
        <w:tc>
          <w:tcPr>
            <w:tcW w:w="4448" w:type="dxa"/>
            <w:vMerge/>
            <w:vAlign w:val="center"/>
          </w:tcPr>
          <w:p w14:paraId="51B4C24B" w14:textId="77777777" w:rsidR="00AF3004" w:rsidRDefault="00AF3004">
            <w:pPr>
              <w:pStyle w:val="xCelltext"/>
            </w:pPr>
          </w:p>
        </w:tc>
        <w:tc>
          <w:tcPr>
            <w:tcW w:w="4288" w:type="dxa"/>
            <w:gridSpan w:val="2"/>
            <w:vMerge/>
            <w:vAlign w:val="center"/>
          </w:tcPr>
          <w:p w14:paraId="1E8EA970" w14:textId="77777777" w:rsidR="00AF3004" w:rsidRDefault="00AF3004">
            <w:pPr>
              <w:pStyle w:val="xCelltext"/>
            </w:pPr>
          </w:p>
        </w:tc>
      </w:tr>
      <w:tr w:rsidR="00AF3004" w14:paraId="76AB5EF6" w14:textId="77777777">
        <w:trPr>
          <w:cantSplit/>
          <w:trHeight w:val="238"/>
        </w:trPr>
        <w:tc>
          <w:tcPr>
            <w:tcW w:w="861" w:type="dxa"/>
          </w:tcPr>
          <w:p w14:paraId="41B0239D" w14:textId="77777777" w:rsidR="00AF3004" w:rsidRDefault="00AF3004">
            <w:pPr>
              <w:pStyle w:val="xCelltext"/>
            </w:pPr>
          </w:p>
        </w:tc>
        <w:tc>
          <w:tcPr>
            <w:tcW w:w="4448" w:type="dxa"/>
            <w:vMerge/>
            <w:vAlign w:val="center"/>
          </w:tcPr>
          <w:p w14:paraId="1D5312EE" w14:textId="77777777" w:rsidR="00AF3004" w:rsidRDefault="00AF3004">
            <w:pPr>
              <w:pStyle w:val="xCelltext"/>
            </w:pPr>
          </w:p>
        </w:tc>
        <w:tc>
          <w:tcPr>
            <w:tcW w:w="4288" w:type="dxa"/>
            <w:gridSpan w:val="2"/>
            <w:vMerge/>
            <w:vAlign w:val="center"/>
          </w:tcPr>
          <w:p w14:paraId="170A0696" w14:textId="77777777" w:rsidR="00AF3004" w:rsidRDefault="00AF3004">
            <w:pPr>
              <w:pStyle w:val="xCelltext"/>
            </w:pPr>
          </w:p>
        </w:tc>
      </w:tr>
      <w:tr w:rsidR="00AF3004" w14:paraId="14E9A6B6" w14:textId="77777777">
        <w:trPr>
          <w:cantSplit/>
          <w:trHeight w:val="238"/>
        </w:trPr>
        <w:tc>
          <w:tcPr>
            <w:tcW w:w="861" w:type="dxa"/>
          </w:tcPr>
          <w:p w14:paraId="27670598" w14:textId="77777777" w:rsidR="00AF3004" w:rsidRDefault="00AF3004">
            <w:pPr>
              <w:pStyle w:val="xCelltext"/>
            </w:pPr>
          </w:p>
        </w:tc>
        <w:tc>
          <w:tcPr>
            <w:tcW w:w="4448" w:type="dxa"/>
            <w:vMerge/>
            <w:vAlign w:val="center"/>
          </w:tcPr>
          <w:p w14:paraId="364E665F" w14:textId="77777777" w:rsidR="00AF3004" w:rsidRDefault="00AF3004">
            <w:pPr>
              <w:pStyle w:val="xCelltext"/>
            </w:pPr>
          </w:p>
        </w:tc>
        <w:tc>
          <w:tcPr>
            <w:tcW w:w="4288" w:type="dxa"/>
            <w:gridSpan w:val="2"/>
            <w:vMerge/>
            <w:vAlign w:val="center"/>
          </w:tcPr>
          <w:p w14:paraId="78BA0F4B" w14:textId="77777777" w:rsidR="00AF3004" w:rsidRDefault="00AF3004">
            <w:pPr>
              <w:pStyle w:val="xCelltext"/>
            </w:pPr>
          </w:p>
        </w:tc>
      </w:tr>
      <w:tr w:rsidR="00AF3004" w14:paraId="6E9A93D1" w14:textId="77777777">
        <w:trPr>
          <w:cantSplit/>
          <w:trHeight w:val="238"/>
        </w:trPr>
        <w:tc>
          <w:tcPr>
            <w:tcW w:w="861" w:type="dxa"/>
          </w:tcPr>
          <w:p w14:paraId="62AD4E56" w14:textId="77777777" w:rsidR="00AF3004" w:rsidRDefault="00AF3004">
            <w:pPr>
              <w:pStyle w:val="xCelltext"/>
            </w:pPr>
          </w:p>
        </w:tc>
        <w:tc>
          <w:tcPr>
            <w:tcW w:w="4448" w:type="dxa"/>
            <w:vMerge/>
            <w:vAlign w:val="center"/>
          </w:tcPr>
          <w:p w14:paraId="2DA31841" w14:textId="77777777" w:rsidR="00AF3004" w:rsidRDefault="00AF3004">
            <w:pPr>
              <w:pStyle w:val="xCelltext"/>
            </w:pPr>
          </w:p>
        </w:tc>
        <w:tc>
          <w:tcPr>
            <w:tcW w:w="4288" w:type="dxa"/>
            <w:gridSpan w:val="2"/>
            <w:vMerge/>
            <w:vAlign w:val="center"/>
          </w:tcPr>
          <w:p w14:paraId="64E63560" w14:textId="77777777" w:rsidR="00AF3004" w:rsidRDefault="00AF3004">
            <w:pPr>
              <w:pStyle w:val="xCelltext"/>
            </w:pPr>
          </w:p>
        </w:tc>
      </w:tr>
    </w:tbl>
    <w:p w14:paraId="3B25A100" w14:textId="77777777" w:rsidR="00AF3004" w:rsidRDefault="00AF3004">
      <w:pPr>
        <w:rPr>
          <w:b/>
          <w:bCs/>
        </w:rPr>
        <w:sectPr w:rsidR="00AF3004">
          <w:footerReference w:type="even" r:id="rId11"/>
          <w:footerReference w:type="default" r:id="rId12"/>
          <w:pgSz w:w="11906" w:h="16838" w:code="9"/>
          <w:pgMar w:top="567" w:right="1134" w:bottom="1134" w:left="1191" w:header="624" w:footer="851" w:gutter="0"/>
          <w:cols w:space="708"/>
          <w:docGrid w:linePitch="360"/>
        </w:sectPr>
      </w:pPr>
    </w:p>
    <w:p w14:paraId="2D9E6261" w14:textId="62A8A2CA" w:rsidR="003755B1" w:rsidRDefault="00935646">
      <w:pPr>
        <w:pStyle w:val="ArendeRubrik"/>
      </w:pPr>
      <w:bookmarkStart w:id="2" w:name="_Hlk516817342"/>
      <w:r>
        <w:lastRenderedPageBreak/>
        <w:t>Tillgänglig</w:t>
      </w:r>
      <w:r w:rsidR="00403189">
        <w:t>a</w:t>
      </w:r>
      <w:r w:rsidR="00497BD4">
        <w:t xml:space="preserve"> </w:t>
      </w:r>
      <w:r w:rsidR="00A9288B">
        <w:t>webbplatser och mobil</w:t>
      </w:r>
      <w:r w:rsidR="00F64879">
        <w:t xml:space="preserve">a </w:t>
      </w:r>
      <w:r w:rsidR="00A9288B">
        <w:t xml:space="preserve">applikationer </w:t>
      </w:r>
      <w:r w:rsidR="00540184">
        <w:t>inom förvaltningen</w:t>
      </w:r>
    </w:p>
    <w:bookmarkEnd w:id="2"/>
    <w:p w14:paraId="3030F3DD" w14:textId="77777777" w:rsidR="00AF3004" w:rsidRDefault="00AF3004">
      <w:pPr>
        <w:pStyle w:val="ANormal"/>
      </w:pPr>
    </w:p>
    <w:p w14:paraId="610829D8" w14:textId="77777777" w:rsidR="00AF3004" w:rsidRDefault="00AF3004">
      <w:pPr>
        <w:pStyle w:val="ANormal"/>
      </w:pPr>
    </w:p>
    <w:p w14:paraId="113A2507" w14:textId="77777777" w:rsidR="00150C81" w:rsidRDefault="00AF3004" w:rsidP="00771C32">
      <w:pPr>
        <w:pStyle w:val="RubrikA"/>
      </w:pPr>
      <w:bookmarkStart w:id="3" w:name="_Toc524530383"/>
      <w:r>
        <w:t>Huvudsakligt innehåll</w:t>
      </w:r>
      <w:bookmarkEnd w:id="3"/>
    </w:p>
    <w:p w14:paraId="7EAB440C" w14:textId="77777777" w:rsidR="006C447F" w:rsidRDefault="006C447F">
      <w:pPr>
        <w:pStyle w:val="ANormal"/>
      </w:pPr>
    </w:p>
    <w:p w14:paraId="554344C9" w14:textId="02E37160" w:rsidR="00B63FA3" w:rsidRDefault="00B63FA3" w:rsidP="00540184">
      <w:pPr>
        <w:pStyle w:val="ANormal"/>
      </w:pPr>
      <w:r w:rsidRPr="00B63FA3">
        <w:t>Landskapsregeringen föreslår att lagtinget antar en landskapslag om web</w:t>
      </w:r>
      <w:r w:rsidRPr="00B63FA3">
        <w:t>b</w:t>
      </w:r>
      <w:r w:rsidRPr="00B63FA3">
        <w:t>platsers och mobil</w:t>
      </w:r>
      <w:r w:rsidR="00F64879">
        <w:t xml:space="preserve">a </w:t>
      </w:r>
      <w:r w:rsidRPr="00B63FA3">
        <w:t>applikationers tillgänglighet inom förvaltningen</w:t>
      </w:r>
      <w:r>
        <w:t>. G</w:t>
      </w:r>
      <w:r>
        <w:t>e</w:t>
      </w:r>
      <w:r>
        <w:t xml:space="preserve">nom lagen genomförs inom landskapets lagstiftningsbehörighet </w:t>
      </w:r>
      <w:r w:rsidRPr="00B63FA3">
        <w:t>Europapa</w:t>
      </w:r>
      <w:r w:rsidRPr="00B63FA3">
        <w:t>r</w:t>
      </w:r>
      <w:r w:rsidRPr="00B63FA3">
        <w:t>lamentets och rådets direktiv (EU) 2016/2102 om tillgänglighet avseende offentliga myndigheters webbplatser och mobila applikationer (</w:t>
      </w:r>
      <w:r w:rsidRPr="00B63FA3">
        <w:rPr>
          <w:i/>
        </w:rPr>
        <w:t>tillgängli</w:t>
      </w:r>
      <w:r w:rsidRPr="00B63FA3">
        <w:rPr>
          <w:i/>
        </w:rPr>
        <w:t>g</w:t>
      </w:r>
      <w:r w:rsidRPr="00B63FA3">
        <w:rPr>
          <w:i/>
        </w:rPr>
        <w:t>hetsdirektivet</w:t>
      </w:r>
      <w:r w:rsidRPr="00B63FA3">
        <w:t>).</w:t>
      </w:r>
    </w:p>
    <w:p w14:paraId="70B7AEA5" w14:textId="6A81109E" w:rsidR="0057607A" w:rsidRDefault="00B63FA3" w:rsidP="00540184">
      <w:pPr>
        <w:pStyle w:val="ANormal"/>
      </w:pPr>
      <w:r>
        <w:tab/>
      </w:r>
      <w:r w:rsidR="0057607A">
        <w:t xml:space="preserve">Den föreslagna lagens syfte är att </w:t>
      </w:r>
      <w:r w:rsidR="0057607A" w:rsidRPr="0057607A">
        <w:t xml:space="preserve">var och en ska </w:t>
      </w:r>
      <w:r w:rsidR="00F21660">
        <w:t xml:space="preserve">på lika villkor </w:t>
      </w:r>
      <w:r w:rsidR="0057607A" w:rsidRPr="0057607A">
        <w:t>kunna använda webbplatser och mobila</w:t>
      </w:r>
      <w:r w:rsidR="00F64879">
        <w:t xml:space="preserve"> a</w:t>
      </w:r>
      <w:r w:rsidR="0057607A" w:rsidRPr="0057607A">
        <w:t>pplikationer som tillhandahålls av my</w:t>
      </w:r>
      <w:r w:rsidR="0057607A" w:rsidRPr="0057607A">
        <w:t>n</w:t>
      </w:r>
      <w:r w:rsidR="0057607A" w:rsidRPr="0057607A">
        <w:t>digheter inom landskaps- och kommunalförvaltningen.</w:t>
      </w:r>
      <w:r w:rsidR="0057607A">
        <w:t xml:space="preserve"> Enligt förslaget ska lagen innehålla bestämmelser om vilka krav som ska gälla med avseende på </w:t>
      </w:r>
      <w:r w:rsidR="0057607A" w:rsidRPr="0057607A">
        <w:t>webbplatserna</w:t>
      </w:r>
      <w:r w:rsidR="0057607A">
        <w:t xml:space="preserve">s </w:t>
      </w:r>
      <w:r w:rsidR="0057607A" w:rsidRPr="0057607A">
        <w:t xml:space="preserve">och </w:t>
      </w:r>
      <w:r w:rsidR="00F64879">
        <w:t xml:space="preserve">de </w:t>
      </w:r>
      <w:r w:rsidR="0057607A" w:rsidRPr="0057607A">
        <w:t>mobila</w:t>
      </w:r>
      <w:r w:rsidR="00F64879">
        <w:t xml:space="preserve"> a</w:t>
      </w:r>
      <w:r w:rsidR="0057607A" w:rsidRPr="0057607A">
        <w:t>pplikationerna</w:t>
      </w:r>
      <w:r w:rsidR="0057607A">
        <w:t>s tillgänglighet</w:t>
      </w:r>
      <w:r w:rsidR="00837FB6">
        <w:t xml:space="preserve">. Det ska vara möjligt att </w:t>
      </w:r>
      <w:r w:rsidR="0057607A" w:rsidRPr="0057607A">
        <w:t>avvika från tillgänglighetskrav</w:t>
      </w:r>
      <w:r w:rsidR="00837FB6">
        <w:t>en</w:t>
      </w:r>
      <w:r w:rsidR="0057607A">
        <w:t xml:space="preserve"> enligt i lagen föreskrivna grunder.</w:t>
      </w:r>
      <w:r w:rsidR="00837FB6">
        <w:t xml:space="preserve"> V</w:t>
      </w:r>
      <w:r w:rsidR="0057607A" w:rsidRPr="0057607A">
        <w:t>arje myndighet ska tillhandahålla ett tillgänglighetsutlåtande</w:t>
      </w:r>
      <w:r w:rsidR="0057607A">
        <w:t xml:space="preserve"> på sin webbplats</w:t>
      </w:r>
      <w:r w:rsidR="00837FB6">
        <w:t xml:space="preserve"> och i anslutning till sina mobila applikationer</w:t>
      </w:r>
      <w:r w:rsidR="0057607A">
        <w:t>.</w:t>
      </w:r>
    </w:p>
    <w:p w14:paraId="0FBE5892" w14:textId="746765B3" w:rsidR="0057607A" w:rsidRDefault="0057607A" w:rsidP="00540184">
      <w:pPr>
        <w:pStyle w:val="ANormal"/>
      </w:pPr>
      <w:r>
        <w:tab/>
        <w:t>Enligt lagförslaget ska landskapsregeringen fungera som tillsynsmy</w:t>
      </w:r>
      <w:r>
        <w:t>n</w:t>
      </w:r>
      <w:r>
        <w:t>dighet och landskapsregeringen sk</w:t>
      </w:r>
      <w:r w:rsidR="005B2B4B">
        <w:t>a</w:t>
      </w:r>
      <w:r>
        <w:t xml:space="preserve"> ha </w:t>
      </w:r>
      <w:r w:rsidR="005148EE">
        <w:t>i lagen föreslagna uppgifter och b</w:t>
      </w:r>
      <w:r w:rsidR="005148EE">
        <w:t>e</w:t>
      </w:r>
      <w:r w:rsidR="005148EE">
        <w:t xml:space="preserve">fogenheter. </w:t>
      </w:r>
      <w:r w:rsidR="00583180" w:rsidRPr="00583180">
        <w:t>Den föreslagna lagen innehåller olika övergångstider för när l</w:t>
      </w:r>
      <w:r w:rsidR="00583180" w:rsidRPr="00583180">
        <w:t>a</w:t>
      </w:r>
      <w:r w:rsidR="00583180" w:rsidRPr="00583180">
        <w:t xml:space="preserve">gen ska tillämpas </w:t>
      </w:r>
      <w:r w:rsidR="00F21660">
        <w:t xml:space="preserve">i förhållande till </w:t>
      </w:r>
      <w:r w:rsidR="00583180" w:rsidRPr="00583180">
        <w:t>webbplatser</w:t>
      </w:r>
      <w:r w:rsidR="00F21660">
        <w:t>na</w:t>
      </w:r>
      <w:r w:rsidR="00583180" w:rsidRPr="00583180">
        <w:t xml:space="preserve"> och </w:t>
      </w:r>
      <w:r w:rsidR="00F21660">
        <w:t xml:space="preserve">de </w:t>
      </w:r>
      <w:r w:rsidR="00583180" w:rsidRPr="00583180">
        <w:t>mobila applika</w:t>
      </w:r>
      <w:r w:rsidR="00583180" w:rsidRPr="00583180">
        <w:t>t</w:t>
      </w:r>
      <w:r w:rsidR="00583180" w:rsidRPr="00583180">
        <w:t>ioner</w:t>
      </w:r>
      <w:r w:rsidR="00F21660">
        <w:t>na</w:t>
      </w:r>
      <w:r w:rsidR="00583180">
        <w:t>.</w:t>
      </w:r>
      <w:r w:rsidR="00583180" w:rsidRPr="00583180">
        <w:t xml:space="preserve"> </w:t>
      </w:r>
      <w:r w:rsidR="00F21660" w:rsidRPr="00F21660">
        <w:t xml:space="preserve">Visst </w:t>
      </w:r>
      <w:r w:rsidR="00EF3AAF">
        <w:t xml:space="preserve">digitalt </w:t>
      </w:r>
      <w:r w:rsidR="00F21660" w:rsidRPr="00F21660">
        <w:t xml:space="preserve">innehåll </w:t>
      </w:r>
      <w:r w:rsidR="00C948BD">
        <w:t xml:space="preserve">ska </w:t>
      </w:r>
      <w:r w:rsidR="00F21660" w:rsidRPr="00F21660">
        <w:t xml:space="preserve">vara </w:t>
      </w:r>
      <w:r w:rsidR="00C948BD">
        <w:t xml:space="preserve">undantaget från </w:t>
      </w:r>
      <w:r w:rsidR="00F21660" w:rsidRPr="00F21660">
        <w:t>tillgänglighetskr</w:t>
      </w:r>
      <w:r w:rsidR="00F21660" w:rsidRPr="00F21660">
        <w:t>a</w:t>
      </w:r>
      <w:r w:rsidR="00F21660" w:rsidRPr="00F21660">
        <w:t xml:space="preserve">ven. </w:t>
      </w:r>
      <w:r w:rsidR="000A1165">
        <w:t xml:space="preserve">Landskapsregeringen föreslår att lagen </w:t>
      </w:r>
      <w:r w:rsidR="000A1165" w:rsidRPr="000A1165">
        <w:t>träder i kraft så snart som mö</w:t>
      </w:r>
      <w:r w:rsidR="000A1165" w:rsidRPr="000A1165">
        <w:t>j</w:t>
      </w:r>
      <w:r w:rsidR="000A1165" w:rsidRPr="000A1165">
        <w:t>ligt</w:t>
      </w:r>
      <w:r w:rsidR="00583180">
        <w:t xml:space="preserve">. Tillgänglighetsdirektivet förutsätter att det ska </w:t>
      </w:r>
      <w:r w:rsidR="00583180" w:rsidRPr="00583180">
        <w:t>vara genomfört i me</w:t>
      </w:r>
      <w:r w:rsidR="00583180" w:rsidRPr="00583180">
        <w:t>d</w:t>
      </w:r>
      <w:r w:rsidR="00583180" w:rsidRPr="00583180">
        <w:t>lemsstaterna senast den 23 september 2018.</w:t>
      </w:r>
    </w:p>
    <w:p w14:paraId="45B464F2" w14:textId="77777777" w:rsidR="00AF3004" w:rsidRDefault="00AF3004" w:rsidP="00C100F3">
      <w:pPr>
        <w:pStyle w:val="ANormal"/>
      </w:pPr>
    </w:p>
    <w:p w14:paraId="349168D6" w14:textId="77777777" w:rsidR="00AF3004" w:rsidRDefault="00D10F43">
      <w:pPr>
        <w:pStyle w:val="ANormal"/>
        <w:jc w:val="center"/>
      </w:pPr>
      <w:hyperlink w:anchor="_top" w:tooltip="Klicka för att gå till toppen av dokumentet" w:history="1">
        <w:r w:rsidR="00AF3004">
          <w:rPr>
            <w:rStyle w:val="Hyperlnk"/>
          </w:rPr>
          <w:t>__________________</w:t>
        </w:r>
      </w:hyperlink>
    </w:p>
    <w:p w14:paraId="496FBA2D" w14:textId="77777777" w:rsidR="00AF3004" w:rsidRDefault="00AF3004">
      <w:pPr>
        <w:pStyle w:val="ANormal"/>
      </w:pPr>
    </w:p>
    <w:p w14:paraId="5E46216B" w14:textId="77777777" w:rsidR="00AF3004" w:rsidRDefault="00AF3004">
      <w:pPr>
        <w:pStyle w:val="ANormal"/>
      </w:pPr>
      <w:r>
        <w:br w:type="page"/>
      </w:r>
    </w:p>
    <w:p w14:paraId="437CF43E" w14:textId="77777777" w:rsidR="00AF3004" w:rsidRPr="004F6EEB" w:rsidRDefault="00AF3004">
      <w:pPr>
        <w:pStyle w:val="Innehll1"/>
      </w:pPr>
      <w:r w:rsidRPr="004F6EEB">
        <w:lastRenderedPageBreak/>
        <w:t>INNEHÅLL</w:t>
      </w:r>
    </w:p>
    <w:p w14:paraId="5D72C893" w14:textId="55D9D6FB" w:rsidR="000C0AC7" w:rsidRDefault="00AF3004">
      <w:pPr>
        <w:pStyle w:val="Innehll1"/>
        <w:rPr>
          <w:rFonts w:asciiTheme="minorHAnsi" w:eastAsiaTheme="minorEastAsia" w:hAnsiTheme="minorHAnsi" w:cstheme="minorBidi"/>
          <w:sz w:val="22"/>
          <w:szCs w:val="22"/>
          <w:lang w:val="sv-FI" w:eastAsia="sv-FI"/>
        </w:rPr>
      </w:pPr>
      <w:r w:rsidRPr="00510CF8">
        <w:fldChar w:fldCharType="begin"/>
      </w:r>
      <w:r w:rsidRPr="00510CF8">
        <w:instrText xml:space="preserve"> TOC \o "1-3" \h \z </w:instrText>
      </w:r>
      <w:r w:rsidRPr="00510CF8">
        <w:fldChar w:fldCharType="separate"/>
      </w:r>
      <w:hyperlink w:anchor="_Toc524530383" w:history="1">
        <w:r w:rsidR="000C0AC7" w:rsidRPr="00C93D59">
          <w:rPr>
            <w:rStyle w:val="Hyperlnk"/>
          </w:rPr>
          <w:t>Huvudsakligt innehåll</w:t>
        </w:r>
        <w:r w:rsidR="000C0AC7">
          <w:rPr>
            <w:webHidden/>
          </w:rPr>
          <w:tab/>
        </w:r>
        <w:r w:rsidR="000C0AC7">
          <w:rPr>
            <w:webHidden/>
          </w:rPr>
          <w:fldChar w:fldCharType="begin"/>
        </w:r>
        <w:r w:rsidR="000C0AC7">
          <w:rPr>
            <w:webHidden/>
          </w:rPr>
          <w:instrText xml:space="preserve"> PAGEREF _Toc524530383 \h </w:instrText>
        </w:r>
        <w:r w:rsidR="000C0AC7">
          <w:rPr>
            <w:webHidden/>
          </w:rPr>
        </w:r>
        <w:r w:rsidR="000C0AC7">
          <w:rPr>
            <w:webHidden/>
          </w:rPr>
          <w:fldChar w:fldCharType="separate"/>
        </w:r>
        <w:r w:rsidR="00D10F43">
          <w:rPr>
            <w:webHidden/>
          </w:rPr>
          <w:t>1</w:t>
        </w:r>
        <w:r w:rsidR="000C0AC7">
          <w:rPr>
            <w:webHidden/>
          </w:rPr>
          <w:fldChar w:fldCharType="end"/>
        </w:r>
      </w:hyperlink>
    </w:p>
    <w:p w14:paraId="1785930F" w14:textId="5FF0DC7F" w:rsidR="000C0AC7" w:rsidRDefault="00D10F43">
      <w:pPr>
        <w:pStyle w:val="Innehll1"/>
        <w:rPr>
          <w:rFonts w:asciiTheme="minorHAnsi" w:eastAsiaTheme="minorEastAsia" w:hAnsiTheme="minorHAnsi" w:cstheme="minorBidi"/>
          <w:sz w:val="22"/>
          <w:szCs w:val="22"/>
          <w:lang w:val="sv-FI" w:eastAsia="sv-FI"/>
        </w:rPr>
      </w:pPr>
      <w:hyperlink w:anchor="_Toc524530384" w:history="1">
        <w:r w:rsidR="000C0AC7" w:rsidRPr="00C93D59">
          <w:rPr>
            <w:rStyle w:val="Hyperlnk"/>
          </w:rPr>
          <w:t>Allmän motivering</w:t>
        </w:r>
        <w:r w:rsidR="000C0AC7">
          <w:rPr>
            <w:webHidden/>
          </w:rPr>
          <w:tab/>
        </w:r>
        <w:r w:rsidR="000C0AC7">
          <w:rPr>
            <w:webHidden/>
          </w:rPr>
          <w:fldChar w:fldCharType="begin"/>
        </w:r>
        <w:r w:rsidR="000C0AC7">
          <w:rPr>
            <w:webHidden/>
          </w:rPr>
          <w:instrText xml:space="preserve"> PAGEREF _Toc524530384 \h </w:instrText>
        </w:r>
        <w:r w:rsidR="000C0AC7">
          <w:rPr>
            <w:webHidden/>
          </w:rPr>
        </w:r>
        <w:r w:rsidR="000C0AC7">
          <w:rPr>
            <w:webHidden/>
          </w:rPr>
          <w:fldChar w:fldCharType="separate"/>
        </w:r>
        <w:r>
          <w:rPr>
            <w:webHidden/>
          </w:rPr>
          <w:t>3</w:t>
        </w:r>
        <w:r w:rsidR="000C0AC7">
          <w:rPr>
            <w:webHidden/>
          </w:rPr>
          <w:fldChar w:fldCharType="end"/>
        </w:r>
      </w:hyperlink>
    </w:p>
    <w:p w14:paraId="7A677040" w14:textId="0075AACB" w:rsidR="000C0AC7" w:rsidRDefault="00D10F43">
      <w:pPr>
        <w:pStyle w:val="Innehll2"/>
        <w:rPr>
          <w:rFonts w:asciiTheme="minorHAnsi" w:eastAsiaTheme="minorEastAsia" w:hAnsiTheme="minorHAnsi" w:cstheme="minorBidi"/>
          <w:sz w:val="22"/>
          <w:szCs w:val="22"/>
          <w:lang w:val="sv-FI" w:eastAsia="sv-FI"/>
        </w:rPr>
      </w:pPr>
      <w:hyperlink w:anchor="_Toc524530385" w:history="1">
        <w:r w:rsidR="000C0AC7" w:rsidRPr="00C93D59">
          <w:rPr>
            <w:rStyle w:val="Hyperlnk"/>
          </w:rPr>
          <w:t>1. Digitaliseringen och tillgängligheten inom förvaltningen</w:t>
        </w:r>
        <w:r w:rsidR="000C0AC7">
          <w:rPr>
            <w:webHidden/>
          </w:rPr>
          <w:tab/>
        </w:r>
        <w:r w:rsidR="000C0AC7">
          <w:rPr>
            <w:webHidden/>
          </w:rPr>
          <w:fldChar w:fldCharType="begin"/>
        </w:r>
        <w:r w:rsidR="000C0AC7">
          <w:rPr>
            <w:webHidden/>
          </w:rPr>
          <w:instrText xml:space="preserve"> PAGEREF _Toc524530385 \h </w:instrText>
        </w:r>
        <w:r w:rsidR="000C0AC7">
          <w:rPr>
            <w:webHidden/>
          </w:rPr>
        </w:r>
        <w:r w:rsidR="000C0AC7">
          <w:rPr>
            <w:webHidden/>
          </w:rPr>
          <w:fldChar w:fldCharType="separate"/>
        </w:r>
        <w:r>
          <w:rPr>
            <w:webHidden/>
          </w:rPr>
          <w:t>3</w:t>
        </w:r>
        <w:r w:rsidR="000C0AC7">
          <w:rPr>
            <w:webHidden/>
          </w:rPr>
          <w:fldChar w:fldCharType="end"/>
        </w:r>
      </w:hyperlink>
    </w:p>
    <w:p w14:paraId="6D4A443A" w14:textId="6EA61740" w:rsidR="000C0AC7" w:rsidRDefault="00D10F43">
      <w:pPr>
        <w:pStyle w:val="Innehll3"/>
        <w:rPr>
          <w:rFonts w:asciiTheme="minorHAnsi" w:eastAsiaTheme="minorEastAsia" w:hAnsiTheme="minorHAnsi" w:cstheme="minorBidi"/>
          <w:sz w:val="22"/>
          <w:szCs w:val="22"/>
          <w:lang w:val="sv-FI" w:eastAsia="sv-FI"/>
        </w:rPr>
      </w:pPr>
      <w:hyperlink w:anchor="_Toc524530386" w:history="1">
        <w:r w:rsidR="000C0AC7" w:rsidRPr="00C93D59">
          <w:rPr>
            <w:rStyle w:val="Hyperlnk"/>
          </w:rPr>
          <w:t>1.1 Bakgrund</w:t>
        </w:r>
        <w:r w:rsidR="000C0AC7">
          <w:rPr>
            <w:webHidden/>
          </w:rPr>
          <w:tab/>
        </w:r>
        <w:r w:rsidR="000C0AC7">
          <w:rPr>
            <w:webHidden/>
          </w:rPr>
          <w:fldChar w:fldCharType="begin"/>
        </w:r>
        <w:r w:rsidR="000C0AC7">
          <w:rPr>
            <w:webHidden/>
          </w:rPr>
          <w:instrText xml:space="preserve"> PAGEREF _Toc524530386 \h </w:instrText>
        </w:r>
        <w:r w:rsidR="000C0AC7">
          <w:rPr>
            <w:webHidden/>
          </w:rPr>
        </w:r>
        <w:r w:rsidR="000C0AC7">
          <w:rPr>
            <w:webHidden/>
          </w:rPr>
          <w:fldChar w:fldCharType="separate"/>
        </w:r>
        <w:r>
          <w:rPr>
            <w:webHidden/>
          </w:rPr>
          <w:t>3</w:t>
        </w:r>
        <w:r w:rsidR="000C0AC7">
          <w:rPr>
            <w:webHidden/>
          </w:rPr>
          <w:fldChar w:fldCharType="end"/>
        </w:r>
      </w:hyperlink>
    </w:p>
    <w:p w14:paraId="5528645F" w14:textId="75B59729" w:rsidR="000C0AC7" w:rsidRDefault="00D10F43">
      <w:pPr>
        <w:pStyle w:val="Innehll3"/>
        <w:rPr>
          <w:rFonts w:asciiTheme="minorHAnsi" w:eastAsiaTheme="minorEastAsia" w:hAnsiTheme="minorHAnsi" w:cstheme="minorBidi"/>
          <w:sz w:val="22"/>
          <w:szCs w:val="22"/>
          <w:lang w:val="sv-FI" w:eastAsia="sv-FI"/>
        </w:rPr>
      </w:pPr>
      <w:hyperlink w:anchor="_Toc524530387" w:history="1">
        <w:r w:rsidR="000C0AC7" w:rsidRPr="00C93D59">
          <w:rPr>
            <w:rStyle w:val="Hyperlnk"/>
          </w:rPr>
          <w:t>1.2 Konvention om rättigheter för personer med funktionsnedsättning</w:t>
        </w:r>
        <w:r w:rsidR="000C0AC7">
          <w:rPr>
            <w:webHidden/>
          </w:rPr>
          <w:tab/>
        </w:r>
        <w:r w:rsidR="000C0AC7">
          <w:rPr>
            <w:webHidden/>
          </w:rPr>
          <w:fldChar w:fldCharType="begin"/>
        </w:r>
        <w:r w:rsidR="000C0AC7">
          <w:rPr>
            <w:webHidden/>
          </w:rPr>
          <w:instrText xml:space="preserve"> PAGEREF _Toc524530387 \h </w:instrText>
        </w:r>
        <w:r w:rsidR="000C0AC7">
          <w:rPr>
            <w:webHidden/>
          </w:rPr>
        </w:r>
        <w:r w:rsidR="000C0AC7">
          <w:rPr>
            <w:webHidden/>
          </w:rPr>
          <w:fldChar w:fldCharType="separate"/>
        </w:r>
        <w:r>
          <w:rPr>
            <w:webHidden/>
          </w:rPr>
          <w:t>3</w:t>
        </w:r>
        <w:r w:rsidR="000C0AC7">
          <w:rPr>
            <w:webHidden/>
          </w:rPr>
          <w:fldChar w:fldCharType="end"/>
        </w:r>
      </w:hyperlink>
    </w:p>
    <w:p w14:paraId="099F81BB" w14:textId="6B302C3E" w:rsidR="000C0AC7" w:rsidRDefault="00D10F43">
      <w:pPr>
        <w:pStyle w:val="Innehll3"/>
        <w:rPr>
          <w:rFonts w:asciiTheme="minorHAnsi" w:eastAsiaTheme="minorEastAsia" w:hAnsiTheme="minorHAnsi" w:cstheme="minorBidi"/>
          <w:sz w:val="22"/>
          <w:szCs w:val="22"/>
          <w:lang w:val="sv-FI" w:eastAsia="sv-FI"/>
        </w:rPr>
      </w:pPr>
      <w:hyperlink w:anchor="_Toc524530388" w:history="1">
        <w:r w:rsidR="000C0AC7" w:rsidRPr="00C93D59">
          <w:rPr>
            <w:rStyle w:val="Hyperlnk"/>
          </w:rPr>
          <w:t>1.3 Gällande lagstiftning på Åland</w:t>
        </w:r>
        <w:r w:rsidR="000C0AC7">
          <w:rPr>
            <w:webHidden/>
          </w:rPr>
          <w:tab/>
        </w:r>
        <w:r w:rsidR="000C0AC7">
          <w:rPr>
            <w:webHidden/>
          </w:rPr>
          <w:fldChar w:fldCharType="begin"/>
        </w:r>
        <w:r w:rsidR="000C0AC7">
          <w:rPr>
            <w:webHidden/>
          </w:rPr>
          <w:instrText xml:space="preserve"> PAGEREF _Toc524530388 \h </w:instrText>
        </w:r>
        <w:r w:rsidR="000C0AC7">
          <w:rPr>
            <w:webHidden/>
          </w:rPr>
        </w:r>
        <w:r w:rsidR="000C0AC7">
          <w:rPr>
            <w:webHidden/>
          </w:rPr>
          <w:fldChar w:fldCharType="separate"/>
        </w:r>
        <w:r>
          <w:rPr>
            <w:webHidden/>
          </w:rPr>
          <w:t>4</w:t>
        </w:r>
        <w:r w:rsidR="000C0AC7">
          <w:rPr>
            <w:webHidden/>
          </w:rPr>
          <w:fldChar w:fldCharType="end"/>
        </w:r>
      </w:hyperlink>
    </w:p>
    <w:p w14:paraId="4740A804" w14:textId="4E38C324" w:rsidR="000C0AC7" w:rsidRDefault="00D10F43">
      <w:pPr>
        <w:pStyle w:val="Innehll3"/>
        <w:rPr>
          <w:rFonts w:asciiTheme="minorHAnsi" w:eastAsiaTheme="minorEastAsia" w:hAnsiTheme="minorHAnsi" w:cstheme="minorBidi"/>
          <w:sz w:val="22"/>
          <w:szCs w:val="22"/>
          <w:lang w:val="sv-FI" w:eastAsia="sv-FI"/>
        </w:rPr>
      </w:pPr>
      <w:hyperlink w:anchor="_Toc524530389" w:history="1">
        <w:r w:rsidR="000C0AC7" w:rsidRPr="00C93D59">
          <w:rPr>
            <w:rStyle w:val="Hyperlnk"/>
          </w:rPr>
          <w:t>1.4 Gällande lagstiftning i Finland och Sverige</w:t>
        </w:r>
        <w:r w:rsidR="000C0AC7">
          <w:rPr>
            <w:webHidden/>
          </w:rPr>
          <w:tab/>
        </w:r>
        <w:r w:rsidR="000C0AC7">
          <w:rPr>
            <w:webHidden/>
          </w:rPr>
          <w:fldChar w:fldCharType="begin"/>
        </w:r>
        <w:r w:rsidR="000C0AC7">
          <w:rPr>
            <w:webHidden/>
          </w:rPr>
          <w:instrText xml:space="preserve"> PAGEREF _Toc524530389 \h </w:instrText>
        </w:r>
        <w:r w:rsidR="000C0AC7">
          <w:rPr>
            <w:webHidden/>
          </w:rPr>
        </w:r>
        <w:r w:rsidR="000C0AC7">
          <w:rPr>
            <w:webHidden/>
          </w:rPr>
          <w:fldChar w:fldCharType="separate"/>
        </w:r>
        <w:r>
          <w:rPr>
            <w:webHidden/>
          </w:rPr>
          <w:t>6</w:t>
        </w:r>
        <w:r w:rsidR="000C0AC7">
          <w:rPr>
            <w:webHidden/>
          </w:rPr>
          <w:fldChar w:fldCharType="end"/>
        </w:r>
      </w:hyperlink>
    </w:p>
    <w:p w14:paraId="167A8D6D" w14:textId="783BAB22" w:rsidR="000C0AC7" w:rsidRDefault="00D10F43">
      <w:pPr>
        <w:pStyle w:val="Innehll2"/>
        <w:rPr>
          <w:rFonts w:asciiTheme="minorHAnsi" w:eastAsiaTheme="minorEastAsia" w:hAnsiTheme="minorHAnsi" w:cstheme="minorBidi"/>
          <w:sz w:val="22"/>
          <w:szCs w:val="22"/>
          <w:lang w:val="sv-FI" w:eastAsia="sv-FI"/>
        </w:rPr>
      </w:pPr>
      <w:hyperlink w:anchor="_Toc524530390" w:history="1">
        <w:r w:rsidR="000C0AC7" w:rsidRPr="00C93D59">
          <w:rPr>
            <w:rStyle w:val="Hyperlnk"/>
          </w:rPr>
          <w:t>2. Genomförandet av tillgänglighetsdirektivet på Åland</w:t>
        </w:r>
        <w:r w:rsidR="000C0AC7">
          <w:rPr>
            <w:webHidden/>
          </w:rPr>
          <w:tab/>
        </w:r>
        <w:r w:rsidR="000C0AC7">
          <w:rPr>
            <w:webHidden/>
          </w:rPr>
          <w:fldChar w:fldCharType="begin"/>
        </w:r>
        <w:r w:rsidR="000C0AC7">
          <w:rPr>
            <w:webHidden/>
          </w:rPr>
          <w:instrText xml:space="preserve"> PAGEREF _Toc524530390 \h </w:instrText>
        </w:r>
        <w:r w:rsidR="000C0AC7">
          <w:rPr>
            <w:webHidden/>
          </w:rPr>
        </w:r>
        <w:r w:rsidR="000C0AC7">
          <w:rPr>
            <w:webHidden/>
          </w:rPr>
          <w:fldChar w:fldCharType="separate"/>
        </w:r>
        <w:r>
          <w:rPr>
            <w:webHidden/>
          </w:rPr>
          <w:t>7</w:t>
        </w:r>
        <w:r w:rsidR="000C0AC7">
          <w:rPr>
            <w:webHidden/>
          </w:rPr>
          <w:fldChar w:fldCharType="end"/>
        </w:r>
      </w:hyperlink>
    </w:p>
    <w:p w14:paraId="76905E9E" w14:textId="256F0199" w:rsidR="000C0AC7" w:rsidRDefault="00D10F43">
      <w:pPr>
        <w:pStyle w:val="Innehll3"/>
        <w:rPr>
          <w:rFonts w:asciiTheme="minorHAnsi" w:eastAsiaTheme="minorEastAsia" w:hAnsiTheme="minorHAnsi" w:cstheme="minorBidi"/>
          <w:sz w:val="22"/>
          <w:szCs w:val="22"/>
          <w:lang w:val="sv-FI" w:eastAsia="sv-FI"/>
        </w:rPr>
      </w:pPr>
      <w:hyperlink w:anchor="_Toc524530391" w:history="1">
        <w:r w:rsidR="000C0AC7" w:rsidRPr="00C93D59">
          <w:rPr>
            <w:rStyle w:val="Hyperlnk"/>
          </w:rPr>
          <w:t>2.1 Tillgänglighetsdirektivet</w:t>
        </w:r>
        <w:r w:rsidR="000C0AC7">
          <w:rPr>
            <w:webHidden/>
          </w:rPr>
          <w:tab/>
        </w:r>
        <w:r w:rsidR="000C0AC7">
          <w:rPr>
            <w:webHidden/>
          </w:rPr>
          <w:fldChar w:fldCharType="begin"/>
        </w:r>
        <w:r w:rsidR="000C0AC7">
          <w:rPr>
            <w:webHidden/>
          </w:rPr>
          <w:instrText xml:space="preserve"> PAGEREF _Toc524530391 \h </w:instrText>
        </w:r>
        <w:r w:rsidR="000C0AC7">
          <w:rPr>
            <w:webHidden/>
          </w:rPr>
        </w:r>
        <w:r w:rsidR="000C0AC7">
          <w:rPr>
            <w:webHidden/>
          </w:rPr>
          <w:fldChar w:fldCharType="separate"/>
        </w:r>
        <w:r>
          <w:rPr>
            <w:webHidden/>
          </w:rPr>
          <w:t>7</w:t>
        </w:r>
        <w:r w:rsidR="000C0AC7">
          <w:rPr>
            <w:webHidden/>
          </w:rPr>
          <w:fldChar w:fldCharType="end"/>
        </w:r>
      </w:hyperlink>
    </w:p>
    <w:p w14:paraId="1B8AD34E" w14:textId="5C35044B" w:rsidR="000C0AC7" w:rsidRDefault="00D10F43">
      <w:pPr>
        <w:pStyle w:val="Innehll3"/>
        <w:rPr>
          <w:rFonts w:asciiTheme="minorHAnsi" w:eastAsiaTheme="minorEastAsia" w:hAnsiTheme="minorHAnsi" w:cstheme="minorBidi"/>
          <w:sz w:val="22"/>
          <w:szCs w:val="22"/>
          <w:lang w:val="sv-FI" w:eastAsia="sv-FI"/>
        </w:rPr>
      </w:pPr>
      <w:hyperlink w:anchor="_Toc524530392" w:history="1">
        <w:r w:rsidR="000C0AC7" w:rsidRPr="00C93D59">
          <w:rPr>
            <w:rStyle w:val="Hyperlnk"/>
          </w:rPr>
          <w:t>2.2 Genomförandet av tillgänglighetsdirektivet i Finland och Sverige</w:t>
        </w:r>
        <w:r w:rsidR="000C0AC7">
          <w:rPr>
            <w:webHidden/>
          </w:rPr>
          <w:tab/>
        </w:r>
        <w:r w:rsidR="000C0AC7">
          <w:rPr>
            <w:webHidden/>
          </w:rPr>
          <w:fldChar w:fldCharType="begin"/>
        </w:r>
        <w:r w:rsidR="000C0AC7">
          <w:rPr>
            <w:webHidden/>
          </w:rPr>
          <w:instrText xml:space="preserve"> PAGEREF _Toc524530392 \h </w:instrText>
        </w:r>
        <w:r w:rsidR="000C0AC7">
          <w:rPr>
            <w:webHidden/>
          </w:rPr>
        </w:r>
        <w:r w:rsidR="000C0AC7">
          <w:rPr>
            <w:webHidden/>
          </w:rPr>
          <w:fldChar w:fldCharType="separate"/>
        </w:r>
        <w:r>
          <w:rPr>
            <w:webHidden/>
          </w:rPr>
          <w:t>10</w:t>
        </w:r>
        <w:r w:rsidR="000C0AC7">
          <w:rPr>
            <w:webHidden/>
          </w:rPr>
          <w:fldChar w:fldCharType="end"/>
        </w:r>
      </w:hyperlink>
    </w:p>
    <w:p w14:paraId="37D90D36" w14:textId="103E0995" w:rsidR="000C0AC7" w:rsidRDefault="00D10F43">
      <w:pPr>
        <w:pStyle w:val="Innehll3"/>
        <w:rPr>
          <w:rFonts w:asciiTheme="minorHAnsi" w:eastAsiaTheme="minorEastAsia" w:hAnsiTheme="minorHAnsi" w:cstheme="minorBidi"/>
          <w:sz w:val="22"/>
          <w:szCs w:val="22"/>
          <w:lang w:val="sv-FI" w:eastAsia="sv-FI"/>
        </w:rPr>
      </w:pPr>
      <w:hyperlink w:anchor="_Toc524530393" w:history="1">
        <w:r w:rsidR="000C0AC7" w:rsidRPr="00C93D59">
          <w:rPr>
            <w:rStyle w:val="Hyperlnk"/>
          </w:rPr>
          <w:t>2.3 Överväganden gällande genomförandet på Åland</w:t>
        </w:r>
        <w:r w:rsidR="000C0AC7">
          <w:rPr>
            <w:webHidden/>
          </w:rPr>
          <w:tab/>
        </w:r>
        <w:r w:rsidR="000C0AC7">
          <w:rPr>
            <w:webHidden/>
          </w:rPr>
          <w:fldChar w:fldCharType="begin"/>
        </w:r>
        <w:r w:rsidR="000C0AC7">
          <w:rPr>
            <w:webHidden/>
          </w:rPr>
          <w:instrText xml:space="preserve"> PAGEREF _Toc524530393 \h </w:instrText>
        </w:r>
        <w:r w:rsidR="000C0AC7">
          <w:rPr>
            <w:webHidden/>
          </w:rPr>
        </w:r>
        <w:r w:rsidR="000C0AC7">
          <w:rPr>
            <w:webHidden/>
          </w:rPr>
          <w:fldChar w:fldCharType="separate"/>
        </w:r>
        <w:r>
          <w:rPr>
            <w:webHidden/>
          </w:rPr>
          <w:t>11</w:t>
        </w:r>
        <w:r w:rsidR="000C0AC7">
          <w:rPr>
            <w:webHidden/>
          </w:rPr>
          <w:fldChar w:fldCharType="end"/>
        </w:r>
      </w:hyperlink>
    </w:p>
    <w:p w14:paraId="1CDC9B19" w14:textId="7177C2FE" w:rsidR="000C0AC7" w:rsidRDefault="00D10F43">
      <w:pPr>
        <w:pStyle w:val="Innehll2"/>
        <w:rPr>
          <w:rFonts w:asciiTheme="minorHAnsi" w:eastAsiaTheme="minorEastAsia" w:hAnsiTheme="minorHAnsi" w:cstheme="minorBidi"/>
          <w:sz w:val="22"/>
          <w:szCs w:val="22"/>
          <w:lang w:val="sv-FI" w:eastAsia="sv-FI"/>
        </w:rPr>
      </w:pPr>
      <w:hyperlink w:anchor="_Toc524530394" w:history="1">
        <w:r w:rsidR="000C0AC7" w:rsidRPr="00C93D59">
          <w:rPr>
            <w:rStyle w:val="Hyperlnk"/>
          </w:rPr>
          <w:t>3. Lagstiftningsbehörighet</w:t>
        </w:r>
        <w:r w:rsidR="000C0AC7">
          <w:rPr>
            <w:webHidden/>
          </w:rPr>
          <w:tab/>
        </w:r>
        <w:r w:rsidR="000C0AC7">
          <w:rPr>
            <w:webHidden/>
          </w:rPr>
          <w:fldChar w:fldCharType="begin"/>
        </w:r>
        <w:r w:rsidR="000C0AC7">
          <w:rPr>
            <w:webHidden/>
          </w:rPr>
          <w:instrText xml:space="preserve"> PAGEREF _Toc524530394 \h </w:instrText>
        </w:r>
        <w:r w:rsidR="000C0AC7">
          <w:rPr>
            <w:webHidden/>
          </w:rPr>
        </w:r>
        <w:r w:rsidR="000C0AC7">
          <w:rPr>
            <w:webHidden/>
          </w:rPr>
          <w:fldChar w:fldCharType="separate"/>
        </w:r>
        <w:r>
          <w:rPr>
            <w:webHidden/>
          </w:rPr>
          <w:t>19</w:t>
        </w:r>
        <w:r w:rsidR="000C0AC7">
          <w:rPr>
            <w:webHidden/>
          </w:rPr>
          <w:fldChar w:fldCharType="end"/>
        </w:r>
      </w:hyperlink>
    </w:p>
    <w:p w14:paraId="5636D6B0" w14:textId="4C146CB1" w:rsidR="000C0AC7" w:rsidRDefault="00D10F43">
      <w:pPr>
        <w:pStyle w:val="Innehll2"/>
        <w:rPr>
          <w:rFonts w:asciiTheme="minorHAnsi" w:eastAsiaTheme="minorEastAsia" w:hAnsiTheme="minorHAnsi" w:cstheme="minorBidi"/>
          <w:sz w:val="22"/>
          <w:szCs w:val="22"/>
          <w:lang w:val="sv-FI" w:eastAsia="sv-FI"/>
        </w:rPr>
      </w:pPr>
      <w:hyperlink w:anchor="_Toc524530395" w:history="1">
        <w:r w:rsidR="000C0AC7" w:rsidRPr="00C93D59">
          <w:rPr>
            <w:rStyle w:val="Hyperlnk"/>
          </w:rPr>
          <w:t>4. Landskapsregeringens förslag</w:t>
        </w:r>
        <w:r w:rsidR="000C0AC7">
          <w:rPr>
            <w:webHidden/>
          </w:rPr>
          <w:tab/>
        </w:r>
        <w:r w:rsidR="000C0AC7">
          <w:rPr>
            <w:webHidden/>
          </w:rPr>
          <w:fldChar w:fldCharType="begin"/>
        </w:r>
        <w:r w:rsidR="000C0AC7">
          <w:rPr>
            <w:webHidden/>
          </w:rPr>
          <w:instrText xml:space="preserve"> PAGEREF _Toc524530395 \h </w:instrText>
        </w:r>
        <w:r w:rsidR="000C0AC7">
          <w:rPr>
            <w:webHidden/>
          </w:rPr>
        </w:r>
        <w:r w:rsidR="000C0AC7">
          <w:rPr>
            <w:webHidden/>
          </w:rPr>
          <w:fldChar w:fldCharType="separate"/>
        </w:r>
        <w:r>
          <w:rPr>
            <w:webHidden/>
          </w:rPr>
          <w:t>21</w:t>
        </w:r>
        <w:r w:rsidR="000C0AC7">
          <w:rPr>
            <w:webHidden/>
          </w:rPr>
          <w:fldChar w:fldCharType="end"/>
        </w:r>
      </w:hyperlink>
    </w:p>
    <w:p w14:paraId="10D6F828" w14:textId="379DDDA2" w:rsidR="000C0AC7" w:rsidRDefault="00D10F43">
      <w:pPr>
        <w:pStyle w:val="Innehll2"/>
        <w:rPr>
          <w:rFonts w:asciiTheme="minorHAnsi" w:eastAsiaTheme="minorEastAsia" w:hAnsiTheme="minorHAnsi" w:cstheme="minorBidi"/>
          <w:sz w:val="22"/>
          <w:szCs w:val="22"/>
          <w:lang w:val="sv-FI" w:eastAsia="sv-FI"/>
        </w:rPr>
      </w:pPr>
      <w:hyperlink w:anchor="_Toc524530396" w:history="1">
        <w:r w:rsidR="000C0AC7" w:rsidRPr="00C93D59">
          <w:rPr>
            <w:rStyle w:val="Hyperlnk"/>
          </w:rPr>
          <w:t>5. Förslagets verkningar</w:t>
        </w:r>
        <w:r w:rsidR="000C0AC7">
          <w:rPr>
            <w:webHidden/>
          </w:rPr>
          <w:tab/>
        </w:r>
        <w:r w:rsidR="000C0AC7">
          <w:rPr>
            <w:webHidden/>
          </w:rPr>
          <w:fldChar w:fldCharType="begin"/>
        </w:r>
        <w:r w:rsidR="000C0AC7">
          <w:rPr>
            <w:webHidden/>
          </w:rPr>
          <w:instrText xml:space="preserve"> PAGEREF _Toc524530396 \h </w:instrText>
        </w:r>
        <w:r w:rsidR="000C0AC7">
          <w:rPr>
            <w:webHidden/>
          </w:rPr>
        </w:r>
        <w:r w:rsidR="000C0AC7">
          <w:rPr>
            <w:webHidden/>
          </w:rPr>
          <w:fldChar w:fldCharType="separate"/>
        </w:r>
        <w:r>
          <w:rPr>
            <w:webHidden/>
          </w:rPr>
          <w:t>22</w:t>
        </w:r>
        <w:r w:rsidR="000C0AC7">
          <w:rPr>
            <w:webHidden/>
          </w:rPr>
          <w:fldChar w:fldCharType="end"/>
        </w:r>
      </w:hyperlink>
    </w:p>
    <w:p w14:paraId="21FABE52" w14:textId="15685280" w:rsidR="000C0AC7" w:rsidRDefault="00D10F43">
      <w:pPr>
        <w:pStyle w:val="Innehll2"/>
        <w:rPr>
          <w:rFonts w:asciiTheme="minorHAnsi" w:eastAsiaTheme="minorEastAsia" w:hAnsiTheme="minorHAnsi" w:cstheme="minorBidi"/>
          <w:sz w:val="22"/>
          <w:szCs w:val="22"/>
          <w:lang w:val="sv-FI" w:eastAsia="sv-FI"/>
        </w:rPr>
      </w:pPr>
      <w:hyperlink w:anchor="_Toc524530397" w:history="1">
        <w:r w:rsidR="000C0AC7" w:rsidRPr="00C93D59">
          <w:rPr>
            <w:rStyle w:val="Hyperlnk"/>
            <w:lang w:val="sv-FI"/>
          </w:rPr>
          <w:t>6. Ärendets beredning</w:t>
        </w:r>
        <w:r w:rsidR="000C0AC7">
          <w:rPr>
            <w:webHidden/>
          </w:rPr>
          <w:tab/>
        </w:r>
        <w:r w:rsidR="000C0AC7">
          <w:rPr>
            <w:webHidden/>
          </w:rPr>
          <w:fldChar w:fldCharType="begin"/>
        </w:r>
        <w:r w:rsidR="000C0AC7">
          <w:rPr>
            <w:webHidden/>
          </w:rPr>
          <w:instrText xml:space="preserve"> PAGEREF _Toc524530397 \h </w:instrText>
        </w:r>
        <w:r w:rsidR="000C0AC7">
          <w:rPr>
            <w:webHidden/>
          </w:rPr>
        </w:r>
        <w:r w:rsidR="000C0AC7">
          <w:rPr>
            <w:webHidden/>
          </w:rPr>
          <w:fldChar w:fldCharType="separate"/>
        </w:r>
        <w:r>
          <w:rPr>
            <w:webHidden/>
          </w:rPr>
          <w:t>23</w:t>
        </w:r>
        <w:r w:rsidR="000C0AC7">
          <w:rPr>
            <w:webHidden/>
          </w:rPr>
          <w:fldChar w:fldCharType="end"/>
        </w:r>
      </w:hyperlink>
    </w:p>
    <w:p w14:paraId="2B641493" w14:textId="3445F47B" w:rsidR="000C0AC7" w:rsidRDefault="00D10F43">
      <w:pPr>
        <w:pStyle w:val="Innehll1"/>
        <w:rPr>
          <w:rFonts w:asciiTheme="minorHAnsi" w:eastAsiaTheme="minorEastAsia" w:hAnsiTheme="minorHAnsi" w:cstheme="minorBidi"/>
          <w:sz w:val="22"/>
          <w:szCs w:val="22"/>
          <w:lang w:val="sv-FI" w:eastAsia="sv-FI"/>
        </w:rPr>
      </w:pPr>
      <w:hyperlink w:anchor="_Toc524530398" w:history="1">
        <w:r w:rsidR="000C0AC7" w:rsidRPr="00C93D59">
          <w:rPr>
            <w:rStyle w:val="Hyperlnk"/>
          </w:rPr>
          <w:t>Detaljmotivering</w:t>
        </w:r>
        <w:r w:rsidR="000C0AC7">
          <w:rPr>
            <w:webHidden/>
          </w:rPr>
          <w:tab/>
        </w:r>
        <w:r w:rsidR="000C0AC7">
          <w:rPr>
            <w:webHidden/>
          </w:rPr>
          <w:fldChar w:fldCharType="begin"/>
        </w:r>
        <w:r w:rsidR="000C0AC7">
          <w:rPr>
            <w:webHidden/>
          </w:rPr>
          <w:instrText xml:space="preserve"> PAGEREF _Toc524530398 \h </w:instrText>
        </w:r>
        <w:r w:rsidR="000C0AC7">
          <w:rPr>
            <w:webHidden/>
          </w:rPr>
        </w:r>
        <w:r w:rsidR="000C0AC7">
          <w:rPr>
            <w:webHidden/>
          </w:rPr>
          <w:fldChar w:fldCharType="separate"/>
        </w:r>
        <w:r>
          <w:rPr>
            <w:webHidden/>
          </w:rPr>
          <w:t>24</w:t>
        </w:r>
        <w:r w:rsidR="000C0AC7">
          <w:rPr>
            <w:webHidden/>
          </w:rPr>
          <w:fldChar w:fldCharType="end"/>
        </w:r>
      </w:hyperlink>
    </w:p>
    <w:p w14:paraId="39761B80" w14:textId="5760F54A" w:rsidR="000C0AC7" w:rsidRDefault="00D10F43">
      <w:pPr>
        <w:pStyle w:val="Innehll2"/>
        <w:rPr>
          <w:rFonts w:asciiTheme="minorHAnsi" w:eastAsiaTheme="minorEastAsia" w:hAnsiTheme="minorHAnsi" w:cstheme="minorBidi"/>
          <w:sz w:val="22"/>
          <w:szCs w:val="22"/>
          <w:lang w:val="sv-FI" w:eastAsia="sv-FI"/>
        </w:rPr>
      </w:pPr>
      <w:hyperlink w:anchor="_Toc524530399" w:history="1">
        <w:r w:rsidR="000C0AC7" w:rsidRPr="00C93D59">
          <w:rPr>
            <w:rStyle w:val="Hyperlnk"/>
          </w:rPr>
          <w:t>Landskapslag om tillgängliga webbplatser och mobila applikationer inom förvaltningen</w:t>
        </w:r>
        <w:r w:rsidR="000C0AC7">
          <w:rPr>
            <w:webHidden/>
          </w:rPr>
          <w:tab/>
        </w:r>
        <w:r w:rsidR="000C0AC7">
          <w:rPr>
            <w:webHidden/>
          </w:rPr>
          <w:fldChar w:fldCharType="begin"/>
        </w:r>
        <w:r w:rsidR="000C0AC7">
          <w:rPr>
            <w:webHidden/>
          </w:rPr>
          <w:instrText xml:space="preserve"> PAGEREF _Toc524530399 \h </w:instrText>
        </w:r>
        <w:r w:rsidR="000C0AC7">
          <w:rPr>
            <w:webHidden/>
          </w:rPr>
        </w:r>
        <w:r w:rsidR="000C0AC7">
          <w:rPr>
            <w:webHidden/>
          </w:rPr>
          <w:fldChar w:fldCharType="separate"/>
        </w:r>
        <w:r>
          <w:rPr>
            <w:webHidden/>
          </w:rPr>
          <w:t>24</w:t>
        </w:r>
        <w:r w:rsidR="000C0AC7">
          <w:rPr>
            <w:webHidden/>
          </w:rPr>
          <w:fldChar w:fldCharType="end"/>
        </w:r>
      </w:hyperlink>
    </w:p>
    <w:p w14:paraId="0309DE03" w14:textId="7C4B0E90" w:rsidR="000C0AC7" w:rsidRDefault="00D10F43">
      <w:pPr>
        <w:pStyle w:val="Innehll1"/>
        <w:rPr>
          <w:rFonts w:asciiTheme="minorHAnsi" w:eastAsiaTheme="minorEastAsia" w:hAnsiTheme="minorHAnsi" w:cstheme="minorBidi"/>
          <w:sz w:val="22"/>
          <w:szCs w:val="22"/>
          <w:lang w:val="sv-FI" w:eastAsia="sv-FI"/>
        </w:rPr>
      </w:pPr>
      <w:hyperlink w:anchor="_Toc524530400" w:history="1">
        <w:r w:rsidR="000C0AC7" w:rsidRPr="00C93D59">
          <w:rPr>
            <w:rStyle w:val="Hyperlnk"/>
          </w:rPr>
          <w:t>Lagtext</w:t>
        </w:r>
        <w:r w:rsidR="000C0AC7">
          <w:rPr>
            <w:webHidden/>
          </w:rPr>
          <w:tab/>
        </w:r>
        <w:r w:rsidR="000C0AC7">
          <w:rPr>
            <w:webHidden/>
          </w:rPr>
          <w:fldChar w:fldCharType="begin"/>
        </w:r>
        <w:r w:rsidR="000C0AC7">
          <w:rPr>
            <w:webHidden/>
          </w:rPr>
          <w:instrText xml:space="preserve"> PAGEREF _Toc524530400 \h </w:instrText>
        </w:r>
        <w:r w:rsidR="000C0AC7">
          <w:rPr>
            <w:webHidden/>
          </w:rPr>
        </w:r>
        <w:r w:rsidR="000C0AC7">
          <w:rPr>
            <w:webHidden/>
          </w:rPr>
          <w:fldChar w:fldCharType="separate"/>
        </w:r>
        <w:r>
          <w:rPr>
            <w:webHidden/>
          </w:rPr>
          <w:t>42</w:t>
        </w:r>
        <w:r w:rsidR="000C0AC7">
          <w:rPr>
            <w:webHidden/>
          </w:rPr>
          <w:fldChar w:fldCharType="end"/>
        </w:r>
      </w:hyperlink>
    </w:p>
    <w:p w14:paraId="2C96CAC5" w14:textId="0C620AE4" w:rsidR="000C0AC7" w:rsidRDefault="00D10F43">
      <w:pPr>
        <w:pStyle w:val="Innehll2"/>
        <w:rPr>
          <w:rFonts w:asciiTheme="minorHAnsi" w:eastAsiaTheme="minorEastAsia" w:hAnsiTheme="minorHAnsi" w:cstheme="minorBidi"/>
          <w:sz w:val="22"/>
          <w:szCs w:val="22"/>
          <w:lang w:val="sv-FI" w:eastAsia="sv-FI"/>
        </w:rPr>
      </w:pPr>
      <w:hyperlink w:anchor="_Toc524530401" w:history="1">
        <w:r w:rsidR="000C0AC7" w:rsidRPr="00C93D59">
          <w:rPr>
            <w:rStyle w:val="Hyperlnk"/>
            <w:lang w:val="sv-FI"/>
          </w:rPr>
          <w:t>L A N D S K A P S L A G om tillgängliga webbplatser och mobila applikationer inom förvaltningen</w:t>
        </w:r>
        <w:r w:rsidR="000C0AC7">
          <w:rPr>
            <w:webHidden/>
          </w:rPr>
          <w:tab/>
        </w:r>
        <w:r w:rsidR="000C0AC7">
          <w:rPr>
            <w:webHidden/>
          </w:rPr>
          <w:fldChar w:fldCharType="begin"/>
        </w:r>
        <w:r w:rsidR="000C0AC7">
          <w:rPr>
            <w:webHidden/>
          </w:rPr>
          <w:instrText xml:space="preserve"> PAGEREF _Toc524530401 \h </w:instrText>
        </w:r>
        <w:r w:rsidR="000C0AC7">
          <w:rPr>
            <w:webHidden/>
          </w:rPr>
        </w:r>
        <w:r w:rsidR="000C0AC7">
          <w:rPr>
            <w:webHidden/>
          </w:rPr>
          <w:fldChar w:fldCharType="separate"/>
        </w:r>
        <w:r>
          <w:rPr>
            <w:webHidden/>
          </w:rPr>
          <w:t>42</w:t>
        </w:r>
        <w:r w:rsidR="000C0AC7">
          <w:rPr>
            <w:webHidden/>
          </w:rPr>
          <w:fldChar w:fldCharType="end"/>
        </w:r>
      </w:hyperlink>
    </w:p>
    <w:p w14:paraId="2A56C53E" w14:textId="4933A5F7" w:rsidR="00AF3004" w:rsidRPr="002A1D43" w:rsidRDefault="00AF3004">
      <w:pPr>
        <w:pStyle w:val="ANormal"/>
        <w:rPr>
          <w:rFonts w:ascii="Verdana" w:hAnsi="Verdana"/>
          <w:noProof/>
        </w:rPr>
      </w:pPr>
      <w:r w:rsidRPr="00510CF8">
        <w:rPr>
          <w:rFonts w:ascii="Verdana" w:hAnsi="Verdana"/>
          <w:noProof/>
          <w:sz w:val="16"/>
          <w:szCs w:val="36"/>
        </w:rPr>
        <w:fldChar w:fldCharType="end"/>
      </w:r>
    </w:p>
    <w:p w14:paraId="5DD994EB" w14:textId="77777777" w:rsidR="00AF3004" w:rsidRPr="002A1D43" w:rsidRDefault="00AF3004">
      <w:pPr>
        <w:pStyle w:val="ANormal"/>
        <w:rPr>
          <w:rFonts w:ascii="Verdana" w:hAnsi="Verdana"/>
        </w:rPr>
      </w:pPr>
      <w:r w:rsidRPr="002A1D43">
        <w:rPr>
          <w:rFonts w:ascii="Verdana" w:hAnsi="Verdana"/>
        </w:rPr>
        <w:br w:type="page"/>
      </w:r>
    </w:p>
    <w:p w14:paraId="7F32DA74" w14:textId="77777777" w:rsidR="00AF3004" w:rsidRDefault="00AF3004" w:rsidP="00771C32">
      <w:pPr>
        <w:pStyle w:val="RubrikA"/>
      </w:pPr>
      <w:bookmarkStart w:id="4" w:name="_Toc524530384"/>
      <w:r>
        <w:lastRenderedPageBreak/>
        <w:t xml:space="preserve">Allmän </w:t>
      </w:r>
      <w:r w:rsidRPr="002C78D3">
        <w:t>motivering</w:t>
      </w:r>
      <w:bookmarkEnd w:id="4"/>
    </w:p>
    <w:p w14:paraId="5CF3813C" w14:textId="77777777" w:rsidR="00AF3004" w:rsidRDefault="00AF3004">
      <w:pPr>
        <w:pStyle w:val="Rubrikmellanrum"/>
      </w:pPr>
    </w:p>
    <w:p w14:paraId="1BCD4FC6" w14:textId="7C39EB84" w:rsidR="00D35A73" w:rsidRDefault="00AF3004" w:rsidP="00771C32">
      <w:pPr>
        <w:pStyle w:val="RubrikB"/>
      </w:pPr>
      <w:bookmarkStart w:id="5" w:name="_Toc524530385"/>
      <w:r>
        <w:t xml:space="preserve">1. </w:t>
      </w:r>
      <w:r w:rsidR="00D35A73">
        <w:t>D</w:t>
      </w:r>
      <w:r w:rsidR="001C46E9">
        <w:t xml:space="preserve">igitaliseringen och </w:t>
      </w:r>
      <w:r w:rsidR="00D35A73" w:rsidRPr="00D35A73">
        <w:t>tillgänglighet</w:t>
      </w:r>
      <w:r w:rsidR="00C2107D">
        <w:t>en</w:t>
      </w:r>
      <w:r w:rsidR="00D35A73" w:rsidRPr="00D35A73">
        <w:t xml:space="preserve"> inom förvaltningen</w:t>
      </w:r>
      <w:bookmarkEnd w:id="5"/>
    </w:p>
    <w:p w14:paraId="331D83D9" w14:textId="77777777" w:rsidR="002C31FC" w:rsidRDefault="002C31FC" w:rsidP="002C78D3">
      <w:pPr>
        <w:pStyle w:val="Rubrikmellanrum"/>
      </w:pPr>
    </w:p>
    <w:p w14:paraId="673F2E75" w14:textId="74AC7ED4" w:rsidR="007070F5" w:rsidRDefault="007070F5" w:rsidP="00771C32">
      <w:pPr>
        <w:pStyle w:val="RubrikC"/>
      </w:pPr>
      <w:bookmarkStart w:id="6" w:name="_Toc524530386"/>
      <w:r>
        <w:t>1.1 Bakgrund</w:t>
      </w:r>
      <w:bookmarkEnd w:id="6"/>
    </w:p>
    <w:p w14:paraId="188A8500" w14:textId="77777777" w:rsidR="007070F5" w:rsidRPr="007070F5" w:rsidRDefault="007070F5" w:rsidP="007070F5">
      <w:pPr>
        <w:pStyle w:val="Rubrikmellanrum"/>
      </w:pPr>
    </w:p>
    <w:p w14:paraId="011C5162" w14:textId="3DB56EE0" w:rsidR="00FB0C21" w:rsidRDefault="00895069" w:rsidP="0014798E">
      <w:pPr>
        <w:pStyle w:val="ANormal"/>
      </w:pPr>
      <w:r>
        <w:rPr>
          <w:lang w:val="sv-FI"/>
        </w:rPr>
        <w:t>D</w:t>
      </w:r>
      <w:r w:rsidRPr="00895069">
        <w:rPr>
          <w:lang w:val="sv-FI"/>
        </w:rPr>
        <w:t xml:space="preserve">igitaliseringen är </w:t>
      </w:r>
      <w:r>
        <w:rPr>
          <w:lang w:val="sv-FI"/>
        </w:rPr>
        <w:t>e</w:t>
      </w:r>
      <w:r w:rsidRPr="00895069">
        <w:rPr>
          <w:lang w:val="sv-FI"/>
        </w:rPr>
        <w:t xml:space="preserve">n </w:t>
      </w:r>
      <w:r w:rsidR="00583180">
        <w:rPr>
          <w:lang w:val="sv-FI"/>
        </w:rPr>
        <w:t>central</w:t>
      </w:r>
      <w:r>
        <w:rPr>
          <w:lang w:val="sv-FI"/>
        </w:rPr>
        <w:t xml:space="preserve"> </w:t>
      </w:r>
      <w:r w:rsidRPr="00895069">
        <w:rPr>
          <w:lang w:val="sv-FI"/>
        </w:rPr>
        <w:t>förändringsfaktor</w:t>
      </w:r>
      <w:r>
        <w:rPr>
          <w:lang w:val="sv-FI"/>
        </w:rPr>
        <w:t xml:space="preserve"> i dagens samhällen</w:t>
      </w:r>
      <w:r w:rsidR="00AF43CD">
        <w:rPr>
          <w:lang w:val="sv-FI"/>
        </w:rPr>
        <w:t>.</w:t>
      </w:r>
      <w:r w:rsidR="00E94712">
        <w:rPr>
          <w:lang w:val="sv-FI"/>
        </w:rPr>
        <w:t xml:space="preserve"> </w:t>
      </w:r>
      <w:r w:rsidR="00CE6FB3">
        <w:rPr>
          <w:lang w:val="sv-FI"/>
        </w:rPr>
        <w:t>K</w:t>
      </w:r>
      <w:r w:rsidR="0068261D" w:rsidRPr="0068261D">
        <w:rPr>
          <w:lang w:val="sv-FI"/>
        </w:rPr>
        <w:t>o</w:t>
      </w:r>
      <w:r w:rsidR="0068261D" w:rsidRPr="0068261D">
        <w:rPr>
          <w:lang w:val="sv-FI"/>
        </w:rPr>
        <w:t>m</w:t>
      </w:r>
      <w:r w:rsidR="0068261D" w:rsidRPr="0068261D">
        <w:rPr>
          <w:lang w:val="sv-FI"/>
        </w:rPr>
        <w:t>munikation</w:t>
      </w:r>
      <w:r w:rsidR="00CE6FB3">
        <w:rPr>
          <w:lang w:val="sv-FI"/>
        </w:rPr>
        <w:t>en</w:t>
      </w:r>
      <w:r w:rsidR="0068261D" w:rsidRPr="0068261D">
        <w:rPr>
          <w:lang w:val="sv-FI"/>
        </w:rPr>
        <w:t xml:space="preserve"> och interaktion</w:t>
      </w:r>
      <w:r w:rsidR="00CE6FB3">
        <w:rPr>
          <w:lang w:val="sv-FI"/>
        </w:rPr>
        <w:t>en</w:t>
      </w:r>
      <w:r w:rsidR="0068261D">
        <w:rPr>
          <w:lang w:val="sv-FI"/>
        </w:rPr>
        <w:t xml:space="preserve"> </w:t>
      </w:r>
      <w:r w:rsidR="0068261D" w:rsidRPr="0068261D">
        <w:rPr>
          <w:lang w:val="sv-FI"/>
        </w:rPr>
        <w:t xml:space="preserve">blir </w:t>
      </w:r>
      <w:r w:rsidR="00CE6FB3">
        <w:rPr>
          <w:lang w:val="sv-FI"/>
        </w:rPr>
        <w:t xml:space="preserve">allt oftare </w:t>
      </w:r>
      <w:r w:rsidR="00AF43CD">
        <w:rPr>
          <w:lang w:val="sv-FI"/>
        </w:rPr>
        <w:t xml:space="preserve">digital. </w:t>
      </w:r>
      <w:r w:rsidR="0068261D" w:rsidRPr="0068261D">
        <w:rPr>
          <w:lang w:val="sv-FI"/>
        </w:rPr>
        <w:t>Möjligheten att samla in,</w:t>
      </w:r>
      <w:r w:rsidR="0068261D">
        <w:rPr>
          <w:lang w:val="sv-FI"/>
        </w:rPr>
        <w:t xml:space="preserve"> </w:t>
      </w:r>
      <w:r w:rsidR="0068261D" w:rsidRPr="0068261D">
        <w:rPr>
          <w:lang w:val="sv-FI"/>
        </w:rPr>
        <w:t>tolka, tillämpa och utveckla allt större</w:t>
      </w:r>
      <w:r w:rsidR="0068261D">
        <w:rPr>
          <w:lang w:val="sv-FI"/>
        </w:rPr>
        <w:t xml:space="preserve"> </w:t>
      </w:r>
      <w:r w:rsidR="0068261D" w:rsidRPr="0068261D">
        <w:rPr>
          <w:lang w:val="sv-FI"/>
        </w:rPr>
        <w:t>kvantiteter av data digitalt medför att</w:t>
      </w:r>
      <w:r w:rsidR="0068261D">
        <w:rPr>
          <w:lang w:val="sv-FI"/>
        </w:rPr>
        <w:t xml:space="preserve"> </w:t>
      </w:r>
      <w:r w:rsidR="0068261D" w:rsidRPr="0068261D">
        <w:rPr>
          <w:lang w:val="sv-FI"/>
        </w:rPr>
        <w:t>det uppstår utvecklingsmöjligheter</w:t>
      </w:r>
      <w:r w:rsidR="0068261D">
        <w:rPr>
          <w:lang w:val="sv-FI"/>
        </w:rPr>
        <w:t xml:space="preserve"> </w:t>
      </w:r>
      <w:r w:rsidR="0068261D" w:rsidRPr="0068261D">
        <w:rPr>
          <w:lang w:val="sv-FI"/>
        </w:rPr>
        <w:t xml:space="preserve">inom de flesta områden. </w:t>
      </w:r>
      <w:r w:rsidR="00583180">
        <w:rPr>
          <w:lang w:val="sv-FI"/>
        </w:rPr>
        <w:t>Även om</w:t>
      </w:r>
      <w:r w:rsidR="00583180" w:rsidRPr="00583180">
        <w:t xml:space="preserve"> </w:t>
      </w:r>
      <w:r w:rsidR="00583180" w:rsidRPr="00583180">
        <w:rPr>
          <w:lang w:val="sv-FI"/>
        </w:rPr>
        <w:t xml:space="preserve">de grundläggande principerna för vad som är god förvaltning </w:t>
      </w:r>
      <w:r w:rsidR="00583180">
        <w:rPr>
          <w:lang w:val="sv-FI"/>
        </w:rPr>
        <w:t xml:space="preserve">inte </w:t>
      </w:r>
      <w:r w:rsidR="00583180" w:rsidRPr="00583180">
        <w:rPr>
          <w:lang w:val="sv-FI"/>
        </w:rPr>
        <w:t xml:space="preserve">förändras </w:t>
      </w:r>
      <w:r w:rsidR="00583180">
        <w:rPr>
          <w:lang w:val="sv-FI"/>
        </w:rPr>
        <w:t>så påverkar d</w:t>
      </w:r>
      <w:r w:rsidR="0068261D">
        <w:rPr>
          <w:lang w:val="sv-FI"/>
        </w:rPr>
        <w:t>igitaliseringen också den offentliga förvaltningen</w:t>
      </w:r>
      <w:r w:rsidR="00583180">
        <w:rPr>
          <w:lang w:val="sv-FI"/>
        </w:rPr>
        <w:t xml:space="preserve">. Den miljö inom vilken </w:t>
      </w:r>
      <w:r w:rsidR="00C32193">
        <w:rPr>
          <w:lang w:val="sv-FI"/>
        </w:rPr>
        <w:t>myndigheterna</w:t>
      </w:r>
      <w:r w:rsidR="00583180">
        <w:rPr>
          <w:lang w:val="sv-FI"/>
        </w:rPr>
        <w:t xml:space="preserve"> fungerar </w:t>
      </w:r>
      <w:r w:rsidR="00B209D8">
        <w:rPr>
          <w:lang w:val="sv-FI"/>
        </w:rPr>
        <w:t xml:space="preserve">förändras </w:t>
      </w:r>
      <w:r w:rsidR="00583180">
        <w:rPr>
          <w:lang w:val="sv-FI"/>
        </w:rPr>
        <w:t xml:space="preserve">på väsentliga sätt, t.ex. </w:t>
      </w:r>
      <w:r w:rsidR="00C948BD">
        <w:rPr>
          <w:lang w:val="sv-FI"/>
        </w:rPr>
        <w:t xml:space="preserve">så att </w:t>
      </w:r>
      <w:r w:rsidR="00C32193">
        <w:rPr>
          <w:lang w:val="sv-FI"/>
        </w:rPr>
        <w:t xml:space="preserve">deras </w:t>
      </w:r>
      <w:r w:rsidR="00583180">
        <w:rPr>
          <w:lang w:val="sv-FI"/>
        </w:rPr>
        <w:t>ärende- och dokumenthantering</w:t>
      </w:r>
      <w:r w:rsidR="00C948BD">
        <w:rPr>
          <w:lang w:val="sv-FI"/>
        </w:rPr>
        <w:t xml:space="preserve"> blir helt eller delvis dig</w:t>
      </w:r>
      <w:r w:rsidR="00C948BD">
        <w:rPr>
          <w:lang w:val="sv-FI"/>
        </w:rPr>
        <w:t>i</w:t>
      </w:r>
      <w:r w:rsidR="00C948BD">
        <w:rPr>
          <w:lang w:val="sv-FI"/>
        </w:rPr>
        <w:t>tal</w:t>
      </w:r>
      <w:r w:rsidR="00583180">
        <w:rPr>
          <w:lang w:val="sv-FI"/>
        </w:rPr>
        <w:t>.</w:t>
      </w:r>
      <w:r w:rsidR="00DA14C9">
        <w:rPr>
          <w:lang w:val="sv-FI"/>
        </w:rPr>
        <w:t xml:space="preserve"> </w:t>
      </w:r>
      <w:r w:rsidR="00D64A76">
        <w:rPr>
          <w:lang w:val="sv-FI"/>
        </w:rPr>
        <w:t xml:space="preserve">Myndigheternas </w:t>
      </w:r>
      <w:r w:rsidR="00D64A76" w:rsidRPr="00D64A76">
        <w:rPr>
          <w:lang w:val="sv-FI"/>
        </w:rPr>
        <w:t xml:space="preserve">webbplatser har blivit </w:t>
      </w:r>
      <w:r w:rsidR="00D64A76">
        <w:rPr>
          <w:lang w:val="sv-FI"/>
        </w:rPr>
        <w:t xml:space="preserve">allt viktigare i förhållande till allmänheten och ofta finns en förväntan om att man </w:t>
      </w:r>
      <w:r w:rsidR="00D64A76">
        <w:t xml:space="preserve">ska kunna </w:t>
      </w:r>
      <w:r w:rsidR="0068261D" w:rsidRPr="0068261D">
        <w:t xml:space="preserve">sköta sina förvaltningsärenden </w:t>
      </w:r>
      <w:r w:rsidR="00FD76DA">
        <w:t>digitalt</w:t>
      </w:r>
      <w:r w:rsidR="0068261D" w:rsidRPr="0068261D">
        <w:t>.</w:t>
      </w:r>
    </w:p>
    <w:p w14:paraId="2A145801" w14:textId="569FCB19" w:rsidR="00FB0C21" w:rsidRPr="003207E5" w:rsidRDefault="00FB0C21" w:rsidP="00F927B6">
      <w:pPr>
        <w:pStyle w:val="ANormal"/>
      </w:pPr>
      <w:r>
        <w:tab/>
      </w:r>
      <w:r w:rsidR="00714269">
        <w:t xml:space="preserve">Det har vidtagits åtgärder både </w:t>
      </w:r>
      <w:proofErr w:type="gramStart"/>
      <w:r w:rsidR="00714269">
        <w:t>på</w:t>
      </w:r>
      <w:proofErr w:type="gramEnd"/>
      <w:r w:rsidR="00714269">
        <w:t xml:space="preserve"> lokal, nationell och internationell nivå </w:t>
      </w:r>
      <w:r w:rsidR="00D130D8">
        <w:rPr>
          <w:lang w:val="sv-FI"/>
        </w:rPr>
        <w:t xml:space="preserve">för att </w:t>
      </w:r>
      <w:r w:rsidR="003207E5">
        <w:rPr>
          <w:lang w:val="sv-FI"/>
        </w:rPr>
        <w:t>digitalisera myndigheternas verksamhet.</w:t>
      </w:r>
      <w:r w:rsidR="00E46A94" w:rsidRPr="00E46A94">
        <w:rPr>
          <w:vertAlign w:val="superscript"/>
        </w:rPr>
        <w:footnoteReference w:id="1"/>
      </w:r>
      <w:r w:rsidR="00D130D8">
        <w:t xml:space="preserve"> </w:t>
      </w:r>
      <w:r w:rsidR="003207E5">
        <w:t>Det sker också en digital</w:t>
      </w:r>
      <w:r w:rsidR="003207E5">
        <w:t>i</w:t>
      </w:r>
      <w:r w:rsidR="003207E5">
        <w:t xml:space="preserve">sering av </w:t>
      </w:r>
      <w:r w:rsidR="009A0D2C" w:rsidRPr="009A0D2C">
        <w:t xml:space="preserve">den offentliga förvaltningen </w:t>
      </w:r>
      <w:r w:rsidR="003207E5">
        <w:t xml:space="preserve">på Åland </w:t>
      </w:r>
      <w:r w:rsidR="00714269">
        <w:t xml:space="preserve">och </w:t>
      </w:r>
      <w:r w:rsidR="003B6E7B">
        <w:t xml:space="preserve">landskapsregeringen </w:t>
      </w:r>
      <w:r w:rsidR="00714269">
        <w:t xml:space="preserve">har 2012 antagit en </w:t>
      </w:r>
      <w:r w:rsidR="009A0D2C" w:rsidRPr="009A0D2C">
        <w:t>digital agenda för Åland</w:t>
      </w:r>
      <w:r w:rsidR="003B6E7B">
        <w:t xml:space="preserve">. </w:t>
      </w:r>
      <w:r w:rsidR="009A0D2C" w:rsidRPr="009A0D2C">
        <w:t xml:space="preserve">De åländska myndigheterna förutsätts inom en överskådlig framtid kunna erbjuda sina tjänster </w:t>
      </w:r>
      <w:r>
        <w:t xml:space="preserve">digitalt </w:t>
      </w:r>
      <w:r w:rsidR="009A0D2C" w:rsidRPr="009A0D2C">
        <w:t>åt allmänheten.</w:t>
      </w:r>
      <w:r w:rsidR="009A0D2C" w:rsidRPr="009A0D2C">
        <w:rPr>
          <w:lang w:eastAsia="sv-FI"/>
        </w:rPr>
        <w:t xml:space="preserve"> </w:t>
      </w:r>
      <w:r w:rsidR="0044358F">
        <w:t xml:space="preserve">Eftersom myndigheternas verksamhet riktar sig till samhället i sin helhet måste myndigheternas digitala lösningar vara </w:t>
      </w:r>
      <w:r>
        <w:t xml:space="preserve">så </w:t>
      </w:r>
      <w:r w:rsidR="0044358F">
        <w:t xml:space="preserve">tillgängliga </w:t>
      </w:r>
      <w:r>
        <w:t>som möjligt</w:t>
      </w:r>
      <w:r w:rsidR="003207E5">
        <w:t xml:space="preserve"> för användarna</w:t>
      </w:r>
      <w:r w:rsidR="0044358F">
        <w:t xml:space="preserve">. </w:t>
      </w:r>
      <w:r w:rsidR="00693F0F">
        <w:t xml:space="preserve">Myndigheternas webbplatser </w:t>
      </w:r>
      <w:r w:rsidR="00A81ACC">
        <w:t>ska också kunna a</w:t>
      </w:r>
      <w:r w:rsidR="00A81ACC">
        <w:t>n</w:t>
      </w:r>
      <w:r w:rsidR="00A81ACC">
        <w:t xml:space="preserve">vändas av personer med funktionsnedsättning, t.ex. </w:t>
      </w:r>
      <w:r w:rsidR="00C32193">
        <w:t xml:space="preserve">så att det </w:t>
      </w:r>
      <w:r w:rsidR="00A81ACC">
        <w:t xml:space="preserve">finns </w:t>
      </w:r>
      <w:r w:rsidR="00C32193">
        <w:t xml:space="preserve">en </w:t>
      </w:r>
      <w:r w:rsidR="00A81ACC">
        <w:t>up</w:t>
      </w:r>
      <w:r w:rsidR="00A81ACC">
        <w:t>p</w:t>
      </w:r>
      <w:r w:rsidR="00A81ACC">
        <w:t>läsningsfunktion för personer med grava synskador.</w:t>
      </w:r>
    </w:p>
    <w:p w14:paraId="3B6EE4C3" w14:textId="5C279BD9" w:rsidR="00F927B6" w:rsidRPr="00F927B6" w:rsidRDefault="00FB0C21" w:rsidP="00F927B6">
      <w:pPr>
        <w:pStyle w:val="ANormal"/>
      </w:pPr>
      <w:r>
        <w:rPr>
          <w:lang w:val="sv-FI"/>
        </w:rPr>
        <w:tab/>
      </w:r>
      <w:r w:rsidR="00C32193">
        <w:rPr>
          <w:lang w:val="sv-FI"/>
        </w:rPr>
        <w:t xml:space="preserve">Det har redan en längre tid funnits </w:t>
      </w:r>
      <w:r w:rsidR="00020500">
        <w:rPr>
          <w:lang w:val="sv-FI"/>
        </w:rPr>
        <w:t>lagstiftning och internationell regl</w:t>
      </w:r>
      <w:r w:rsidR="00020500">
        <w:rPr>
          <w:lang w:val="sv-FI"/>
        </w:rPr>
        <w:t>e</w:t>
      </w:r>
      <w:r w:rsidR="00020500">
        <w:rPr>
          <w:lang w:val="sv-FI"/>
        </w:rPr>
        <w:t>ring som syftar till att förhindra diskriminering av personer med funktion</w:t>
      </w:r>
      <w:r w:rsidR="00020500">
        <w:rPr>
          <w:lang w:val="sv-FI"/>
        </w:rPr>
        <w:t>s</w:t>
      </w:r>
      <w:r w:rsidR="00020500">
        <w:rPr>
          <w:lang w:val="sv-FI"/>
        </w:rPr>
        <w:t xml:space="preserve">nedsättning. Den tekniska utvecklingen </w:t>
      </w:r>
      <w:r w:rsidR="00C32193">
        <w:rPr>
          <w:lang w:val="sv-FI"/>
        </w:rPr>
        <w:t xml:space="preserve">har </w:t>
      </w:r>
      <w:r w:rsidR="00020500">
        <w:rPr>
          <w:lang w:val="sv-FI"/>
        </w:rPr>
        <w:t>medför</w:t>
      </w:r>
      <w:r w:rsidR="00C32193">
        <w:rPr>
          <w:lang w:val="sv-FI"/>
        </w:rPr>
        <w:t>t</w:t>
      </w:r>
      <w:r w:rsidR="00020500">
        <w:rPr>
          <w:lang w:val="sv-FI"/>
        </w:rPr>
        <w:t xml:space="preserve"> att dessa krav måste </w:t>
      </w:r>
      <w:r w:rsidR="00C32193">
        <w:rPr>
          <w:lang w:val="sv-FI"/>
        </w:rPr>
        <w:t xml:space="preserve">genomföras och </w:t>
      </w:r>
      <w:r w:rsidR="00020500">
        <w:rPr>
          <w:lang w:val="sv-FI"/>
        </w:rPr>
        <w:t>beaktas i</w:t>
      </w:r>
      <w:r w:rsidR="00C32193">
        <w:rPr>
          <w:lang w:val="sv-FI"/>
        </w:rPr>
        <w:t xml:space="preserve"> </w:t>
      </w:r>
      <w:r w:rsidR="00020500">
        <w:rPr>
          <w:lang w:val="sv-FI"/>
        </w:rPr>
        <w:t>den digitala miljön</w:t>
      </w:r>
      <w:r w:rsidR="00D64A76">
        <w:rPr>
          <w:lang w:val="sv-FI"/>
        </w:rPr>
        <w:t xml:space="preserve">. </w:t>
      </w:r>
      <w:r w:rsidR="00020500">
        <w:rPr>
          <w:lang w:val="sv-FI"/>
        </w:rPr>
        <w:t xml:space="preserve">Inom EU trädde </w:t>
      </w:r>
      <w:r w:rsidR="00A81ACC">
        <w:rPr>
          <w:lang w:val="sv-FI"/>
        </w:rPr>
        <w:t>tillgängli</w:t>
      </w:r>
      <w:r w:rsidR="00A81ACC">
        <w:rPr>
          <w:lang w:val="sv-FI"/>
        </w:rPr>
        <w:t>g</w:t>
      </w:r>
      <w:r w:rsidR="00A81ACC">
        <w:rPr>
          <w:lang w:val="sv-FI"/>
        </w:rPr>
        <w:t xml:space="preserve">hetsdirektivet </w:t>
      </w:r>
      <w:r w:rsidR="00020500" w:rsidRPr="00020500">
        <w:rPr>
          <w:lang w:val="sv-FI"/>
        </w:rPr>
        <w:t>i kraft den 22 december 2016</w:t>
      </w:r>
      <w:r w:rsidR="00020500">
        <w:rPr>
          <w:lang w:val="sv-FI"/>
        </w:rPr>
        <w:t xml:space="preserve">. Direktivet ska vara genomfört inom medlemsstaterna </w:t>
      </w:r>
      <w:r w:rsidR="00020500" w:rsidRPr="00020500">
        <w:rPr>
          <w:lang w:val="sv-FI"/>
        </w:rPr>
        <w:t>senast den 23 september 2018</w:t>
      </w:r>
      <w:r w:rsidR="00020500">
        <w:rPr>
          <w:lang w:val="sv-FI"/>
        </w:rPr>
        <w:t xml:space="preserve">. </w:t>
      </w:r>
      <w:r w:rsidR="00A81ACC">
        <w:rPr>
          <w:lang w:val="sv-FI"/>
        </w:rPr>
        <w:t>D</w:t>
      </w:r>
      <w:r w:rsidR="005D797A">
        <w:rPr>
          <w:lang w:val="sv-FI"/>
        </w:rPr>
        <w:t xml:space="preserve">irektivet </w:t>
      </w:r>
      <w:r w:rsidR="00A81ACC">
        <w:rPr>
          <w:lang w:val="sv-FI"/>
        </w:rPr>
        <w:t xml:space="preserve">syftar </w:t>
      </w:r>
      <w:r w:rsidR="005D797A">
        <w:rPr>
          <w:lang w:val="sv-FI"/>
        </w:rPr>
        <w:t xml:space="preserve">till att </w:t>
      </w:r>
      <w:r w:rsidR="00A81ACC">
        <w:rPr>
          <w:lang w:val="sv-FI"/>
        </w:rPr>
        <w:t xml:space="preserve">myndigheternas </w:t>
      </w:r>
      <w:r w:rsidR="005D797A">
        <w:rPr>
          <w:lang w:val="sv-FI"/>
        </w:rPr>
        <w:t xml:space="preserve">webbplatser och mobila applikationer </w:t>
      </w:r>
      <w:r w:rsidR="00020500" w:rsidRPr="00020500">
        <w:rPr>
          <w:lang w:val="sv-FI"/>
        </w:rPr>
        <w:t>planeras så att alla användargrupper kan använda dem utan tilläggsutrustning</w:t>
      </w:r>
      <w:r w:rsidR="005D797A">
        <w:rPr>
          <w:lang w:val="sv-FI"/>
        </w:rPr>
        <w:t xml:space="preserve"> </w:t>
      </w:r>
      <w:r w:rsidR="00020500" w:rsidRPr="00020500">
        <w:rPr>
          <w:lang w:val="sv-FI"/>
        </w:rPr>
        <w:t>eller hjäl</w:t>
      </w:r>
      <w:r w:rsidR="00020500" w:rsidRPr="00020500">
        <w:rPr>
          <w:lang w:val="sv-FI"/>
        </w:rPr>
        <w:t>p</w:t>
      </w:r>
      <w:r w:rsidR="00020500" w:rsidRPr="00020500">
        <w:rPr>
          <w:lang w:val="sv-FI"/>
        </w:rPr>
        <w:t>anordningar.</w:t>
      </w:r>
      <w:r w:rsidR="00A81ACC">
        <w:rPr>
          <w:lang w:val="sv-FI"/>
        </w:rPr>
        <w:t xml:space="preserve"> Lagförslaget </w:t>
      </w:r>
      <w:r w:rsidR="00A81ACC">
        <w:t xml:space="preserve">innehåller </w:t>
      </w:r>
      <w:r w:rsidR="005D797A">
        <w:t>landskapsregeringen</w:t>
      </w:r>
      <w:r w:rsidR="00A81ACC">
        <w:t>s förslag till</w:t>
      </w:r>
      <w:r w:rsidR="005D797A">
        <w:t xml:space="preserve"> </w:t>
      </w:r>
      <w:r w:rsidR="0014798E">
        <w:t>lan</w:t>
      </w:r>
      <w:r w:rsidR="0014798E">
        <w:t>d</w:t>
      </w:r>
      <w:r w:rsidR="0014798E">
        <w:t xml:space="preserve">skapslagstiftning som </w:t>
      </w:r>
      <w:r w:rsidR="005D797A">
        <w:t xml:space="preserve">ska </w:t>
      </w:r>
      <w:r w:rsidR="0014798E">
        <w:t>genomför</w:t>
      </w:r>
      <w:r w:rsidR="005D797A">
        <w:t>a</w:t>
      </w:r>
      <w:r w:rsidR="0014798E">
        <w:t xml:space="preserve"> </w:t>
      </w:r>
      <w:r w:rsidR="005D797A">
        <w:t>tillgänglighetsdirektivet.</w:t>
      </w:r>
    </w:p>
    <w:p w14:paraId="5C5D34AF" w14:textId="77777777" w:rsidR="00D926A4" w:rsidRDefault="00D926A4" w:rsidP="002F030A">
      <w:pPr>
        <w:pStyle w:val="ANormal"/>
      </w:pPr>
    </w:p>
    <w:p w14:paraId="4329889C" w14:textId="7692B9CE" w:rsidR="009A0B81" w:rsidRDefault="00403189" w:rsidP="00771C32">
      <w:pPr>
        <w:pStyle w:val="RubrikC"/>
      </w:pPr>
      <w:bookmarkStart w:id="7" w:name="_Toc524530387"/>
      <w:r>
        <w:t>1.</w:t>
      </w:r>
      <w:r w:rsidR="00D926A4">
        <w:t>2</w:t>
      </w:r>
      <w:r>
        <w:t xml:space="preserve"> </w:t>
      </w:r>
      <w:r w:rsidR="00DA14C9">
        <w:t>K</w:t>
      </w:r>
      <w:r w:rsidR="000747A8" w:rsidRPr="000747A8">
        <w:t>onvention om rättigheter för personer med funktionsnedsättning</w:t>
      </w:r>
      <w:bookmarkEnd w:id="7"/>
    </w:p>
    <w:p w14:paraId="5AE3C72D" w14:textId="77777777" w:rsidR="006B09BE" w:rsidRPr="006B09BE" w:rsidRDefault="006B09BE" w:rsidP="006B09BE">
      <w:pPr>
        <w:pStyle w:val="Rubrikmellanrum"/>
      </w:pPr>
    </w:p>
    <w:p w14:paraId="31F0DF81" w14:textId="7119E735" w:rsidR="00B6773F" w:rsidRDefault="006B1D29" w:rsidP="006B09BE">
      <w:pPr>
        <w:pStyle w:val="ANormal"/>
      </w:pPr>
      <w:r w:rsidRPr="006B1D29">
        <w:t>FN:s konvention om rättigheter för personer med funktionsnedsättning ska främja, skydda och säkerställa mänskliga rättigheter och grundläggande fr</w:t>
      </w:r>
      <w:r w:rsidRPr="006B1D29">
        <w:t>i</w:t>
      </w:r>
      <w:r w:rsidRPr="006B1D29">
        <w:t xml:space="preserve">heter för personer med funktionsnedsättning. </w:t>
      </w:r>
      <w:r w:rsidR="00B6773F">
        <w:t>P</w:t>
      </w:r>
      <w:r w:rsidRPr="006B1D29">
        <w:t>ersoner med funktionsne</w:t>
      </w:r>
      <w:r w:rsidRPr="006B1D29">
        <w:t>d</w:t>
      </w:r>
      <w:r w:rsidRPr="006B1D29">
        <w:t xml:space="preserve">sättning </w:t>
      </w:r>
      <w:r w:rsidR="00B6773F">
        <w:t xml:space="preserve">avser i konventionens mening </w:t>
      </w:r>
      <w:r w:rsidRPr="006B1D29">
        <w:t>bl.a. personer med varaktiga fysiska, psykiska, intellektuella eller sensoriska funktionsnedsättningar</w:t>
      </w:r>
      <w:r w:rsidR="00B6773F">
        <w:t xml:space="preserve">. Enligt </w:t>
      </w:r>
      <w:r w:rsidR="006B09BE">
        <w:t>ko</w:t>
      </w:r>
      <w:r w:rsidR="006B09BE">
        <w:t>n</w:t>
      </w:r>
      <w:r w:rsidR="006B09BE">
        <w:t xml:space="preserve">ventionen </w:t>
      </w:r>
      <w:r w:rsidR="00B6773F">
        <w:t xml:space="preserve">ska </w:t>
      </w:r>
      <w:r w:rsidR="006B09BE">
        <w:t>konventionsstaterna vidta ändamålsenliga åtgärder för att s</w:t>
      </w:r>
      <w:r w:rsidR="006B09BE">
        <w:t>ä</w:t>
      </w:r>
      <w:r w:rsidR="006B09BE">
        <w:t xml:space="preserve">kerställa att personer med funktionsnedsättning, på lika villkor som andra, får tillgång till </w:t>
      </w:r>
      <w:r w:rsidR="00B6773F">
        <w:t xml:space="preserve">bl.a. </w:t>
      </w:r>
      <w:r w:rsidR="006B09BE">
        <w:t>den fysiska miljö</w:t>
      </w:r>
      <w:r w:rsidR="00B6773F">
        <w:t>n</w:t>
      </w:r>
      <w:r w:rsidR="006B09BE">
        <w:t>, transporter</w:t>
      </w:r>
      <w:r w:rsidR="00B6773F" w:rsidRPr="00B6773F">
        <w:t xml:space="preserve"> samt till anläggningar och tjänster som är tillgängliga för eller erbjuds allmänheten</w:t>
      </w:r>
      <w:r w:rsidR="00B6773F">
        <w:t>.</w:t>
      </w:r>
    </w:p>
    <w:p w14:paraId="7FF6810A" w14:textId="6E6F0B7D" w:rsidR="00B6773F" w:rsidRDefault="00B6773F" w:rsidP="006B09BE">
      <w:pPr>
        <w:pStyle w:val="ANormal"/>
      </w:pPr>
      <w:r>
        <w:tab/>
        <w:t xml:space="preserve">Konventionsstaternas skyldigheter gäller också tillgång på lika villkor till </w:t>
      </w:r>
      <w:r w:rsidR="006B09BE">
        <w:t>information och kommunikation, innefattande informations-</w:t>
      </w:r>
      <w:r w:rsidR="00937E92">
        <w:t xml:space="preserve"> </w:t>
      </w:r>
      <w:r w:rsidR="006B09BE">
        <w:t>och ko</w:t>
      </w:r>
      <w:r w:rsidR="006B09BE">
        <w:t>m</w:t>
      </w:r>
      <w:r w:rsidR="006B09BE">
        <w:t>munikationsteknik och system</w:t>
      </w:r>
      <w:r>
        <w:t>. Konventionsstaterna ska vidta ändamålse</w:t>
      </w:r>
      <w:r>
        <w:t>n</w:t>
      </w:r>
      <w:r>
        <w:t xml:space="preserve">liga </w:t>
      </w:r>
      <w:r w:rsidRPr="00B6773F">
        <w:t>åtgärder som innefatta</w:t>
      </w:r>
      <w:r>
        <w:t>r</w:t>
      </w:r>
      <w:r w:rsidRPr="00B6773F">
        <w:t xml:space="preserve"> identifiering och undanröjande av hinder och barriärer mot tillgänglighet</w:t>
      </w:r>
      <w:r>
        <w:t xml:space="preserve"> som bl.a. gäller </w:t>
      </w:r>
      <w:r w:rsidRPr="00B6773F">
        <w:t>elektronisk service</w:t>
      </w:r>
      <w:r>
        <w:t xml:space="preserve">. </w:t>
      </w:r>
      <w:r w:rsidR="00A11544">
        <w:t>Av ko</w:t>
      </w:r>
      <w:r w:rsidR="00A11544">
        <w:t>n</w:t>
      </w:r>
      <w:r w:rsidR="00A11544">
        <w:lastRenderedPageBreak/>
        <w:t xml:space="preserve">ventionen följer också att konventionsstaterna </w:t>
      </w:r>
      <w:r w:rsidR="00A11544" w:rsidRPr="00A11544">
        <w:t>ska vidta ändamålsenliga å</w:t>
      </w:r>
      <w:r w:rsidR="00A11544" w:rsidRPr="00A11544">
        <w:t>t</w:t>
      </w:r>
      <w:r w:rsidR="00A11544" w:rsidRPr="00A11544">
        <w:t>gärder för att främja personer med funktionsnedsättning tillgång till ny i</w:t>
      </w:r>
      <w:r w:rsidR="00A11544" w:rsidRPr="00A11544">
        <w:t>n</w:t>
      </w:r>
      <w:r w:rsidR="00A11544" w:rsidRPr="00A11544">
        <w:t>formations- och kommunikationsteknik och nya system</w:t>
      </w:r>
      <w:r w:rsidR="00A11544">
        <w:t>. Konventionsst</w:t>
      </w:r>
      <w:r w:rsidR="00A11544">
        <w:t>a</w:t>
      </w:r>
      <w:r w:rsidR="00A11544">
        <w:t xml:space="preserve">terna ska </w:t>
      </w:r>
      <w:r w:rsidR="00A11544" w:rsidRPr="00A11544">
        <w:t>främja utformning, utveckling, tillverkning och distribution av tillgänglig informations- och kommunikationsteknologi och system på ett tidigt stadium, så att dessa blir tillgängliga till lägsta möjliga kostnad.</w:t>
      </w:r>
    </w:p>
    <w:p w14:paraId="17ACE955" w14:textId="0717BC4B" w:rsidR="00B43562" w:rsidRDefault="006B1D29" w:rsidP="006B1D29">
      <w:pPr>
        <w:pStyle w:val="ANormal"/>
      </w:pPr>
      <w:r>
        <w:tab/>
      </w:r>
      <w:r w:rsidRPr="006B1D29">
        <w:t>FN:s generalförsamling godkände konventionen och det fakultativa pr</w:t>
      </w:r>
      <w:r w:rsidRPr="006B1D29">
        <w:t>o</w:t>
      </w:r>
      <w:r w:rsidRPr="006B1D29">
        <w:t>tokollet till konventionen i december 2006</w:t>
      </w:r>
      <w:r w:rsidR="00A11544">
        <w:t>. Konventionen och protokollet</w:t>
      </w:r>
      <w:r w:rsidRPr="006B1D29">
        <w:t xml:space="preserve"> trädde i kraft internationellt i maj 2008. År 2015 antog riksdagen </w:t>
      </w:r>
      <w:r w:rsidR="00A11544">
        <w:t xml:space="preserve">en </w:t>
      </w:r>
      <w:r w:rsidRPr="006B1D29">
        <w:t xml:space="preserve">lag om </w:t>
      </w:r>
      <w:r w:rsidR="00A11544">
        <w:t xml:space="preserve">sättandet i kraft </w:t>
      </w:r>
      <w:r w:rsidRPr="006B1D29">
        <w:t>av konventionen och det fakultativa protokollet.</w:t>
      </w:r>
      <w:r w:rsidRPr="006B1D29">
        <w:rPr>
          <w:vertAlign w:val="superscript"/>
        </w:rPr>
        <w:footnoteReference w:id="2"/>
      </w:r>
      <w:r w:rsidRPr="006B1D29">
        <w:t xml:space="preserve"> Lagtinget gav den 27 maj 2015 sitt bifall till att lag</w:t>
      </w:r>
      <w:r w:rsidR="00A11544">
        <w:t>en</w:t>
      </w:r>
      <w:r w:rsidRPr="006B1D29">
        <w:t xml:space="preserve"> träder i kraft </w:t>
      </w:r>
      <w:r w:rsidR="005D797A">
        <w:t xml:space="preserve">på </w:t>
      </w:r>
      <w:r w:rsidRPr="006B1D29">
        <w:t xml:space="preserve">Åland till de delar konventionen och dess fakultativa protokoll faller inom landskapets behörighet. </w:t>
      </w:r>
      <w:r w:rsidR="00185953">
        <w:t>Detta medför att konventionen och protokollet också ska ti</w:t>
      </w:r>
      <w:r w:rsidR="00185953">
        <w:t>l</w:t>
      </w:r>
      <w:r w:rsidR="00185953">
        <w:t>lämpas inom landskapets lagstiftningsbehörighet</w:t>
      </w:r>
      <w:r w:rsidR="003C5938">
        <w:t xml:space="preserve"> och att konventionen ska beaktas då tillgänglighetsdirektivet genomförs i landskapslagstiftningen. </w:t>
      </w:r>
      <w:r w:rsidRPr="006B1D29">
        <w:t>Konventionen och protokollet trädde i kraft i Finland och på Åland den 10 juni 2016.</w:t>
      </w:r>
    </w:p>
    <w:p w14:paraId="2704A6C6" w14:textId="4F3F75D8" w:rsidR="00DA12D5" w:rsidRPr="006B1D29" w:rsidRDefault="00B43562" w:rsidP="006B1D29">
      <w:pPr>
        <w:pStyle w:val="ANormal"/>
      </w:pPr>
      <w:r>
        <w:tab/>
      </w:r>
      <w:r w:rsidR="006B1D29" w:rsidRPr="006B1D29">
        <w:t xml:space="preserve"> </w:t>
      </w:r>
      <w:r w:rsidR="00DA12D5" w:rsidRPr="00DA12D5">
        <w:t>E</w:t>
      </w:r>
      <w:r w:rsidR="00B541AC">
        <w:t>uropeiska unionen</w:t>
      </w:r>
      <w:r w:rsidR="00DA12D5" w:rsidRPr="00DA12D5">
        <w:t xml:space="preserve"> ratificerade konvention</w:t>
      </w:r>
      <w:r w:rsidR="00AF43CD">
        <w:t>en</w:t>
      </w:r>
      <w:r w:rsidR="00DA12D5" w:rsidRPr="00DA12D5">
        <w:t xml:space="preserve"> den 23 december 2010</w:t>
      </w:r>
      <w:r w:rsidR="00AF43CD">
        <w:t xml:space="preserve"> vilket</w:t>
      </w:r>
      <w:r w:rsidR="00DA12D5" w:rsidRPr="00DA12D5">
        <w:t xml:space="preserve"> innebär att alla institutioner inom </w:t>
      </w:r>
      <w:r w:rsidR="00B541AC">
        <w:t>EU</w:t>
      </w:r>
      <w:r w:rsidR="00DA12D5" w:rsidRPr="00DA12D5">
        <w:t xml:space="preserve"> ska följa konventionens b</w:t>
      </w:r>
      <w:r w:rsidR="00DA12D5" w:rsidRPr="00DA12D5">
        <w:t>e</w:t>
      </w:r>
      <w:r w:rsidR="00DA12D5" w:rsidRPr="00DA12D5">
        <w:t>stämmelser och principer. Det innebär också att EU ska arbeta för att ko</w:t>
      </w:r>
      <w:r w:rsidR="00DA12D5" w:rsidRPr="00DA12D5">
        <w:t>n</w:t>
      </w:r>
      <w:r w:rsidR="00DA12D5" w:rsidRPr="00DA12D5">
        <w:t>ventionen förverkligas</w:t>
      </w:r>
      <w:r w:rsidR="00B541AC">
        <w:t xml:space="preserve"> inom unionens behörighet</w:t>
      </w:r>
      <w:r w:rsidR="00AF43CD">
        <w:t xml:space="preserve">, t.ex. </w:t>
      </w:r>
      <w:r w:rsidR="00DA12D5" w:rsidRPr="00DA12D5">
        <w:t>måste de föror</w:t>
      </w:r>
      <w:r w:rsidR="00DA12D5" w:rsidRPr="00DA12D5">
        <w:t>d</w:t>
      </w:r>
      <w:r w:rsidR="00DA12D5" w:rsidRPr="00DA12D5">
        <w:t>ningar och direktiv som utarbetas följa konventionen och syfta till att rä</w:t>
      </w:r>
      <w:r w:rsidR="00DA12D5" w:rsidRPr="00DA12D5">
        <w:t>t</w:t>
      </w:r>
      <w:r w:rsidR="00DA12D5" w:rsidRPr="00DA12D5">
        <w:t>tigheterna förverkligas.</w:t>
      </w:r>
      <w:r w:rsidR="000747A8" w:rsidRPr="000747A8">
        <w:t xml:space="preserve"> </w:t>
      </w:r>
      <w:r w:rsidR="005D797A">
        <w:t>Tillgänglighetsdirektivet knyter nära an till ko</w:t>
      </w:r>
      <w:r w:rsidR="005D797A">
        <w:t>n</w:t>
      </w:r>
      <w:r w:rsidR="005D797A">
        <w:t xml:space="preserve">ventionen och direktivet kan sägas konkretisera mera allmänna principer i konventionen. I </w:t>
      </w:r>
      <w:r w:rsidR="00724249">
        <w:t xml:space="preserve">direktivets ingress hänvisas till att också </w:t>
      </w:r>
      <w:r w:rsidR="00C3165B">
        <w:t>EU</w:t>
      </w:r>
      <w:r w:rsidR="00724249">
        <w:t xml:space="preserve"> har </w:t>
      </w:r>
      <w:r w:rsidR="00724249" w:rsidRPr="00724249">
        <w:t xml:space="preserve">åtagit sig att vidta ändamålsenliga åtgärder för att säkerställa tillgänglighet </w:t>
      </w:r>
      <w:r w:rsidR="00724249">
        <w:t>enligt konventionens bestämmelser.</w:t>
      </w:r>
    </w:p>
    <w:p w14:paraId="61D91F2E" w14:textId="77777777" w:rsidR="00D926A4" w:rsidRDefault="00D926A4" w:rsidP="00D926A4">
      <w:pPr>
        <w:pStyle w:val="ANormal"/>
      </w:pPr>
    </w:p>
    <w:p w14:paraId="618E230B" w14:textId="65A0F6CF" w:rsidR="00D926A4" w:rsidRDefault="00D926A4" w:rsidP="00771C32">
      <w:pPr>
        <w:pStyle w:val="RubrikC"/>
      </w:pPr>
      <w:bookmarkStart w:id="8" w:name="_Toc524530388"/>
      <w:r>
        <w:t>1.3 Gällande lagstiftning</w:t>
      </w:r>
      <w:r w:rsidR="00C169EE">
        <w:t xml:space="preserve"> på Åland</w:t>
      </w:r>
      <w:bookmarkEnd w:id="8"/>
    </w:p>
    <w:p w14:paraId="24E33616" w14:textId="77777777" w:rsidR="00D926A4" w:rsidRDefault="00D926A4" w:rsidP="00D926A4">
      <w:pPr>
        <w:pStyle w:val="Rubrikmellanrum"/>
      </w:pPr>
    </w:p>
    <w:p w14:paraId="01BA11ED" w14:textId="4D1C44E8" w:rsidR="00E526A1" w:rsidRDefault="00E72281" w:rsidP="00771C32">
      <w:pPr>
        <w:pStyle w:val="RubrikD"/>
      </w:pPr>
      <w:r>
        <w:t xml:space="preserve">1.3.1 </w:t>
      </w:r>
      <w:r w:rsidR="00C169EE">
        <w:t>Den åländska f</w:t>
      </w:r>
      <w:r w:rsidR="00E526A1">
        <w:t>örvaltningslagen</w:t>
      </w:r>
    </w:p>
    <w:p w14:paraId="46BD50F5" w14:textId="77777777" w:rsidR="00E526A1" w:rsidRPr="00E526A1" w:rsidRDefault="00E526A1" w:rsidP="00E526A1">
      <w:pPr>
        <w:pStyle w:val="Rubrikmellanrum"/>
      </w:pPr>
    </w:p>
    <w:p w14:paraId="4B4CAD7D" w14:textId="5C0D79FC" w:rsidR="00372000" w:rsidRDefault="00B541AC" w:rsidP="00D926A4">
      <w:pPr>
        <w:pStyle w:val="ANormal"/>
      </w:pPr>
      <w:r>
        <w:t>L</w:t>
      </w:r>
      <w:r w:rsidR="005F6B73" w:rsidRPr="005F6B73">
        <w:t>agförslag</w:t>
      </w:r>
      <w:r>
        <w:t>et</w:t>
      </w:r>
      <w:r w:rsidR="005F6B73" w:rsidRPr="005F6B73">
        <w:t xml:space="preserve"> </w:t>
      </w:r>
      <w:r w:rsidR="005F6B73">
        <w:t xml:space="preserve">handlar om hur </w:t>
      </w:r>
      <w:r w:rsidR="005F6B73" w:rsidRPr="005F6B73">
        <w:t>tillgänglighetsdirektiv</w:t>
      </w:r>
      <w:r>
        <w:t>et</w:t>
      </w:r>
      <w:r w:rsidR="005F6B73">
        <w:t xml:space="preserve"> ska genomföras i</w:t>
      </w:r>
      <w:r>
        <w:t>nom landskapets lagstiftningsbehörighet</w:t>
      </w:r>
      <w:r w:rsidR="0028157A">
        <w:t>. D</w:t>
      </w:r>
      <w:r w:rsidR="005F6B73">
        <w:t xml:space="preserve">irektivet ställer olika </w:t>
      </w:r>
      <w:r w:rsidR="00094136">
        <w:t>tillgänglighet</w:t>
      </w:r>
      <w:r w:rsidR="00094136">
        <w:t>s</w:t>
      </w:r>
      <w:r w:rsidR="005F6B73">
        <w:t xml:space="preserve">krav </w:t>
      </w:r>
      <w:r w:rsidR="00094136">
        <w:t xml:space="preserve">i förhållande till </w:t>
      </w:r>
      <w:r w:rsidR="005F6B73">
        <w:t xml:space="preserve">myndigheternas </w:t>
      </w:r>
      <w:r w:rsidR="00E46FA0">
        <w:t>webbplatser och mobila applikatio</w:t>
      </w:r>
      <w:r w:rsidR="00E46FA0">
        <w:t>n</w:t>
      </w:r>
      <w:r w:rsidR="00E46FA0">
        <w:t>er</w:t>
      </w:r>
      <w:r w:rsidR="005F6B73">
        <w:t xml:space="preserve">. </w:t>
      </w:r>
      <w:r w:rsidR="0028157A">
        <w:t xml:space="preserve">I dagsläget finns inte någon särskild landskapslag om </w:t>
      </w:r>
      <w:r w:rsidR="005F6B73" w:rsidRPr="005F6B73">
        <w:t>myndigheternas digitala tjänster och deras tillgänglighet</w:t>
      </w:r>
      <w:r w:rsidR="00C169EE">
        <w:t xml:space="preserve"> inom landskaps- och kommuna</w:t>
      </w:r>
      <w:r w:rsidR="00C169EE">
        <w:t>l</w:t>
      </w:r>
      <w:r w:rsidR="00C169EE">
        <w:t>förvaltningen</w:t>
      </w:r>
      <w:r w:rsidR="00E46FA0">
        <w:t xml:space="preserve">. Dock finns i </w:t>
      </w:r>
      <w:r w:rsidR="0028157A">
        <w:t xml:space="preserve">flera landskapslagar </w:t>
      </w:r>
      <w:r w:rsidR="00E46FA0">
        <w:t xml:space="preserve">bestämmelser </w:t>
      </w:r>
      <w:r w:rsidR="0028157A">
        <w:t>som är rel</w:t>
      </w:r>
      <w:r w:rsidR="0028157A">
        <w:t>e</w:t>
      </w:r>
      <w:r w:rsidR="0028157A">
        <w:t>vanta i sammanhanget</w:t>
      </w:r>
      <w:r w:rsidR="00E46FA0">
        <w:t>, t.ex. finns i</w:t>
      </w:r>
      <w:r w:rsidR="00005904">
        <w:t xml:space="preserve"> förvaltningslagen (2008:9) för lan</w:t>
      </w:r>
      <w:r w:rsidR="00005904">
        <w:t>d</w:t>
      </w:r>
      <w:r w:rsidR="00005904">
        <w:t>skapet Åland</w:t>
      </w:r>
      <w:r>
        <w:t xml:space="preserve"> </w:t>
      </w:r>
      <w:r w:rsidRPr="00B541AC">
        <w:t>särskilda bestämmelser om myndigheternas digitala ärend</w:t>
      </w:r>
      <w:r w:rsidRPr="00B541AC">
        <w:t>e</w:t>
      </w:r>
      <w:r w:rsidRPr="00B541AC">
        <w:t>hantering</w:t>
      </w:r>
      <w:r w:rsidR="00005904">
        <w:t xml:space="preserve">. </w:t>
      </w:r>
      <w:r w:rsidR="00E46FA0">
        <w:t>Bland annat ger f</w:t>
      </w:r>
      <w:r w:rsidR="005F3477">
        <w:t xml:space="preserve">örvaltningslagen rätt för enskilda att </w:t>
      </w:r>
      <w:r w:rsidR="003E6B04" w:rsidRPr="003E6B04">
        <w:t xml:space="preserve">kontakta myndigheterna </w:t>
      </w:r>
      <w:r w:rsidR="005F3477">
        <w:t xml:space="preserve">inom landskaps- och kommunalförvaltningen </w:t>
      </w:r>
      <w:r w:rsidR="003E6B04" w:rsidRPr="003E6B04">
        <w:t>med hjälp av elektronisk post</w:t>
      </w:r>
      <w:r w:rsidR="008B2714">
        <w:t xml:space="preserve"> och </w:t>
      </w:r>
      <w:r w:rsidR="005F3477">
        <w:t xml:space="preserve">att </w:t>
      </w:r>
      <w:r w:rsidR="008B2714">
        <w:t>inleda ett förvaltningsärende med elektronisk post</w:t>
      </w:r>
      <w:r w:rsidR="003E6B04" w:rsidRPr="003E6B04">
        <w:t>.</w:t>
      </w:r>
    </w:p>
    <w:p w14:paraId="15C125D6" w14:textId="22D1A9BD" w:rsidR="00632F2D" w:rsidRDefault="00372000" w:rsidP="00D926A4">
      <w:pPr>
        <w:pStyle w:val="ANormal"/>
      </w:pPr>
      <w:r>
        <w:tab/>
      </w:r>
      <w:r w:rsidR="00005904">
        <w:t xml:space="preserve">Ur förvaltningslagen framgår också mera allmänna förvaltningsrättsliga principer som </w:t>
      </w:r>
      <w:r w:rsidR="00E46FA0">
        <w:t xml:space="preserve">är relevanta då </w:t>
      </w:r>
      <w:r w:rsidR="00005904">
        <w:t xml:space="preserve">myndigheterna ordnar </w:t>
      </w:r>
      <w:r w:rsidR="008B2714">
        <w:t xml:space="preserve">sina </w:t>
      </w:r>
      <w:r w:rsidR="00005904">
        <w:t xml:space="preserve">digitala tjänster i förhållande till allmänheten och förvaltningens kunder. </w:t>
      </w:r>
      <w:r w:rsidR="00E46FA0">
        <w:t>Förvaltningslagens k</w:t>
      </w:r>
      <w:r w:rsidR="00005904">
        <w:t xml:space="preserve">rav på myndigheternas öppenhet och allmänna serviceskyldighet </w:t>
      </w:r>
      <w:r w:rsidR="00E46FA0">
        <w:t xml:space="preserve">ska också beaktas då myndigheterna planerar och </w:t>
      </w:r>
      <w:r w:rsidR="00005904">
        <w:t>utforma</w:t>
      </w:r>
      <w:r w:rsidR="00E46FA0">
        <w:t>r sina webbplatser</w:t>
      </w:r>
      <w:r w:rsidR="00005904">
        <w:t xml:space="preserve"> </w:t>
      </w:r>
      <w:r w:rsidR="00E46FA0">
        <w:t>och mobila applikationer.</w:t>
      </w:r>
      <w:r w:rsidR="0076188B">
        <w:t xml:space="preserve"> </w:t>
      </w:r>
      <w:r w:rsidR="00E46FA0">
        <w:t xml:space="preserve">Därtill ska förvaltningslagens krav </w:t>
      </w:r>
      <w:r w:rsidR="00E46FA0" w:rsidRPr="00E46FA0">
        <w:t>på ett sakligt, klart och begripligt språk</w:t>
      </w:r>
      <w:r w:rsidR="00E46FA0">
        <w:t xml:space="preserve"> beaktas i samband med publicering </w:t>
      </w:r>
      <w:r w:rsidR="00386AAE">
        <w:t>på myndi</w:t>
      </w:r>
      <w:r w:rsidR="00386AAE">
        <w:t>g</w:t>
      </w:r>
      <w:r w:rsidR="00386AAE">
        <w:t>heternas webbplats</w:t>
      </w:r>
      <w:r w:rsidR="00E46FA0">
        <w:t xml:space="preserve"> och mobila applikationer. Det kan konstateras att l</w:t>
      </w:r>
      <w:r w:rsidR="00005904" w:rsidRPr="00005904">
        <w:t>an</w:t>
      </w:r>
      <w:r w:rsidR="00005904" w:rsidRPr="00005904">
        <w:t>d</w:t>
      </w:r>
      <w:r w:rsidR="00005904" w:rsidRPr="00005904">
        <w:t xml:space="preserve">skapslagstiftningen om myndigheternas förvaltningsförfarande </w:t>
      </w:r>
      <w:r w:rsidR="00E46FA0">
        <w:t xml:space="preserve">nyligen har </w:t>
      </w:r>
      <w:r w:rsidR="00005904" w:rsidRPr="00005904">
        <w:t xml:space="preserve">anpassats till vissa aspekter av digitaliseringen. Den 1 juni 2018 </w:t>
      </w:r>
      <w:r w:rsidR="00005904" w:rsidRPr="00452FD1">
        <w:t>träd</w:t>
      </w:r>
      <w:r w:rsidR="002F030A" w:rsidRPr="00452FD1">
        <w:t>de</w:t>
      </w:r>
      <w:r w:rsidR="00005904" w:rsidRPr="00005904">
        <w:t xml:space="preserve"> nya </w:t>
      </w:r>
      <w:r w:rsidR="00005904" w:rsidRPr="00005904">
        <w:lastRenderedPageBreak/>
        <w:t>bestämmelser om elektroniska anslagstavlor, elektronisk delgivning och underskrift samt automatiska svarsmeddelanden i kraft i landskapet.</w:t>
      </w:r>
      <w:r w:rsidR="00005904" w:rsidRPr="00005904">
        <w:rPr>
          <w:vertAlign w:val="superscript"/>
        </w:rPr>
        <w:footnoteReference w:id="3"/>
      </w:r>
    </w:p>
    <w:p w14:paraId="4F8C204D" w14:textId="37C5F4C5" w:rsidR="00E526A1" w:rsidRDefault="00E526A1" w:rsidP="001B6252">
      <w:pPr>
        <w:pStyle w:val="ANormal"/>
      </w:pPr>
    </w:p>
    <w:p w14:paraId="5B3C6A46" w14:textId="45C832D9" w:rsidR="00E526A1" w:rsidRDefault="00E72281" w:rsidP="00771C32">
      <w:pPr>
        <w:pStyle w:val="RubrikD"/>
      </w:pPr>
      <w:r>
        <w:t xml:space="preserve">1.3.2 </w:t>
      </w:r>
      <w:r w:rsidR="00E526A1">
        <w:t>Landskapslagstiftning om diskriminering och funktionshinder</w:t>
      </w:r>
    </w:p>
    <w:p w14:paraId="0CEDA027" w14:textId="77777777" w:rsidR="00E526A1" w:rsidRPr="00E526A1" w:rsidRDefault="00E526A1" w:rsidP="00E526A1">
      <w:pPr>
        <w:pStyle w:val="Rubrikmellanrum"/>
      </w:pPr>
    </w:p>
    <w:p w14:paraId="07E1461C" w14:textId="637EE55F" w:rsidR="000E3FBD" w:rsidRDefault="00386AAE" w:rsidP="003E3F71">
      <w:pPr>
        <w:pStyle w:val="ANormal"/>
      </w:pPr>
      <w:r>
        <w:t>F</w:t>
      </w:r>
      <w:r w:rsidR="0076188B">
        <w:t xml:space="preserve">rågan om </w:t>
      </w:r>
      <w:r w:rsidR="00E46FA0">
        <w:t>tillgänglig</w:t>
      </w:r>
      <w:r w:rsidR="00A75447">
        <w:t>heten för myndigheternas</w:t>
      </w:r>
      <w:r w:rsidR="00E46FA0">
        <w:t xml:space="preserve"> webbplatser och mobila a</w:t>
      </w:r>
      <w:r w:rsidR="00E46FA0">
        <w:t>p</w:t>
      </w:r>
      <w:r w:rsidR="00E46FA0">
        <w:t xml:space="preserve">plikationer </w:t>
      </w:r>
      <w:r w:rsidR="00A75447">
        <w:t>bör</w:t>
      </w:r>
      <w:r>
        <w:t xml:space="preserve"> också </w:t>
      </w:r>
      <w:r w:rsidR="0076188B">
        <w:t xml:space="preserve">betraktas </w:t>
      </w:r>
      <w:r w:rsidR="000D6F41">
        <w:t>utifrån landskapslagstiftning</w:t>
      </w:r>
      <w:r>
        <w:t>en</w:t>
      </w:r>
      <w:r w:rsidR="000D6F41">
        <w:t xml:space="preserve"> </w:t>
      </w:r>
      <w:r w:rsidR="005819E3">
        <w:t>om funk</w:t>
      </w:r>
      <w:r w:rsidR="005819E3">
        <w:t>t</w:t>
      </w:r>
      <w:r w:rsidR="005819E3">
        <w:t xml:space="preserve">ionshinder. </w:t>
      </w:r>
      <w:r w:rsidR="001B6252">
        <w:t>Lagstiftning som syftar till att avskaffa diskriminering med a</w:t>
      </w:r>
      <w:r w:rsidR="001B6252">
        <w:t>n</w:t>
      </w:r>
      <w:r w:rsidR="001B6252">
        <w:t>ledning av funktionshinder är nära förknippad med frågan om hur myndi</w:t>
      </w:r>
      <w:r w:rsidR="001B6252">
        <w:t>g</w:t>
      </w:r>
      <w:r w:rsidR="001B6252">
        <w:t>heter</w:t>
      </w:r>
      <w:r>
        <w:t>na</w:t>
      </w:r>
      <w:r w:rsidR="001B6252">
        <w:t xml:space="preserve">s verksamhet och digitala tjänster ska göras tillgängliga för alla. </w:t>
      </w:r>
      <w:r w:rsidR="00D766A5">
        <w:t>Grundlagens 6</w:t>
      </w:r>
      <w:r w:rsidR="000C71DD">
        <w:t> §</w:t>
      </w:r>
      <w:r w:rsidR="00D766A5">
        <w:t xml:space="preserve"> 2</w:t>
      </w:r>
      <w:r w:rsidR="000C71DD">
        <w:t> mom.</w:t>
      </w:r>
      <w:r w:rsidR="00D766A5">
        <w:t xml:space="preserve"> förbjuder särbehandling </w:t>
      </w:r>
      <w:r w:rsidR="00D766A5" w:rsidRPr="00D766A5">
        <w:t>utan godtagbart skäl på grund av handikapp</w:t>
      </w:r>
      <w:r w:rsidR="00D766A5">
        <w:t xml:space="preserve">. </w:t>
      </w:r>
      <w:r w:rsidR="001B6252">
        <w:t>L</w:t>
      </w:r>
      <w:r w:rsidR="001B6252" w:rsidRPr="001B6252">
        <w:t>andskapslag</w:t>
      </w:r>
      <w:r w:rsidR="001B6252">
        <w:t>en</w:t>
      </w:r>
      <w:r w:rsidR="001B6252" w:rsidRPr="001B6252">
        <w:t xml:space="preserve"> (2005:66) om förhindrande av di</w:t>
      </w:r>
      <w:r w:rsidR="001B6252" w:rsidRPr="001B6252">
        <w:t>s</w:t>
      </w:r>
      <w:r w:rsidR="001B6252" w:rsidRPr="001B6252">
        <w:t>kriminering i landskapet Åland</w:t>
      </w:r>
      <w:r w:rsidR="001B6252">
        <w:t xml:space="preserve"> syftar till att motverka och förhindra di</w:t>
      </w:r>
      <w:r w:rsidR="001B6252">
        <w:t>s</w:t>
      </w:r>
      <w:r w:rsidR="001B6252">
        <w:t xml:space="preserve">kriminering på grund av </w:t>
      </w:r>
      <w:r w:rsidR="001C636A">
        <w:t xml:space="preserve">bl.a. </w:t>
      </w:r>
      <w:r w:rsidR="001B6252">
        <w:t>funktionshinder.</w:t>
      </w:r>
      <w:r w:rsidR="000E3FBD">
        <w:t xml:space="preserve"> </w:t>
      </w:r>
      <w:r>
        <w:t xml:space="preserve">Enligt </w:t>
      </w:r>
      <w:r w:rsidR="000E3FBD">
        <w:t xml:space="preserve">lagen </w:t>
      </w:r>
      <w:r>
        <w:t xml:space="preserve">finns </w:t>
      </w:r>
      <w:r w:rsidR="000E3FBD">
        <w:t xml:space="preserve">det inte något hinder </w:t>
      </w:r>
      <w:r w:rsidR="000E3FBD" w:rsidRPr="000E3FBD">
        <w:t>mot att besluta om särskilda åtgärder för att förhindra att pe</w:t>
      </w:r>
      <w:r w:rsidR="000E3FBD" w:rsidRPr="000E3FBD">
        <w:t>r</w:t>
      </w:r>
      <w:r w:rsidR="000E3FBD" w:rsidRPr="000E3FBD">
        <w:t>soner missgynnas på grund av funktionshinder</w:t>
      </w:r>
      <w:r w:rsidR="000E3FBD">
        <w:t xml:space="preserve"> </w:t>
      </w:r>
      <w:r w:rsidR="000E3FBD" w:rsidRPr="000E3FBD">
        <w:t>eller för att kompensera ett sådant missgynnande.</w:t>
      </w:r>
      <w:r w:rsidR="003E3F71">
        <w:t xml:space="preserve"> </w:t>
      </w:r>
      <w:r w:rsidR="000E3FBD">
        <w:t>Ålands ombudsmannamyndighet är tillsynsmyndi</w:t>
      </w:r>
      <w:r w:rsidR="000E3FBD">
        <w:t>g</w:t>
      </w:r>
      <w:r w:rsidR="000E3FBD">
        <w:t>het gällande diskrimineringslagstiftningen.</w:t>
      </w:r>
    </w:p>
    <w:p w14:paraId="70957AA5" w14:textId="68D2600A" w:rsidR="004749C3" w:rsidRDefault="006D0E67" w:rsidP="001B6252">
      <w:pPr>
        <w:pStyle w:val="ANormal"/>
      </w:pPr>
      <w:r>
        <w:tab/>
        <w:t>L</w:t>
      </w:r>
      <w:r w:rsidRPr="006D0E67">
        <w:t>andskapslagen (2010:50) om tillämpning i landskapet Åland av lagen om service och stöd på grund av handikapp</w:t>
      </w:r>
      <w:r>
        <w:t xml:space="preserve"> är en blankettlag</w:t>
      </w:r>
      <w:r w:rsidR="00386AAE">
        <w:t>. Landskapsl</w:t>
      </w:r>
      <w:r w:rsidR="00386AAE">
        <w:t>a</w:t>
      </w:r>
      <w:r w:rsidR="00386AAE">
        <w:t xml:space="preserve">gen </w:t>
      </w:r>
      <w:r>
        <w:t xml:space="preserve">gör </w:t>
      </w:r>
      <w:r w:rsidRPr="006D0E67">
        <w:t>lagen om service och stöd på grund av handikapp (FFS 380/1987)</w:t>
      </w:r>
      <w:r>
        <w:t xml:space="preserve"> gällande inom landskapets behörighet. Rikslagens syfte </w:t>
      </w:r>
      <w:r w:rsidRPr="006D0E67">
        <w:t>är att främja de handikappades förutsättningar att leva och vara verksamma som jämbö</w:t>
      </w:r>
      <w:r w:rsidRPr="006D0E67">
        <w:t>r</w:t>
      </w:r>
      <w:r w:rsidRPr="006D0E67">
        <w:t>diga medlemmar av samhället samt att förebygga och undanröja olägenhe</w:t>
      </w:r>
      <w:r w:rsidRPr="006D0E67">
        <w:t>t</w:t>
      </w:r>
      <w:r w:rsidRPr="006D0E67">
        <w:t>er och hinder som handikappet medför.</w:t>
      </w:r>
      <w:r w:rsidR="00F9412F">
        <w:t xml:space="preserve"> </w:t>
      </w:r>
      <w:r w:rsidR="0015684B">
        <w:t>I</w:t>
      </w:r>
      <w:r w:rsidR="00F9412F">
        <w:t xml:space="preserve"> </w:t>
      </w:r>
      <w:r w:rsidR="0015684B">
        <w:t>rikslagen</w:t>
      </w:r>
      <w:r w:rsidR="001C636A">
        <w:t xml:space="preserve"> </w:t>
      </w:r>
      <w:r w:rsidR="0015684B">
        <w:t>föreskrivs om en allmän skyldighet för kommunerna att sörja för att de</w:t>
      </w:r>
      <w:r w:rsidR="00386AAE">
        <w:t xml:space="preserve">ras </w:t>
      </w:r>
      <w:r w:rsidR="0015684B">
        <w:t>offentliga service lämpar sig för handikappade.</w:t>
      </w:r>
      <w:r w:rsidR="00AA78A0">
        <w:t xml:space="preserve"> </w:t>
      </w:r>
      <w:r w:rsidR="004749C3" w:rsidRPr="004749C3">
        <w:t>Det finns också ett antal bestämmelser i enskilda landskapslagar som gäller funktionshinder</w:t>
      </w:r>
      <w:r w:rsidR="00E40CC3">
        <w:t xml:space="preserve">, t.ex. </w:t>
      </w:r>
      <w:r w:rsidR="005D193D">
        <w:t xml:space="preserve">innehåller </w:t>
      </w:r>
      <w:r w:rsidR="00AA78A0" w:rsidRPr="00AA78A0">
        <w:t>plan- och byg</w:t>
      </w:r>
      <w:r w:rsidR="00AA78A0" w:rsidRPr="00AA78A0">
        <w:t>g</w:t>
      </w:r>
      <w:r w:rsidR="00AA78A0" w:rsidRPr="00AA78A0">
        <w:t xml:space="preserve">lagen (2008:102) för landskapet Åland </w:t>
      </w:r>
      <w:r w:rsidR="005D193D">
        <w:t xml:space="preserve">bestämmelser om </w:t>
      </w:r>
      <w:r w:rsidR="00AA78A0" w:rsidRPr="00AA78A0">
        <w:t>byggnader</w:t>
      </w:r>
      <w:r w:rsidR="005D193D">
        <w:t>s til</w:t>
      </w:r>
      <w:r w:rsidR="005D193D">
        <w:t>l</w:t>
      </w:r>
      <w:r w:rsidR="005D193D">
        <w:t>gänglighet.</w:t>
      </w:r>
    </w:p>
    <w:p w14:paraId="63153133" w14:textId="7A072E3E" w:rsidR="00330443" w:rsidRDefault="00E526A1" w:rsidP="001B6252">
      <w:pPr>
        <w:pStyle w:val="ANormal"/>
      </w:pPr>
      <w:r>
        <w:tab/>
      </w:r>
      <w:r w:rsidRPr="00E526A1">
        <w:t xml:space="preserve">Det pågår </w:t>
      </w:r>
      <w:r w:rsidR="00F87310">
        <w:t xml:space="preserve">också </w:t>
      </w:r>
      <w:r w:rsidRPr="00E526A1">
        <w:t>ett löpande arbete med funktionshinderfrågor inom fö</w:t>
      </w:r>
      <w:r w:rsidRPr="00E526A1">
        <w:t>r</w:t>
      </w:r>
      <w:r w:rsidRPr="00E526A1">
        <w:t>valtningarna</w:t>
      </w:r>
      <w:r w:rsidR="00F87310">
        <w:t xml:space="preserve"> på Åland</w:t>
      </w:r>
      <w:r w:rsidRPr="00E526A1">
        <w:t xml:space="preserve">. Arbetet med funktionshinderspolitiken utgår från </w:t>
      </w:r>
      <w:r w:rsidR="005D193D">
        <w:t>FN-</w:t>
      </w:r>
      <w:r w:rsidRPr="00E526A1">
        <w:t>konvention</w:t>
      </w:r>
      <w:r w:rsidR="008400BB">
        <w:t>en</w:t>
      </w:r>
      <w:r w:rsidRPr="00E526A1">
        <w:t xml:space="preserve"> om rättigheter för personer med funktionsnedsättning</w:t>
      </w:r>
      <w:r w:rsidR="00F87310">
        <w:t xml:space="preserve"> (se avsnitt 1.2)</w:t>
      </w:r>
      <w:r w:rsidR="008400BB">
        <w:t>. D</w:t>
      </w:r>
      <w:r w:rsidR="008400BB" w:rsidRPr="008400BB">
        <w:t xml:space="preserve">igitaliseringen och tillgängligheten </w:t>
      </w:r>
      <w:r w:rsidR="008400BB">
        <w:t xml:space="preserve">lyfts </w:t>
      </w:r>
      <w:r w:rsidR="008400BB" w:rsidRPr="008400BB">
        <w:t xml:space="preserve">fram som ett särskilt tema </w:t>
      </w:r>
      <w:r w:rsidR="008400BB">
        <w:t xml:space="preserve">i </w:t>
      </w:r>
      <w:r w:rsidR="008400BB" w:rsidRPr="008400BB">
        <w:t>landskapsregering</w:t>
      </w:r>
      <w:r w:rsidR="008400BB">
        <w:t>en</w:t>
      </w:r>
      <w:r w:rsidR="008400BB" w:rsidRPr="008400BB">
        <w:t>s funktionshinderspolitiska åtgärdsprogram</w:t>
      </w:r>
      <w:r w:rsidR="008400BB">
        <w:t xml:space="preserve"> för åren </w:t>
      </w:r>
      <w:r w:rsidR="008400BB" w:rsidRPr="008400BB">
        <w:t>2017–2020</w:t>
      </w:r>
      <w:r w:rsidR="008400BB">
        <w:t>.</w:t>
      </w:r>
      <w:r w:rsidR="008400BB">
        <w:rPr>
          <w:rStyle w:val="Fotnotsreferens"/>
        </w:rPr>
        <w:footnoteReference w:id="4"/>
      </w:r>
      <w:r w:rsidR="00CB69B7">
        <w:t xml:space="preserve"> </w:t>
      </w:r>
      <w:r w:rsidR="00330443">
        <w:t xml:space="preserve">Även inom EU pågår ett löpande arbete för att </w:t>
      </w:r>
      <w:r w:rsidR="00330443" w:rsidRPr="00330443">
        <w:t>se till att personer med funktionshinder har tillgång till varor, tjänster och hjälpmedel</w:t>
      </w:r>
      <w:r w:rsidR="00330443">
        <w:t xml:space="preserve"> och detta kan </w:t>
      </w:r>
      <w:r w:rsidR="00D766A5">
        <w:t xml:space="preserve">ge upphov till EU-rättsakter som </w:t>
      </w:r>
      <w:r w:rsidR="00330443">
        <w:t>medför behov av lagstif</w:t>
      </w:r>
      <w:r w:rsidR="00330443">
        <w:t>t</w:t>
      </w:r>
      <w:r w:rsidR="00330443">
        <w:t xml:space="preserve">ningsåtgärder på Åland. </w:t>
      </w:r>
      <w:r w:rsidR="00D766A5">
        <w:t xml:space="preserve">Kommissionen har år 2010 antagit </w:t>
      </w:r>
      <w:r w:rsidR="00D766A5" w:rsidRPr="00D766A5">
        <w:t>EU:s hand</w:t>
      </w:r>
      <w:r w:rsidR="00D766A5" w:rsidRPr="00D766A5">
        <w:t>i</w:t>
      </w:r>
      <w:r w:rsidR="00D766A5" w:rsidRPr="00D766A5">
        <w:t>kappstrategi 2010–2020</w:t>
      </w:r>
      <w:r w:rsidR="00D766A5">
        <w:t>.</w:t>
      </w:r>
      <w:r w:rsidR="00D766A5">
        <w:rPr>
          <w:rStyle w:val="Fotnotsreferens"/>
        </w:rPr>
        <w:footnoteReference w:id="5"/>
      </w:r>
    </w:p>
    <w:p w14:paraId="26EBEDFA" w14:textId="44156144" w:rsidR="00E526A1" w:rsidRDefault="00E526A1" w:rsidP="001B6252">
      <w:pPr>
        <w:pStyle w:val="ANormal"/>
      </w:pPr>
    </w:p>
    <w:p w14:paraId="0341588E" w14:textId="2F3D8195" w:rsidR="00E526A1" w:rsidRDefault="00E72281" w:rsidP="00771C32">
      <w:pPr>
        <w:pStyle w:val="RubrikD"/>
      </w:pPr>
      <w:r>
        <w:t xml:space="preserve">1.3.3 </w:t>
      </w:r>
      <w:r w:rsidR="00E526A1">
        <w:t>Övrig</w:t>
      </w:r>
      <w:r w:rsidR="001C636A">
        <w:t xml:space="preserve"> </w:t>
      </w:r>
      <w:r w:rsidR="005D193D">
        <w:t xml:space="preserve">relevant </w:t>
      </w:r>
      <w:r w:rsidR="001C636A">
        <w:t>lagstiftning</w:t>
      </w:r>
      <w:r w:rsidR="00C169EE">
        <w:t xml:space="preserve"> på Åland</w:t>
      </w:r>
    </w:p>
    <w:p w14:paraId="45EF6F5D" w14:textId="77777777" w:rsidR="00E526A1" w:rsidRPr="00E526A1" w:rsidRDefault="00E526A1" w:rsidP="00E526A1">
      <w:pPr>
        <w:pStyle w:val="Rubrikmellanrum"/>
      </w:pPr>
    </w:p>
    <w:p w14:paraId="419978D4" w14:textId="505670E4" w:rsidR="005D193D" w:rsidRDefault="00C169EE" w:rsidP="005D193D">
      <w:pPr>
        <w:pStyle w:val="ANormal"/>
      </w:pPr>
      <w:r>
        <w:t>V</w:t>
      </w:r>
      <w:r w:rsidR="005D193D" w:rsidRPr="00E526A1">
        <w:t xml:space="preserve">issa </w:t>
      </w:r>
      <w:r w:rsidR="005D193D">
        <w:t xml:space="preserve">centrala </w:t>
      </w:r>
      <w:r w:rsidR="005D193D" w:rsidRPr="00E526A1">
        <w:t xml:space="preserve">aspekter </w:t>
      </w:r>
      <w:r>
        <w:t xml:space="preserve">gällande </w:t>
      </w:r>
      <w:r w:rsidR="005D193D" w:rsidRPr="00E526A1">
        <w:t xml:space="preserve">digitaliseringen av </w:t>
      </w:r>
      <w:r>
        <w:t xml:space="preserve">de åländska </w:t>
      </w:r>
      <w:r w:rsidR="005D193D" w:rsidRPr="00E526A1">
        <w:t>myndi</w:t>
      </w:r>
      <w:r w:rsidR="005D193D" w:rsidRPr="00E526A1">
        <w:t>g</w:t>
      </w:r>
      <w:r w:rsidR="005D193D" w:rsidRPr="00E526A1">
        <w:t xml:space="preserve">heternas verksamhet faller </w:t>
      </w:r>
      <w:r>
        <w:t xml:space="preserve">inte </w:t>
      </w:r>
      <w:r w:rsidR="005D193D" w:rsidRPr="00E526A1">
        <w:t xml:space="preserve">inom landskapets lagstiftningsbehörighet. Detta är fallet med de identifieringsverktyg och elektroniska signaturer som tillhandahålls på marknaden och som också utnyttjas inom </w:t>
      </w:r>
      <w:r w:rsidR="005D193D">
        <w:t xml:space="preserve">den </w:t>
      </w:r>
      <w:r w:rsidR="005D193D" w:rsidRPr="00E526A1">
        <w:t>offentlig</w:t>
      </w:r>
      <w:r w:rsidR="005D193D">
        <w:t xml:space="preserve">a </w:t>
      </w:r>
      <w:r w:rsidR="005D193D" w:rsidRPr="00E526A1">
        <w:t>förvaltning</w:t>
      </w:r>
      <w:r w:rsidR="005D193D">
        <w:t>en</w:t>
      </w:r>
      <w:r w:rsidR="005D193D" w:rsidRPr="00E526A1">
        <w:t>. Tillhandahållandet av dylika tjänster och tekniska lösningar är föremål för lagen om stark autentisering och elektroniska signaturer (FFS 617/2009). En annan central riksförfattning är informationssamhäll</w:t>
      </w:r>
      <w:r w:rsidR="005D193D" w:rsidRPr="00E526A1">
        <w:t>s</w:t>
      </w:r>
      <w:r w:rsidR="005D193D" w:rsidRPr="00E526A1">
        <w:t>balken (FFS 917/2014) som bl</w:t>
      </w:r>
      <w:r w:rsidR="005D193D">
        <w:t>.a.</w:t>
      </w:r>
      <w:r w:rsidR="005D193D" w:rsidRPr="00E526A1">
        <w:t xml:space="preserve"> syftar till att främja utbudet och använ</w:t>
      </w:r>
      <w:r w:rsidR="005D193D" w:rsidRPr="00E526A1">
        <w:t>d</w:t>
      </w:r>
      <w:r w:rsidR="005D193D" w:rsidRPr="00E526A1">
        <w:t xml:space="preserve">ningen av elektroniska kommunikationstjänster. </w:t>
      </w:r>
      <w:proofErr w:type="gramStart"/>
      <w:r w:rsidR="00330443" w:rsidRPr="00330443">
        <w:t>Teleföretag</w:t>
      </w:r>
      <w:proofErr w:type="gramEnd"/>
      <w:r w:rsidR="00330443" w:rsidRPr="00330443">
        <w:t xml:space="preserve"> som med stöd av informationssamhällsbalken har utsetts till leverantörer av samhällso</w:t>
      </w:r>
      <w:r w:rsidR="00330443" w:rsidRPr="00330443">
        <w:t>m</w:t>
      </w:r>
      <w:r w:rsidR="00330443" w:rsidRPr="00330443">
        <w:lastRenderedPageBreak/>
        <w:t>fattande tjänster är skyldiga att tillhandahålla abonnemang som är sådana att alla, även personer med funktionsnedsättning, kan använda nödtjänster, ringa och ta emot inrikes- och utrikessamtal samt använda andra sedvanliga telefonitjänster.</w:t>
      </w:r>
    </w:p>
    <w:p w14:paraId="57C3051E" w14:textId="58B0D70B" w:rsidR="00E526A1" w:rsidRDefault="005D193D" w:rsidP="001B6252">
      <w:pPr>
        <w:pStyle w:val="ANormal"/>
      </w:pPr>
      <w:r>
        <w:tab/>
      </w:r>
      <w:r w:rsidR="00E526A1" w:rsidRPr="00E526A1">
        <w:t xml:space="preserve">Digitaliseringen har även fått effekter på hur myndigheter samarbetar </w:t>
      </w:r>
      <w:r w:rsidR="007C2415">
        <w:t>för att producera och tillhandahålla</w:t>
      </w:r>
      <w:r w:rsidR="00E526A1" w:rsidRPr="00E526A1">
        <w:t xml:space="preserve"> de digitala tjänster som behövs</w:t>
      </w:r>
      <w:r w:rsidR="008400BB">
        <w:t>. Sama</w:t>
      </w:r>
      <w:r w:rsidR="008400BB">
        <w:t>r</w:t>
      </w:r>
      <w:r w:rsidR="008400BB">
        <w:t>betet kan både gälla myndigheternas interna digitala ärendehantering och de digitala tjänster som myndigheterna riktar till allmänheten</w:t>
      </w:r>
      <w:r w:rsidR="00E526A1" w:rsidRPr="00E526A1">
        <w:t>. I många fall kan effektivitetsvinster uppnås genom att myndigheterna tar fram geme</w:t>
      </w:r>
      <w:r w:rsidR="00E526A1" w:rsidRPr="00E526A1">
        <w:t>n</w:t>
      </w:r>
      <w:r w:rsidR="00E526A1" w:rsidRPr="00E526A1">
        <w:t xml:space="preserve">samma digitala tjänster. Gemensamma digitala lösningar </w:t>
      </w:r>
      <w:r w:rsidR="00FE291E">
        <w:t xml:space="preserve">kan också </w:t>
      </w:r>
      <w:r w:rsidR="00E526A1" w:rsidRPr="00E526A1">
        <w:t>unde</w:t>
      </w:r>
      <w:r w:rsidR="00E526A1" w:rsidRPr="00E526A1">
        <w:t>r</w:t>
      </w:r>
      <w:r w:rsidR="00E526A1" w:rsidRPr="00E526A1">
        <w:t>lätta</w:t>
      </w:r>
      <w:r w:rsidR="00FE291E">
        <w:t xml:space="preserve"> </w:t>
      </w:r>
      <w:r w:rsidR="00E526A1" w:rsidRPr="00E526A1">
        <w:t>den digitala ärendehanteringen mellan myndigheterna. Samtidigt leder digitaliseringen till ett större behov av gemensamma bakomliggande i</w:t>
      </w:r>
      <w:r w:rsidR="00E526A1" w:rsidRPr="00E526A1">
        <w:t>n</w:t>
      </w:r>
      <w:r w:rsidR="00E526A1" w:rsidRPr="00E526A1">
        <w:t>formationsmiljöer och -system inom myndigheterna.</w:t>
      </w:r>
      <w:r w:rsidR="001C636A" w:rsidRPr="001C636A">
        <w:t xml:space="preserve"> </w:t>
      </w:r>
      <w:r w:rsidR="001C636A">
        <w:t>För att beakta dessa behov har det</w:t>
      </w:r>
      <w:r w:rsidR="001C636A" w:rsidRPr="001C636A">
        <w:t xml:space="preserve"> bildats ett gemensamt icke-vinstdrivande bolag, Åda Ab, inom den offentliga sek</w:t>
      </w:r>
      <w:r w:rsidR="001C636A">
        <w:t>t</w:t>
      </w:r>
      <w:r w:rsidR="001C636A" w:rsidRPr="001C636A">
        <w:t xml:space="preserve">orn på Åland. </w:t>
      </w:r>
      <w:r w:rsidR="00E526A1" w:rsidRPr="00E526A1">
        <w:t>I gällande landskapslagstiftning finns inte några särskilda bestämmelser om styrningen, produktionen eller organisationen av de åländska myndigheternas digitala tjänster.</w:t>
      </w:r>
    </w:p>
    <w:p w14:paraId="1DB6DA14" w14:textId="77777777" w:rsidR="00D926A4" w:rsidRDefault="00D926A4" w:rsidP="00EB68F4">
      <w:pPr>
        <w:pStyle w:val="ANormal"/>
      </w:pPr>
    </w:p>
    <w:p w14:paraId="132BF904" w14:textId="34CF665A" w:rsidR="00403189" w:rsidRDefault="00403189" w:rsidP="00771C32">
      <w:pPr>
        <w:pStyle w:val="RubrikC"/>
      </w:pPr>
      <w:bookmarkStart w:id="9" w:name="_Toc524530389"/>
      <w:r>
        <w:t>1.4 Gällande lagstiftning i Finland och Sverige</w:t>
      </w:r>
      <w:bookmarkEnd w:id="9"/>
    </w:p>
    <w:p w14:paraId="27039746" w14:textId="162FE5C4" w:rsidR="00403189" w:rsidRDefault="00403189" w:rsidP="009E5456">
      <w:pPr>
        <w:pStyle w:val="Rubrikmellanrum"/>
      </w:pPr>
    </w:p>
    <w:p w14:paraId="468E4567" w14:textId="517CB6D2" w:rsidR="009E5456" w:rsidRDefault="00E72281" w:rsidP="00771C32">
      <w:pPr>
        <w:pStyle w:val="RubrikD"/>
      </w:pPr>
      <w:r>
        <w:t xml:space="preserve">1.4.1 </w:t>
      </w:r>
      <w:r w:rsidR="009E5456">
        <w:t>Finland</w:t>
      </w:r>
    </w:p>
    <w:p w14:paraId="628F65EE" w14:textId="77777777" w:rsidR="009E5456" w:rsidRPr="009E5456" w:rsidRDefault="009E5456" w:rsidP="009E5456">
      <w:pPr>
        <w:pStyle w:val="Rubrikmellanrum"/>
      </w:pPr>
    </w:p>
    <w:p w14:paraId="51430CB0" w14:textId="0BAFE5E9" w:rsidR="00C9104E" w:rsidRDefault="00372AE1" w:rsidP="00C9104E">
      <w:pPr>
        <w:pStyle w:val="ANormal"/>
      </w:pPr>
      <w:r>
        <w:t xml:space="preserve">I dagsläget </w:t>
      </w:r>
      <w:r w:rsidR="00FE291E">
        <w:t xml:space="preserve">finns </w:t>
      </w:r>
      <w:r>
        <w:t xml:space="preserve">inte någon </w:t>
      </w:r>
      <w:r w:rsidR="00FE291E">
        <w:t xml:space="preserve">särskild </w:t>
      </w:r>
      <w:r w:rsidR="00D766A5">
        <w:t>riks</w:t>
      </w:r>
      <w:r w:rsidR="00FE291E">
        <w:t>författning</w:t>
      </w:r>
      <w:r>
        <w:t xml:space="preserve"> om webbplatser</w:t>
      </w:r>
      <w:r w:rsidR="00C40072">
        <w:t>s</w:t>
      </w:r>
      <w:r>
        <w:t xml:space="preserve"> eller </w:t>
      </w:r>
      <w:r w:rsidRPr="00372AE1">
        <w:t>mobila applikationer</w:t>
      </w:r>
      <w:r w:rsidR="001B552D">
        <w:t xml:space="preserve">s tillgänglighet, men </w:t>
      </w:r>
      <w:r w:rsidR="000D50CB">
        <w:t>f</w:t>
      </w:r>
      <w:r>
        <w:t xml:space="preserve">lera </w:t>
      </w:r>
      <w:r w:rsidR="0095260C">
        <w:t xml:space="preserve">olika </w:t>
      </w:r>
      <w:r>
        <w:t xml:space="preserve">författningar </w:t>
      </w:r>
      <w:r w:rsidR="001B552D">
        <w:t xml:space="preserve">ska </w:t>
      </w:r>
      <w:r>
        <w:t>bea</w:t>
      </w:r>
      <w:r>
        <w:t>k</w:t>
      </w:r>
      <w:r>
        <w:t xml:space="preserve">tas </w:t>
      </w:r>
      <w:r w:rsidR="0095260C">
        <w:t xml:space="preserve">då </w:t>
      </w:r>
      <w:r w:rsidR="00D766A5">
        <w:t>riks</w:t>
      </w:r>
      <w:r>
        <w:t>myndigheternas digitala tjänster</w:t>
      </w:r>
      <w:r w:rsidR="000D50CB">
        <w:t xml:space="preserve"> </w:t>
      </w:r>
      <w:r w:rsidR="0095260C">
        <w:t>utformas</w:t>
      </w:r>
      <w:r>
        <w:t xml:space="preserve">. </w:t>
      </w:r>
      <w:r w:rsidR="00361622">
        <w:t xml:space="preserve">Diskrimineringslagen </w:t>
      </w:r>
      <w:r w:rsidR="004F7E6B">
        <w:t xml:space="preserve">(FFS 1325/2014) är en allmän lag </w:t>
      </w:r>
      <w:r w:rsidR="008C69EE" w:rsidRPr="008C69EE">
        <w:t>om motverkandet av diskriminering</w:t>
      </w:r>
      <w:r w:rsidR="00AB389F">
        <w:t xml:space="preserve"> och lagen </w:t>
      </w:r>
      <w:r w:rsidR="003E3F71" w:rsidRPr="003E3F71">
        <w:t xml:space="preserve">tillämpas både på offentlig och privat verksamhet. </w:t>
      </w:r>
      <w:r w:rsidR="003E3F71">
        <w:t>Annan</w:t>
      </w:r>
      <w:r w:rsidR="002806F2" w:rsidRPr="002806F2">
        <w:t xml:space="preserve"> riksla</w:t>
      </w:r>
      <w:r w:rsidR="002806F2" w:rsidRPr="002806F2">
        <w:t>g</w:t>
      </w:r>
      <w:r w:rsidR="002806F2" w:rsidRPr="002806F2">
        <w:t xml:space="preserve">stiftning </w:t>
      </w:r>
      <w:r w:rsidR="003E3F71">
        <w:t xml:space="preserve">innehåller också </w:t>
      </w:r>
      <w:r w:rsidR="002806F2" w:rsidRPr="002806F2">
        <w:t>bestämmelser om tillgänglighet</w:t>
      </w:r>
      <w:r w:rsidR="00AB389F">
        <w:t>, t.ex. r</w:t>
      </w:r>
      <w:r w:rsidR="007456F8">
        <w:t>ikets f</w:t>
      </w:r>
      <w:r w:rsidR="00C55F87">
        <w:t>ö</w:t>
      </w:r>
      <w:r w:rsidR="00C55F87">
        <w:t>r</w:t>
      </w:r>
      <w:r w:rsidR="00C55F87">
        <w:t xml:space="preserve">valtningslag </w:t>
      </w:r>
      <w:r w:rsidR="00A21002">
        <w:t xml:space="preserve">(FFS 434/2003) </w:t>
      </w:r>
      <w:r w:rsidR="00AB389F">
        <w:t xml:space="preserve">som </w:t>
      </w:r>
      <w:r w:rsidR="00C55F87">
        <w:t xml:space="preserve">tillämpas </w:t>
      </w:r>
      <w:r w:rsidR="00A21002">
        <w:t xml:space="preserve">hos </w:t>
      </w:r>
      <w:r w:rsidR="0095260C">
        <w:t xml:space="preserve">rikets </w:t>
      </w:r>
      <w:r w:rsidR="000D50CB">
        <w:t>myndigheter</w:t>
      </w:r>
      <w:r w:rsidR="0095260C">
        <w:t xml:space="preserve">. </w:t>
      </w:r>
      <w:r w:rsidR="00C9104E">
        <w:t>Enligt förarbetena ska alla som behöver service i mån av möjlighet garanteras l</w:t>
      </w:r>
      <w:r w:rsidR="00C9104E">
        <w:t>i</w:t>
      </w:r>
      <w:r w:rsidR="00C9104E">
        <w:t>kadana möjligheter att uträtta sina ärenden, oberoende av servicens art. Möjligheterna att uträtta ärenden ska så</w:t>
      </w:r>
      <w:r w:rsidR="000D50CB">
        <w:t xml:space="preserve"> </w:t>
      </w:r>
      <w:r w:rsidR="00C9104E">
        <w:t>väl som möjligt motsvara behoven hos särskilda grupper i samhället, t.ex. åldringar, sjuka och handikappade.</w:t>
      </w:r>
      <w:r w:rsidR="00C9104E">
        <w:rPr>
          <w:rStyle w:val="Fotnotsreferens"/>
        </w:rPr>
        <w:footnoteReference w:id="6"/>
      </w:r>
    </w:p>
    <w:p w14:paraId="26AF893D" w14:textId="6A1356BC" w:rsidR="00DA43DD" w:rsidRDefault="004B0E95" w:rsidP="00EB68F4">
      <w:pPr>
        <w:pStyle w:val="ANormal"/>
      </w:pPr>
      <w:r>
        <w:tab/>
      </w:r>
      <w:r w:rsidR="006B4EA6">
        <w:t xml:space="preserve">Av </w:t>
      </w:r>
      <w:r w:rsidR="00817FB2">
        <w:t xml:space="preserve">intresse </w:t>
      </w:r>
      <w:r w:rsidR="006B4EA6">
        <w:t>i detta sammanhang är att det finns en särskild riksförfat</w:t>
      </w:r>
      <w:r w:rsidR="006B4EA6">
        <w:t>t</w:t>
      </w:r>
      <w:r w:rsidR="006B4EA6">
        <w:t xml:space="preserve">ning som </w:t>
      </w:r>
      <w:r w:rsidR="000D50CB">
        <w:t>tillämpas i samband med att en myndighet sköter ett ärende dig</w:t>
      </w:r>
      <w:r w:rsidR="000D50CB">
        <w:t>i</w:t>
      </w:r>
      <w:r w:rsidR="000D50CB">
        <w:t>talt i förhållande till en kund.</w:t>
      </w:r>
      <w:r w:rsidR="00F52671">
        <w:t xml:space="preserve"> I</w:t>
      </w:r>
      <w:r w:rsidR="006B4EA6">
        <w:t xml:space="preserve"> </w:t>
      </w:r>
      <w:r w:rsidR="00F52671">
        <w:t>l</w:t>
      </w:r>
      <w:r w:rsidR="006B4EA6" w:rsidRPr="006B4EA6">
        <w:t>ag</w:t>
      </w:r>
      <w:r w:rsidR="00F52671">
        <w:t>en</w:t>
      </w:r>
      <w:r w:rsidR="006B4EA6" w:rsidRPr="006B4EA6">
        <w:t xml:space="preserve"> om elektronisk kommunikation i myndigheternas verksamhet</w:t>
      </w:r>
      <w:r>
        <w:t xml:space="preserve"> </w:t>
      </w:r>
      <w:r w:rsidR="00F52671">
        <w:t xml:space="preserve">(FFS 13/2003) </w:t>
      </w:r>
      <w:r w:rsidR="00F52671" w:rsidRPr="00F52671">
        <w:t>föreskrivs om de rättigheter och skyldigheter samt det ansvar som myndigheterna och deras kunder har vid elektronisk kommunikation.</w:t>
      </w:r>
      <w:r w:rsidR="006076E2">
        <w:t xml:space="preserve"> </w:t>
      </w:r>
      <w:r w:rsidR="001B552D">
        <w:t>Det finns flera riksförfattningar om o</w:t>
      </w:r>
      <w:r w:rsidR="00DA43DD" w:rsidRPr="00DA43DD">
        <w:t>rganis</w:t>
      </w:r>
      <w:r w:rsidR="00DA43DD" w:rsidRPr="00DA43DD">
        <w:t>e</w:t>
      </w:r>
      <w:r w:rsidR="00DA43DD" w:rsidRPr="00DA43DD">
        <w:t>randet av e-förvaltningen, t</w:t>
      </w:r>
      <w:r w:rsidR="00EC2EFD">
        <w:t xml:space="preserve">.ex. </w:t>
      </w:r>
      <w:r w:rsidR="00DA43DD" w:rsidRPr="00DA43DD">
        <w:t>lagen om styrning av informationsförval</w:t>
      </w:r>
      <w:r w:rsidR="00DA43DD" w:rsidRPr="00DA43DD">
        <w:t>t</w:t>
      </w:r>
      <w:r w:rsidR="00DA43DD" w:rsidRPr="00DA43DD">
        <w:t>ningen inom den offentliga förvaltningen (FFS 634/2011), lagen om anor</w:t>
      </w:r>
      <w:r w:rsidR="00DA43DD" w:rsidRPr="00DA43DD">
        <w:t>d</w:t>
      </w:r>
      <w:r w:rsidR="00DA43DD" w:rsidRPr="00DA43DD">
        <w:t>nande av statens gemensamma informations- och kommunikationstekniska tjänster (FFS 1226/2013) och lagen om förvaltningens gemensamma stö</w:t>
      </w:r>
      <w:r w:rsidR="00DA43DD" w:rsidRPr="00DA43DD">
        <w:t>d</w:t>
      </w:r>
      <w:r w:rsidR="00DA43DD" w:rsidRPr="00DA43DD">
        <w:t>tjänster för e-tjänster (FFS 571/2016).</w:t>
      </w:r>
      <w:r w:rsidR="00694003">
        <w:t xml:space="preserve"> </w:t>
      </w:r>
      <w:r w:rsidR="009868FB">
        <w:t>I augusti 2018 har publicerats ett u</w:t>
      </w:r>
      <w:r w:rsidR="009868FB">
        <w:t>t</w:t>
      </w:r>
      <w:r w:rsidR="009868FB">
        <w:t xml:space="preserve">kast till en ny </w:t>
      </w:r>
      <w:r w:rsidR="009868FB" w:rsidRPr="009868FB">
        <w:t xml:space="preserve">lag om informationshantering i den offentliga förvaltningen. Den föreslagna lagen ska ersätta och uppdatera bestämmelserna i </w:t>
      </w:r>
      <w:r w:rsidR="009868FB">
        <w:t>rikets</w:t>
      </w:r>
      <w:r w:rsidR="009868FB" w:rsidRPr="009868FB">
        <w:t xml:space="preserve"> a</w:t>
      </w:r>
      <w:r w:rsidR="009868FB" w:rsidRPr="009868FB">
        <w:t>r</w:t>
      </w:r>
      <w:r w:rsidR="009868FB" w:rsidRPr="009868FB">
        <w:t>kivlag och lagen om styrning av informationsförvaltningen inom den o</w:t>
      </w:r>
      <w:r w:rsidR="009868FB" w:rsidRPr="009868FB">
        <w:t>f</w:t>
      </w:r>
      <w:r w:rsidR="009868FB" w:rsidRPr="009868FB">
        <w:t>fentliga förvaltningen.</w:t>
      </w:r>
    </w:p>
    <w:p w14:paraId="4214E5E9" w14:textId="77777777" w:rsidR="0095566F" w:rsidRDefault="0095566F" w:rsidP="00EB68F4">
      <w:pPr>
        <w:pStyle w:val="ANormal"/>
      </w:pPr>
    </w:p>
    <w:p w14:paraId="7E476DB2" w14:textId="1DA7C4BB" w:rsidR="009E5456" w:rsidRDefault="00E72281" w:rsidP="00771C32">
      <w:pPr>
        <w:pStyle w:val="RubrikD"/>
      </w:pPr>
      <w:r>
        <w:t xml:space="preserve">1.4.2 </w:t>
      </w:r>
      <w:r w:rsidR="009E5456">
        <w:t>Sverige</w:t>
      </w:r>
    </w:p>
    <w:p w14:paraId="2E66E0D5" w14:textId="77777777" w:rsidR="009E5456" w:rsidRPr="009E5456" w:rsidRDefault="009E5456" w:rsidP="009E5456">
      <w:pPr>
        <w:pStyle w:val="Rubrikmellanrum"/>
      </w:pPr>
    </w:p>
    <w:p w14:paraId="335BD2FF" w14:textId="6DDEB517" w:rsidR="00296A6D" w:rsidRDefault="00960E9F" w:rsidP="00EB68F4">
      <w:pPr>
        <w:pStyle w:val="ANormal"/>
      </w:pPr>
      <w:r w:rsidRPr="00960E9F">
        <w:t>Sverige saknar i dagsläget bestämmelser i lag eller förordning som specifikt reglerar tillgänglighet till webbplatser eller mobila applikationer.</w:t>
      </w:r>
      <w:r>
        <w:t xml:space="preserve"> </w:t>
      </w:r>
      <w:r w:rsidR="00350352">
        <w:t xml:space="preserve">Dock </w:t>
      </w:r>
      <w:r w:rsidRPr="00960E9F">
        <w:t xml:space="preserve">finns i svensk rätt </w:t>
      </w:r>
      <w:r w:rsidR="00350352">
        <w:t xml:space="preserve">allmänna </w:t>
      </w:r>
      <w:r w:rsidRPr="00960E9F">
        <w:t xml:space="preserve">bestämmelser </w:t>
      </w:r>
      <w:r w:rsidR="00350352">
        <w:t xml:space="preserve">om </w:t>
      </w:r>
      <w:r w:rsidRPr="00960E9F">
        <w:t xml:space="preserve">tillgänglighet som även kan tillämpas </w:t>
      </w:r>
      <w:r w:rsidR="00D859B8">
        <w:t xml:space="preserve">i förhållande till </w:t>
      </w:r>
      <w:r w:rsidRPr="00960E9F">
        <w:t>webbplatser och mobila applikationer.</w:t>
      </w:r>
      <w:r>
        <w:t xml:space="preserve"> </w:t>
      </w:r>
      <w:r w:rsidR="007772D4">
        <w:t xml:space="preserve">Sverige är bundet av </w:t>
      </w:r>
      <w:r w:rsidR="007772D4" w:rsidRPr="007772D4">
        <w:t>FN</w:t>
      </w:r>
      <w:r w:rsidR="00AB389F">
        <w:t>-</w:t>
      </w:r>
      <w:r w:rsidR="007772D4" w:rsidRPr="007772D4">
        <w:t>konvention</w:t>
      </w:r>
      <w:r w:rsidR="00AB389F">
        <w:t>en</w:t>
      </w:r>
      <w:r w:rsidR="007772D4" w:rsidRPr="007772D4">
        <w:t xml:space="preserve"> om rättigheter för personer med funktionsne</w:t>
      </w:r>
      <w:r w:rsidR="007772D4" w:rsidRPr="007772D4">
        <w:t>d</w:t>
      </w:r>
      <w:r w:rsidR="007772D4" w:rsidRPr="007772D4">
        <w:lastRenderedPageBreak/>
        <w:t>sättning</w:t>
      </w:r>
      <w:r w:rsidR="001B552D">
        <w:t xml:space="preserve"> (se avsnitt 1.2)</w:t>
      </w:r>
      <w:r w:rsidR="007772D4">
        <w:t xml:space="preserve">. </w:t>
      </w:r>
      <w:r w:rsidR="007772D4" w:rsidRPr="007772D4">
        <w:t>Enligt 1</w:t>
      </w:r>
      <w:r w:rsidR="000C71DD">
        <w:t> kap.</w:t>
      </w:r>
      <w:r w:rsidR="007772D4" w:rsidRPr="007772D4">
        <w:t xml:space="preserve"> 2</w:t>
      </w:r>
      <w:r w:rsidR="000C71DD">
        <w:t> §</w:t>
      </w:r>
      <w:r w:rsidR="007772D4" w:rsidRPr="007772D4">
        <w:t xml:space="preserve"> </w:t>
      </w:r>
      <w:r w:rsidR="002D3787">
        <w:t xml:space="preserve">i </w:t>
      </w:r>
      <w:r w:rsidR="007772D4" w:rsidRPr="007772D4">
        <w:t>regeringsformen ska den offen</w:t>
      </w:r>
      <w:r w:rsidR="007772D4" w:rsidRPr="007772D4">
        <w:t>t</w:t>
      </w:r>
      <w:r w:rsidR="007772D4" w:rsidRPr="007772D4">
        <w:t xml:space="preserve">liga makten utövas med respekt för alla människors lika värde och för den enskilda människans frihet och värdighet. Vidare ska det allmänna dels verka för att alla människor ska kunna uppnå delaktighet och jämlikhet i samhället och för att barns rätt tas till vara, dels motverka diskriminering av människor på grund av </w:t>
      </w:r>
      <w:r w:rsidR="007772D4">
        <w:t xml:space="preserve">bl.a. </w:t>
      </w:r>
      <w:r w:rsidR="007772D4" w:rsidRPr="007772D4">
        <w:t>funktionshinder</w:t>
      </w:r>
      <w:r w:rsidR="007772D4">
        <w:t>.</w:t>
      </w:r>
    </w:p>
    <w:p w14:paraId="266725A4" w14:textId="17D5F11E" w:rsidR="000D50CB" w:rsidRDefault="000D50CB" w:rsidP="00EB68F4">
      <w:pPr>
        <w:pStyle w:val="ANormal"/>
      </w:pPr>
      <w:r>
        <w:tab/>
      </w:r>
      <w:r w:rsidR="00296A6D" w:rsidRPr="00296A6D">
        <w:t>I förvaltningslagen (1986:223) finns krav på service och tillgänglighet för förvaltningsmyndigheter. Den 1 januari 2015 infördes bristande til</w:t>
      </w:r>
      <w:r w:rsidR="00296A6D" w:rsidRPr="00296A6D">
        <w:t>l</w:t>
      </w:r>
      <w:r w:rsidR="00296A6D" w:rsidRPr="00296A6D">
        <w:t xml:space="preserve">gänglighet som en ny form av diskriminering i </w:t>
      </w:r>
      <w:r w:rsidR="00296A6D">
        <w:t xml:space="preserve">den svenska </w:t>
      </w:r>
      <w:r w:rsidR="00296A6D" w:rsidRPr="00296A6D">
        <w:t>diskrimin</w:t>
      </w:r>
      <w:r w:rsidR="00296A6D" w:rsidRPr="00296A6D">
        <w:t>e</w:t>
      </w:r>
      <w:r w:rsidR="00296A6D" w:rsidRPr="00296A6D">
        <w:t>ringslagen</w:t>
      </w:r>
      <w:r w:rsidR="00296A6D" w:rsidRPr="00296A6D">
        <w:rPr>
          <w:color w:val="000000"/>
          <w:sz w:val="24"/>
          <w:szCs w:val="24"/>
          <w:lang w:val="sv-FI" w:eastAsia="sv-FI"/>
        </w:rPr>
        <w:t xml:space="preserve"> </w:t>
      </w:r>
      <w:r w:rsidR="00296A6D" w:rsidRPr="00296A6D">
        <w:rPr>
          <w:lang w:val="sv-FI"/>
        </w:rPr>
        <w:t>(2008:567)</w:t>
      </w:r>
      <w:r w:rsidR="00296A6D" w:rsidRPr="00296A6D">
        <w:t>. Med bristande tillgänglighet avses enligt 1</w:t>
      </w:r>
      <w:r w:rsidR="000C71DD">
        <w:t> kap.</w:t>
      </w:r>
      <w:r w:rsidR="00296A6D" w:rsidRPr="00296A6D">
        <w:t xml:space="preserve"> 4</w:t>
      </w:r>
      <w:r w:rsidR="000C71DD">
        <w:t> §</w:t>
      </w:r>
      <w:r w:rsidR="00296A6D" w:rsidRPr="00296A6D">
        <w:t xml:space="preserve"> första stycket </w:t>
      </w:r>
      <w:r w:rsidR="00296A6D">
        <w:t>i</w:t>
      </w:r>
      <w:r w:rsidR="00296A6D" w:rsidRPr="00296A6D">
        <w:t xml:space="preserve"> diskrimineringslagen att en person med en funktionsne</w:t>
      </w:r>
      <w:r w:rsidR="00296A6D" w:rsidRPr="00296A6D">
        <w:t>d</w:t>
      </w:r>
      <w:r w:rsidR="00296A6D" w:rsidRPr="00296A6D">
        <w:t>sättning missgynnas genom att sådana åtgärder för tillgänglighet inte har vidtagits för att den personen ska komma i en jämförbar situation med pe</w:t>
      </w:r>
      <w:r w:rsidR="00296A6D" w:rsidRPr="00296A6D">
        <w:t>r</w:t>
      </w:r>
      <w:r w:rsidR="00296A6D" w:rsidRPr="00296A6D">
        <w:t>soner utan denna funktionsnedsättning.</w:t>
      </w:r>
      <w:r>
        <w:t xml:space="preserve"> </w:t>
      </w:r>
      <w:r w:rsidR="00296A6D">
        <w:t xml:space="preserve">Det finns ett antal övriga </w:t>
      </w:r>
      <w:r>
        <w:t>förfat</w:t>
      </w:r>
      <w:r>
        <w:t>t</w:t>
      </w:r>
      <w:r>
        <w:t xml:space="preserve">ningar </w:t>
      </w:r>
      <w:r w:rsidR="00296A6D">
        <w:t xml:space="preserve">i Sverige som syftar till motverkandet av diskriminering p.g.a. funktionshinder. </w:t>
      </w:r>
      <w:r w:rsidR="00121084">
        <w:t xml:space="preserve">I </w:t>
      </w:r>
      <w:r w:rsidR="00296A6D">
        <w:t xml:space="preserve">detta sammanhang </w:t>
      </w:r>
      <w:r w:rsidR="00121084">
        <w:t xml:space="preserve">kan </w:t>
      </w:r>
      <w:r w:rsidR="00296A6D">
        <w:t xml:space="preserve">lyftas fram </w:t>
      </w:r>
      <w:r w:rsidR="00296A6D" w:rsidRPr="00296A6D">
        <w:t>förordningen (2001:526) om de statliga myndigheternas ansvar för genomförande av funktionshinderspolitiken</w:t>
      </w:r>
      <w:r w:rsidR="00296A6D">
        <w:t>. Enligt förordningen</w:t>
      </w:r>
      <w:r w:rsidR="00296A6D" w:rsidRPr="00296A6D">
        <w:t xml:space="preserve"> ska myndigheter under r</w:t>
      </w:r>
      <w:r w:rsidR="00296A6D" w:rsidRPr="00296A6D">
        <w:t>e</w:t>
      </w:r>
      <w:r w:rsidR="00296A6D" w:rsidRPr="00296A6D">
        <w:t>geringen utforma och bedriva sin verksamhet med beaktande av de funk</w:t>
      </w:r>
      <w:r w:rsidR="00296A6D" w:rsidRPr="00296A6D">
        <w:t>t</w:t>
      </w:r>
      <w:r w:rsidR="00296A6D" w:rsidRPr="00296A6D">
        <w:t>ionshinderspolitiska målen.</w:t>
      </w:r>
    </w:p>
    <w:p w14:paraId="1A2592DF" w14:textId="68849861" w:rsidR="007772D4" w:rsidRDefault="007772D4" w:rsidP="00EB68F4">
      <w:pPr>
        <w:pStyle w:val="ANormal"/>
      </w:pPr>
    </w:p>
    <w:p w14:paraId="7E537563" w14:textId="019B2D5B" w:rsidR="007070F5" w:rsidRDefault="007070F5" w:rsidP="00771C32">
      <w:pPr>
        <w:pStyle w:val="RubrikB"/>
      </w:pPr>
      <w:bookmarkStart w:id="10" w:name="_Toc524530390"/>
      <w:r>
        <w:t>2. Genomförandet av tillgänglighetsdirektivet på Åland</w:t>
      </w:r>
      <w:bookmarkEnd w:id="10"/>
    </w:p>
    <w:p w14:paraId="5B37B115" w14:textId="77777777" w:rsidR="007070F5" w:rsidRPr="007070F5" w:rsidRDefault="007070F5" w:rsidP="007070F5">
      <w:pPr>
        <w:pStyle w:val="Rubrikmellanrum"/>
      </w:pPr>
    </w:p>
    <w:p w14:paraId="05A923F9" w14:textId="428BAC2F" w:rsidR="006818FD" w:rsidRDefault="007070F5" w:rsidP="00771C32">
      <w:pPr>
        <w:pStyle w:val="RubrikC"/>
      </w:pPr>
      <w:bookmarkStart w:id="11" w:name="_Toc524530391"/>
      <w:r>
        <w:t>2</w:t>
      </w:r>
      <w:r w:rsidR="006818FD">
        <w:t>.</w:t>
      </w:r>
      <w:r>
        <w:t>1</w:t>
      </w:r>
      <w:r w:rsidR="006818FD">
        <w:t xml:space="preserve"> </w:t>
      </w:r>
      <w:r w:rsidR="00935646">
        <w:t>Tillgänglighetsdirektivet</w:t>
      </w:r>
      <w:bookmarkEnd w:id="11"/>
    </w:p>
    <w:p w14:paraId="44D5C31A" w14:textId="77777777" w:rsidR="006818FD" w:rsidRPr="006818FD" w:rsidRDefault="006818FD" w:rsidP="006818FD">
      <w:pPr>
        <w:pStyle w:val="Rubrikmellanrum"/>
      </w:pPr>
    </w:p>
    <w:p w14:paraId="2A42309D" w14:textId="4531EC89" w:rsidR="004A28E5" w:rsidRDefault="00E72281" w:rsidP="00771C32">
      <w:pPr>
        <w:pStyle w:val="RubrikD"/>
        <w:rPr>
          <w:lang w:val="sv-FI"/>
        </w:rPr>
      </w:pPr>
      <w:r>
        <w:rPr>
          <w:lang w:val="sv-FI"/>
        </w:rPr>
        <w:t xml:space="preserve">2.1.1 </w:t>
      </w:r>
      <w:r w:rsidR="0013054D">
        <w:rPr>
          <w:lang w:val="sv-FI"/>
        </w:rPr>
        <w:t>Direktivets syfte och tillämpningsområde</w:t>
      </w:r>
    </w:p>
    <w:p w14:paraId="1EF0720C" w14:textId="77777777" w:rsidR="0013054D" w:rsidRPr="0013054D" w:rsidRDefault="0013054D" w:rsidP="0013054D">
      <w:pPr>
        <w:pStyle w:val="Rubrikmellanrum"/>
        <w:rPr>
          <w:lang w:val="sv-FI"/>
        </w:rPr>
      </w:pPr>
    </w:p>
    <w:p w14:paraId="5BAF0A3C" w14:textId="035963B1" w:rsidR="00B066AA" w:rsidRDefault="004A28E5" w:rsidP="00E258B0">
      <w:pPr>
        <w:pStyle w:val="ANormal"/>
        <w:rPr>
          <w:lang w:val="sv-FI"/>
        </w:rPr>
      </w:pPr>
      <w:r w:rsidRPr="004A28E5">
        <w:rPr>
          <w:lang w:val="sv-FI"/>
        </w:rPr>
        <w:t>Europeiska kommissionen publicerade i december 2012 ett förslag till d</w:t>
      </w:r>
      <w:r w:rsidRPr="004A28E5">
        <w:rPr>
          <w:lang w:val="sv-FI"/>
        </w:rPr>
        <w:t>i</w:t>
      </w:r>
      <w:r w:rsidRPr="004A28E5">
        <w:rPr>
          <w:lang w:val="sv-FI"/>
        </w:rPr>
        <w:t>rektiv för att harmonisera krav på hur information på myndigheters web</w:t>
      </w:r>
      <w:r w:rsidRPr="004A28E5">
        <w:rPr>
          <w:lang w:val="sv-FI"/>
        </w:rPr>
        <w:t>b</w:t>
      </w:r>
      <w:r w:rsidRPr="004A28E5">
        <w:rPr>
          <w:lang w:val="sv-FI"/>
        </w:rPr>
        <w:t>platser ska tillgängliggöras så att alla i samhället ska kunna ta del av i</w:t>
      </w:r>
      <w:r w:rsidRPr="004A28E5">
        <w:rPr>
          <w:lang w:val="sv-FI"/>
        </w:rPr>
        <w:t>n</w:t>
      </w:r>
      <w:r w:rsidRPr="004A28E5">
        <w:rPr>
          <w:lang w:val="sv-FI"/>
        </w:rPr>
        <w:t xml:space="preserve">formationen. </w:t>
      </w:r>
      <w:r w:rsidR="0020591C">
        <w:rPr>
          <w:lang w:val="sv-FI"/>
        </w:rPr>
        <w:t>Tillgänglighetsdirektivet antogs e</w:t>
      </w:r>
      <w:r w:rsidRPr="004A28E5">
        <w:rPr>
          <w:lang w:val="sv-FI"/>
        </w:rPr>
        <w:t>fter närmare fyra års b</w:t>
      </w:r>
      <w:r w:rsidRPr="004A28E5">
        <w:rPr>
          <w:lang w:val="sv-FI"/>
        </w:rPr>
        <w:t>e</w:t>
      </w:r>
      <w:r w:rsidRPr="004A28E5">
        <w:rPr>
          <w:lang w:val="sv-FI"/>
        </w:rPr>
        <w:t>handling</w:t>
      </w:r>
      <w:r>
        <w:rPr>
          <w:lang w:val="sv-FI"/>
        </w:rPr>
        <w:t xml:space="preserve">. </w:t>
      </w:r>
      <w:r w:rsidRPr="004A28E5">
        <w:rPr>
          <w:lang w:val="sv-FI"/>
        </w:rPr>
        <w:t>Direktivet</w:t>
      </w:r>
      <w:r>
        <w:rPr>
          <w:lang w:val="sv-FI"/>
        </w:rPr>
        <w:t xml:space="preserve"> </w:t>
      </w:r>
      <w:r w:rsidRPr="004A28E5">
        <w:rPr>
          <w:lang w:val="sv-FI"/>
        </w:rPr>
        <w:t>trädde i kraft den 23 december 2016</w:t>
      </w:r>
      <w:r>
        <w:rPr>
          <w:lang w:val="sv-FI"/>
        </w:rPr>
        <w:t xml:space="preserve"> och det</w:t>
      </w:r>
      <w:r w:rsidRPr="004A28E5">
        <w:rPr>
          <w:lang w:val="sv-FI"/>
        </w:rPr>
        <w:t xml:space="preserve"> ska vara genomfört i medlemsstaterna senast den 23 september 2018.</w:t>
      </w:r>
      <w:r w:rsidR="0013054D">
        <w:rPr>
          <w:lang w:val="sv-FI"/>
        </w:rPr>
        <w:t xml:space="preserve"> </w:t>
      </w:r>
      <w:r w:rsidR="005565D7" w:rsidRPr="005565D7">
        <w:rPr>
          <w:lang w:val="sv-FI"/>
        </w:rPr>
        <w:t>Direktivet i</w:t>
      </w:r>
      <w:r w:rsidR="005565D7" w:rsidRPr="005565D7">
        <w:rPr>
          <w:lang w:val="sv-FI"/>
        </w:rPr>
        <w:t>n</w:t>
      </w:r>
      <w:r w:rsidR="005565D7" w:rsidRPr="005565D7">
        <w:rPr>
          <w:lang w:val="sv-FI"/>
        </w:rPr>
        <w:t>nehåller 15 artiklar.</w:t>
      </w:r>
      <w:r w:rsidR="008C1364">
        <w:rPr>
          <w:lang w:val="sv-FI"/>
        </w:rPr>
        <w:t xml:space="preserve"> </w:t>
      </w:r>
      <w:r w:rsidR="007E51D8">
        <w:rPr>
          <w:lang w:val="sv-FI"/>
        </w:rPr>
        <w:t>T</w:t>
      </w:r>
      <w:r w:rsidR="008C1364" w:rsidRPr="008C1364">
        <w:rPr>
          <w:lang w:val="sv-FI"/>
        </w:rPr>
        <w:t>illgänglighetsdirektivet är ett s.k. minimiharmonis</w:t>
      </w:r>
      <w:r w:rsidR="008C1364" w:rsidRPr="008C1364">
        <w:rPr>
          <w:lang w:val="sv-FI"/>
        </w:rPr>
        <w:t>e</w:t>
      </w:r>
      <w:r w:rsidR="008C1364" w:rsidRPr="008C1364">
        <w:rPr>
          <w:lang w:val="sv-FI"/>
        </w:rPr>
        <w:t>ringsdirektiv</w:t>
      </w:r>
      <w:r w:rsidR="007E51D8">
        <w:rPr>
          <w:lang w:val="sv-FI"/>
        </w:rPr>
        <w:t xml:space="preserve"> och m</w:t>
      </w:r>
      <w:r w:rsidR="008C1364" w:rsidRPr="008C1364">
        <w:rPr>
          <w:lang w:val="sv-FI"/>
        </w:rPr>
        <w:t xml:space="preserve">edlemsstaterna får </w:t>
      </w:r>
      <w:proofErr w:type="gramStart"/>
      <w:r w:rsidR="008C1364" w:rsidRPr="008C1364">
        <w:rPr>
          <w:lang w:val="sv-FI"/>
        </w:rPr>
        <w:t>bibehålla</w:t>
      </w:r>
      <w:proofErr w:type="gramEnd"/>
      <w:r w:rsidR="008C1364" w:rsidRPr="008C1364">
        <w:rPr>
          <w:lang w:val="sv-FI"/>
        </w:rPr>
        <w:t xml:space="preserve"> eller införa åtgärder i e</w:t>
      </w:r>
      <w:r w:rsidR="008C1364" w:rsidRPr="008C1364">
        <w:rPr>
          <w:lang w:val="sv-FI"/>
        </w:rPr>
        <w:t>n</w:t>
      </w:r>
      <w:r w:rsidR="008C1364" w:rsidRPr="008C1364">
        <w:rPr>
          <w:lang w:val="sv-FI"/>
        </w:rPr>
        <w:t xml:space="preserve">lighet med </w:t>
      </w:r>
      <w:r w:rsidR="0008583D">
        <w:rPr>
          <w:lang w:val="sv-FI"/>
        </w:rPr>
        <w:t>EU-</w:t>
      </w:r>
      <w:r w:rsidR="008C1364" w:rsidRPr="008C1364">
        <w:rPr>
          <w:lang w:val="sv-FI"/>
        </w:rPr>
        <w:t>rätten som går utöver de minimikrav som fastställs i direkt</w:t>
      </w:r>
      <w:r w:rsidR="008C1364" w:rsidRPr="008C1364">
        <w:rPr>
          <w:lang w:val="sv-FI"/>
        </w:rPr>
        <w:t>i</w:t>
      </w:r>
      <w:r w:rsidR="008C1364" w:rsidRPr="008C1364">
        <w:rPr>
          <w:lang w:val="sv-FI"/>
        </w:rPr>
        <w:t>vet.</w:t>
      </w:r>
      <w:r w:rsidR="007E51D8">
        <w:rPr>
          <w:lang w:val="sv-FI"/>
        </w:rPr>
        <w:t xml:space="preserve"> Direktivet syftar till att myndigheters </w:t>
      </w:r>
      <w:r w:rsidRPr="004A28E5">
        <w:rPr>
          <w:lang w:val="sv-FI"/>
        </w:rPr>
        <w:t>webbplatser och mobila applika</w:t>
      </w:r>
      <w:r w:rsidRPr="004A28E5">
        <w:rPr>
          <w:lang w:val="sv-FI"/>
        </w:rPr>
        <w:t>t</w:t>
      </w:r>
      <w:r w:rsidRPr="004A28E5">
        <w:rPr>
          <w:lang w:val="sv-FI"/>
        </w:rPr>
        <w:t>ioner ska bli mer tillgängliga för användare, och då särskilt för personer med funktionsnedsättning.</w:t>
      </w:r>
    </w:p>
    <w:p w14:paraId="37005157" w14:textId="17521DE6" w:rsidR="00AD1498" w:rsidRDefault="00B066AA" w:rsidP="00AD1498">
      <w:pPr>
        <w:pStyle w:val="ANormal"/>
        <w:rPr>
          <w:lang w:val="sv-FI"/>
        </w:rPr>
      </w:pPr>
      <w:r>
        <w:rPr>
          <w:lang w:val="sv-FI"/>
        </w:rPr>
        <w:tab/>
      </w:r>
      <w:r w:rsidR="004A28E5" w:rsidRPr="004A28E5">
        <w:rPr>
          <w:lang w:val="sv-FI"/>
        </w:rPr>
        <w:t xml:space="preserve">Direktivets bestämmelser gäller för offentliga myndigheters webbplatser och mobila applikationer. </w:t>
      </w:r>
      <w:r w:rsidR="00995CA4">
        <w:rPr>
          <w:lang w:val="sv-FI"/>
        </w:rPr>
        <w:t>Enligt direktivets artikel 3.1 avses m</w:t>
      </w:r>
      <w:r w:rsidR="004A28E5" w:rsidRPr="004A28E5">
        <w:rPr>
          <w:lang w:val="sv-FI"/>
        </w:rPr>
        <w:t>ed offentliga myndigheter</w:t>
      </w:r>
      <w:bookmarkStart w:id="12" w:name="_Hlk511055127"/>
    </w:p>
    <w:p w14:paraId="103E2680" w14:textId="4451B48E" w:rsidR="00AD1498" w:rsidRDefault="00AD1498" w:rsidP="00AD1498">
      <w:pPr>
        <w:pStyle w:val="ANormal"/>
        <w:rPr>
          <w:lang w:val="sv-FI"/>
        </w:rPr>
      </w:pPr>
      <w:r>
        <w:rPr>
          <w:lang w:val="sv-FI"/>
        </w:rPr>
        <w:tab/>
        <w:t xml:space="preserve">a) </w:t>
      </w:r>
      <w:r w:rsidR="00995CA4" w:rsidRPr="00995CA4">
        <w:rPr>
          <w:lang w:val="sv-FI"/>
        </w:rPr>
        <w:t>statliga, regionala eller lokala myndigheter,</w:t>
      </w:r>
    </w:p>
    <w:p w14:paraId="6471BF41" w14:textId="0D8887AD" w:rsidR="00AD1498" w:rsidRDefault="00AD1498" w:rsidP="00AD1498">
      <w:pPr>
        <w:pStyle w:val="ANormal"/>
        <w:rPr>
          <w:lang w:val="sv-FI"/>
        </w:rPr>
      </w:pPr>
      <w:r>
        <w:rPr>
          <w:lang w:val="sv-FI"/>
        </w:rPr>
        <w:tab/>
        <w:t xml:space="preserve">b) </w:t>
      </w:r>
      <w:r w:rsidR="00995CA4" w:rsidRPr="00995CA4">
        <w:rPr>
          <w:lang w:val="sv-FI"/>
        </w:rPr>
        <w:t>offentligrättsliga organ enligt definitionen i led 4 i artikel 2.1 i Eur</w:t>
      </w:r>
      <w:r w:rsidR="00995CA4" w:rsidRPr="00995CA4">
        <w:rPr>
          <w:lang w:val="sv-FI"/>
        </w:rPr>
        <w:t>o</w:t>
      </w:r>
      <w:r w:rsidR="00995CA4" w:rsidRPr="00995CA4">
        <w:rPr>
          <w:lang w:val="sv-FI"/>
        </w:rPr>
        <w:t>paparlamentets och rådets direktiv 2014/24/EU eller</w:t>
      </w:r>
    </w:p>
    <w:p w14:paraId="74558465" w14:textId="0BD4496F" w:rsidR="00995CA4" w:rsidRDefault="00AD1498" w:rsidP="00AD1498">
      <w:pPr>
        <w:pStyle w:val="ANormal"/>
        <w:rPr>
          <w:lang w:val="sv-FI"/>
        </w:rPr>
      </w:pPr>
      <w:r>
        <w:rPr>
          <w:lang w:val="sv-FI"/>
        </w:rPr>
        <w:tab/>
        <w:t xml:space="preserve">c) </w:t>
      </w:r>
      <w:r w:rsidR="00995CA4" w:rsidRPr="00995CA4">
        <w:rPr>
          <w:lang w:val="sv-FI"/>
        </w:rPr>
        <w:t>sammanslutningar av en eller flera sådana myndigheter eller ett eller flera sådana offentligrättsliga organ, om dessa sammanslutningar särskilt inrättats för att tillgodose behov i det allmännas intresse, utan industriell e</w:t>
      </w:r>
      <w:r w:rsidR="00995CA4" w:rsidRPr="00995CA4">
        <w:rPr>
          <w:lang w:val="sv-FI"/>
        </w:rPr>
        <w:t>l</w:t>
      </w:r>
      <w:r w:rsidR="00995CA4" w:rsidRPr="00995CA4">
        <w:rPr>
          <w:lang w:val="sv-FI"/>
        </w:rPr>
        <w:t>ler kommersiell karaktär.</w:t>
      </w:r>
    </w:p>
    <w:bookmarkEnd w:id="12"/>
    <w:p w14:paraId="56F8DBED" w14:textId="4583C9E3" w:rsidR="00996C66" w:rsidRDefault="005351C2" w:rsidP="00996C66">
      <w:pPr>
        <w:pStyle w:val="ANormal"/>
        <w:rPr>
          <w:lang w:val="sv-FI"/>
        </w:rPr>
      </w:pPr>
      <w:r>
        <w:rPr>
          <w:lang w:val="sv-FI"/>
        </w:rPr>
        <w:tab/>
        <w:t xml:space="preserve">De offentligrättsliga organ som </w:t>
      </w:r>
      <w:r w:rsidR="00A7271D">
        <w:rPr>
          <w:lang w:val="sv-FI"/>
        </w:rPr>
        <w:t xml:space="preserve">avses </w:t>
      </w:r>
      <w:r>
        <w:rPr>
          <w:lang w:val="sv-FI"/>
        </w:rPr>
        <w:t xml:space="preserve">i direktiv 2014/24/EU (det s.k. upphandlingsdirektivet) </w:t>
      </w:r>
      <w:r w:rsidR="00A7271D">
        <w:rPr>
          <w:lang w:val="sv-FI"/>
        </w:rPr>
        <w:t xml:space="preserve">definieras </w:t>
      </w:r>
      <w:r>
        <w:rPr>
          <w:lang w:val="sv-FI"/>
        </w:rPr>
        <w:t xml:space="preserve">som </w:t>
      </w:r>
      <w:r w:rsidRPr="005351C2">
        <w:rPr>
          <w:lang w:val="sv-FI"/>
        </w:rPr>
        <w:t>varje organ som har samtliga fö</w:t>
      </w:r>
      <w:r w:rsidRPr="005351C2">
        <w:rPr>
          <w:lang w:val="sv-FI"/>
        </w:rPr>
        <w:t>l</w:t>
      </w:r>
      <w:r w:rsidRPr="005351C2">
        <w:rPr>
          <w:lang w:val="sv-FI"/>
        </w:rPr>
        <w:t>jande egenskaper:</w:t>
      </w:r>
    </w:p>
    <w:p w14:paraId="347C9EFD" w14:textId="77777777" w:rsidR="00996C66" w:rsidRDefault="00996C66" w:rsidP="00996C66">
      <w:pPr>
        <w:pStyle w:val="ANormal"/>
        <w:rPr>
          <w:lang w:val="sv-FI"/>
        </w:rPr>
      </w:pPr>
      <w:r>
        <w:rPr>
          <w:lang w:val="sv-FI"/>
        </w:rPr>
        <w:tab/>
        <w:t xml:space="preserve">a) </w:t>
      </w:r>
      <w:r w:rsidR="00DB436A" w:rsidRPr="00996C66">
        <w:rPr>
          <w:lang w:val="sv-FI"/>
        </w:rPr>
        <w:t>de har särskilt inrättats för att tillgodose behov i det allmännas i</w:t>
      </w:r>
      <w:r w:rsidR="00DB436A" w:rsidRPr="00996C66">
        <w:rPr>
          <w:lang w:val="sv-FI"/>
        </w:rPr>
        <w:t>n</w:t>
      </w:r>
      <w:r w:rsidR="00DB436A" w:rsidRPr="00996C66">
        <w:rPr>
          <w:lang w:val="sv-FI"/>
        </w:rPr>
        <w:t>tresse, utan industriell eller kommersiell karaktär,</w:t>
      </w:r>
    </w:p>
    <w:p w14:paraId="5CC8703C" w14:textId="77777777" w:rsidR="00996C66" w:rsidRDefault="00996C66" w:rsidP="00996C66">
      <w:pPr>
        <w:pStyle w:val="ANormal"/>
        <w:rPr>
          <w:lang w:val="sv-FI"/>
        </w:rPr>
      </w:pPr>
      <w:r>
        <w:rPr>
          <w:lang w:val="sv-FI"/>
        </w:rPr>
        <w:tab/>
        <w:t xml:space="preserve">b) </w:t>
      </w:r>
      <w:r w:rsidR="00DB436A" w:rsidRPr="00996C66">
        <w:rPr>
          <w:lang w:val="sv-FI"/>
        </w:rPr>
        <w:t>de är juridiska personer, samt</w:t>
      </w:r>
    </w:p>
    <w:p w14:paraId="14469F5D" w14:textId="54FA0389" w:rsidR="00DB436A" w:rsidRPr="00996C66" w:rsidRDefault="00996C66" w:rsidP="00996C66">
      <w:pPr>
        <w:pStyle w:val="ANormal"/>
        <w:rPr>
          <w:lang w:val="sv-FI"/>
        </w:rPr>
      </w:pPr>
      <w:r>
        <w:rPr>
          <w:lang w:val="sv-FI"/>
        </w:rPr>
        <w:tab/>
        <w:t xml:space="preserve">c) </w:t>
      </w:r>
      <w:r w:rsidR="00DB436A" w:rsidRPr="00996C66">
        <w:rPr>
          <w:lang w:val="sv-FI"/>
        </w:rPr>
        <w:t>de finansieras till största delen av statliga, regionala eller lokala my</w:t>
      </w:r>
      <w:r w:rsidR="00DB436A" w:rsidRPr="00996C66">
        <w:rPr>
          <w:lang w:val="sv-FI"/>
        </w:rPr>
        <w:t>n</w:t>
      </w:r>
      <w:r w:rsidR="00DB436A" w:rsidRPr="00996C66">
        <w:rPr>
          <w:lang w:val="sv-FI"/>
        </w:rPr>
        <w:t>digheter, eller av andra offentligrättsliga organ, eller står under administr</w:t>
      </w:r>
      <w:r w:rsidR="00DB436A" w:rsidRPr="00996C66">
        <w:rPr>
          <w:lang w:val="sv-FI"/>
        </w:rPr>
        <w:t>a</w:t>
      </w:r>
      <w:r w:rsidR="00DB436A" w:rsidRPr="00996C66">
        <w:rPr>
          <w:lang w:val="sv-FI"/>
        </w:rPr>
        <w:t xml:space="preserve">tiv tillsyn av sådana myndigheter eller organ; eller de har ett förvaltnings-, </w:t>
      </w:r>
      <w:r w:rsidR="00DB436A" w:rsidRPr="00996C66">
        <w:rPr>
          <w:lang w:val="sv-FI"/>
        </w:rPr>
        <w:lastRenderedPageBreak/>
        <w:t>lednings- eller kontrollorgan där mer än hälften av ledamöterna utses av staten, regionala eller lokala myndigheter, eller av andra offentligrättsliga organ.</w:t>
      </w:r>
    </w:p>
    <w:p w14:paraId="37084CE3" w14:textId="49C9B464" w:rsidR="0013054D" w:rsidRPr="00A909DF" w:rsidRDefault="0013054D" w:rsidP="0013054D">
      <w:pPr>
        <w:pStyle w:val="ANormal"/>
        <w:rPr>
          <w:lang w:val="sv-FI"/>
        </w:rPr>
      </w:pPr>
      <w:r>
        <w:tab/>
      </w:r>
      <w:r w:rsidR="005351C2">
        <w:t xml:space="preserve">Tillgänglighetsdirektivet </w:t>
      </w:r>
      <w:r w:rsidR="00A909DF">
        <w:t>är inte tillämpligt i förhållande till vissa web</w:t>
      </w:r>
      <w:r w:rsidR="00A909DF">
        <w:t>b</w:t>
      </w:r>
      <w:r w:rsidR="00A909DF">
        <w:t xml:space="preserve">platser och mobila applikationer. Detta är fallet gällande </w:t>
      </w:r>
      <w:r w:rsidRPr="0013054D">
        <w:rPr>
          <w:lang w:val="sv-FI"/>
        </w:rPr>
        <w:t>radio-</w:t>
      </w:r>
      <w:r w:rsidR="007E51D8">
        <w:rPr>
          <w:lang w:val="sv-FI"/>
        </w:rPr>
        <w:t xml:space="preserve"> </w:t>
      </w:r>
      <w:r w:rsidRPr="0013054D">
        <w:rPr>
          <w:lang w:val="sv-FI"/>
        </w:rPr>
        <w:t>och televi</w:t>
      </w:r>
      <w:r w:rsidRPr="0013054D">
        <w:rPr>
          <w:lang w:val="sv-FI"/>
        </w:rPr>
        <w:t>s</w:t>
      </w:r>
      <w:r w:rsidRPr="0013054D">
        <w:rPr>
          <w:lang w:val="sv-FI"/>
        </w:rPr>
        <w:t>ionsföretag med uppdrag i allmänhetens tjänst eller deras dotterbolag. D</w:t>
      </w:r>
      <w:r w:rsidRPr="0013054D">
        <w:rPr>
          <w:lang w:val="sv-FI"/>
        </w:rPr>
        <w:t>i</w:t>
      </w:r>
      <w:r w:rsidRPr="0013054D">
        <w:rPr>
          <w:lang w:val="sv-FI"/>
        </w:rPr>
        <w:t>rektivet är inte heller tillämpligt på webbplatser och mobila applikationer tillhörande icke-statliga organisationer som inte tillhandahåller tjänster som är väsentliga för allmänheten eller tjänster som specifikt tillgodoser beh</w:t>
      </w:r>
      <w:r w:rsidRPr="0013054D">
        <w:rPr>
          <w:lang w:val="sv-FI"/>
        </w:rPr>
        <w:t>o</w:t>
      </w:r>
      <w:r w:rsidRPr="0013054D">
        <w:rPr>
          <w:lang w:val="sv-FI"/>
        </w:rPr>
        <w:t xml:space="preserve">ven för eller är avsedda för personer med funktionsnedsättning. I </w:t>
      </w:r>
      <w:r w:rsidR="007E51D8">
        <w:rPr>
          <w:lang w:val="sv-FI"/>
        </w:rPr>
        <w:t>direktivet</w:t>
      </w:r>
      <w:r w:rsidR="00C23875">
        <w:rPr>
          <w:lang w:val="sv-FI"/>
        </w:rPr>
        <w:t xml:space="preserve"> </w:t>
      </w:r>
      <w:r w:rsidR="007E51D8">
        <w:rPr>
          <w:lang w:val="sv-FI"/>
        </w:rPr>
        <w:t xml:space="preserve">räknas upp </w:t>
      </w:r>
      <w:r w:rsidRPr="0013054D">
        <w:rPr>
          <w:lang w:val="sv-FI"/>
        </w:rPr>
        <w:t>olika typer av innehåll på webbplatser och i mobila applikatio</w:t>
      </w:r>
      <w:r w:rsidRPr="0013054D">
        <w:rPr>
          <w:lang w:val="sv-FI"/>
        </w:rPr>
        <w:t>n</w:t>
      </w:r>
      <w:r w:rsidRPr="0013054D">
        <w:rPr>
          <w:lang w:val="sv-FI"/>
        </w:rPr>
        <w:t>er som direktivet inte är tillämpligt på</w:t>
      </w:r>
      <w:r w:rsidR="00A909DF">
        <w:rPr>
          <w:lang w:val="sv-FI"/>
        </w:rPr>
        <w:t xml:space="preserve">. Ett exempel på detta är innehåll </w:t>
      </w:r>
      <w:r w:rsidR="00A909DF" w:rsidRPr="00A909DF">
        <w:t>i e</w:t>
      </w:r>
      <w:r w:rsidR="00A909DF" w:rsidRPr="00A909DF">
        <w:t>x</w:t>
      </w:r>
      <w:r w:rsidR="00A909DF" w:rsidRPr="00A909DF">
        <w:t>tranät och intranät</w:t>
      </w:r>
      <w:r w:rsidR="00A909DF">
        <w:t xml:space="preserve">, dvs. </w:t>
      </w:r>
      <w:r w:rsidR="00A909DF" w:rsidRPr="00A909DF">
        <w:t>webbplatser som endast är tillgängliga för slutna grupper och inte för allmänheten</w:t>
      </w:r>
      <w:r w:rsidR="00A909DF">
        <w:t xml:space="preserve">. </w:t>
      </w:r>
      <w:r w:rsidR="00C23875">
        <w:t xml:space="preserve">Det är också möjligt </w:t>
      </w:r>
      <w:r w:rsidR="00C23875">
        <w:rPr>
          <w:lang w:val="sv-FI"/>
        </w:rPr>
        <w:t xml:space="preserve">att </w:t>
      </w:r>
      <w:r w:rsidRPr="0013054D">
        <w:rPr>
          <w:lang w:val="sv-FI"/>
        </w:rPr>
        <w:t>undanta web</w:t>
      </w:r>
      <w:r w:rsidRPr="0013054D">
        <w:rPr>
          <w:lang w:val="sv-FI"/>
        </w:rPr>
        <w:t>b</w:t>
      </w:r>
      <w:r w:rsidRPr="0013054D">
        <w:rPr>
          <w:lang w:val="sv-FI"/>
        </w:rPr>
        <w:t>platser och mobila applikationer tillhörande skolor, daghem och förskolor från direktivets tillämpning, med undantag av innehåll som hänför sig till väsentliga administrativa funktioner online.</w:t>
      </w:r>
      <w:r w:rsidR="006F26AD">
        <w:rPr>
          <w:lang w:val="sv-FI"/>
        </w:rPr>
        <w:t xml:space="preserve"> Det finns också ett antal öve</w:t>
      </w:r>
      <w:r w:rsidR="006F26AD">
        <w:rPr>
          <w:lang w:val="sv-FI"/>
        </w:rPr>
        <w:t>r</w:t>
      </w:r>
      <w:r w:rsidR="006F26AD">
        <w:rPr>
          <w:lang w:val="sv-FI"/>
        </w:rPr>
        <w:t>gångstider för efterlevandet av tillgänglighetskraven i förhållande till olika webbplatser och mobila applikationer.</w:t>
      </w:r>
    </w:p>
    <w:p w14:paraId="254D5521" w14:textId="259EA6DC" w:rsidR="0013054D" w:rsidRDefault="0013054D" w:rsidP="00E258B0">
      <w:pPr>
        <w:pStyle w:val="ANormal"/>
      </w:pPr>
    </w:p>
    <w:p w14:paraId="5274107A" w14:textId="0E95CDB6" w:rsidR="00A909DF" w:rsidRDefault="00E72281" w:rsidP="00771C32">
      <w:pPr>
        <w:pStyle w:val="RubrikD"/>
      </w:pPr>
      <w:r>
        <w:t xml:space="preserve">2.1.2 </w:t>
      </w:r>
      <w:r w:rsidR="00A909DF">
        <w:t>Skyldigheterna i direktivet</w:t>
      </w:r>
    </w:p>
    <w:p w14:paraId="131674DD" w14:textId="77777777" w:rsidR="008C1364" w:rsidRDefault="008C1364" w:rsidP="008C1364">
      <w:pPr>
        <w:pStyle w:val="Rubrikmellanrum"/>
        <w:rPr>
          <w:lang w:val="sv-FI"/>
        </w:rPr>
      </w:pPr>
    </w:p>
    <w:p w14:paraId="5514A8BF" w14:textId="74F9CF1B" w:rsidR="00254A65" w:rsidRDefault="00C23875" w:rsidP="00A909DF">
      <w:pPr>
        <w:pStyle w:val="ANormal"/>
        <w:rPr>
          <w:lang w:val="sv-FI"/>
        </w:rPr>
      </w:pPr>
      <w:r>
        <w:t>A</w:t>
      </w:r>
      <w:r w:rsidR="00C61D3C">
        <w:t>rtikel 4 i tillgänglighetsdirektivet in</w:t>
      </w:r>
      <w:r>
        <w:t>nehåller</w:t>
      </w:r>
      <w:r w:rsidR="00C61D3C">
        <w:t xml:space="preserve"> t</w:t>
      </w:r>
      <w:r w:rsidR="00C61D3C" w:rsidRPr="00C61D3C">
        <w:t xml:space="preserve">illgänglighetskrav </w:t>
      </w:r>
      <w:r w:rsidR="002E69ED">
        <w:t>för</w:t>
      </w:r>
      <w:r w:rsidR="00C61D3C" w:rsidRPr="00C61D3C">
        <w:t xml:space="preserve"> offen</w:t>
      </w:r>
      <w:r w:rsidR="00C61D3C" w:rsidRPr="00C61D3C">
        <w:t>t</w:t>
      </w:r>
      <w:r w:rsidR="00C61D3C" w:rsidRPr="00C61D3C">
        <w:t>liga myndigheters webbplatser och mobila applikationer</w:t>
      </w:r>
      <w:r w:rsidR="00C61D3C">
        <w:t xml:space="preserve">. </w:t>
      </w:r>
      <w:r w:rsidR="00AB1050">
        <w:t>Medlemsstaterna</w:t>
      </w:r>
      <w:r w:rsidR="00C61D3C">
        <w:rPr>
          <w:lang w:val="sv-FI"/>
        </w:rPr>
        <w:t xml:space="preserve"> ska </w:t>
      </w:r>
      <w:r w:rsidR="00A909DF" w:rsidRPr="00A909DF">
        <w:rPr>
          <w:lang w:val="sv-FI"/>
        </w:rPr>
        <w:t>säkerställa att myndigheter</w:t>
      </w:r>
      <w:r w:rsidR="0052593F">
        <w:rPr>
          <w:lang w:val="sv-FI"/>
        </w:rPr>
        <w:t>na</w:t>
      </w:r>
      <w:r w:rsidR="00A909DF" w:rsidRPr="00A909DF">
        <w:rPr>
          <w:lang w:val="sv-FI"/>
        </w:rPr>
        <w:t xml:space="preserve"> vidtar de åtgärder som är nödvändiga för att göra sina webbplatser och mobila applikationer mer tillgängliga genom att göra dem möjliga </w:t>
      </w:r>
      <w:r w:rsidR="00A909DF" w:rsidRPr="00970D55">
        <w:rPr>
          <w:lang w:val="sv-FI"/>
        </w:rPr>
        <w:t>att uppfatta, hanterbara, begripliga och robusta.</w:t>
      </w:r>
      <w:r w:rsidR="00A909DF" w:rsidRPr="00A909DF">
        <w:rPr>
          <w:lang w:val="sv-FI"/>
        </w:rPr>
        <w:t xml:space="preserve"> </w:t>
      </w:r>
      <w:r w:rsidR="008C1364" w:rsidRPr="008C1364">
        <w:rPr>
          <w:lang w:val="sv-FI"/>
        </w:rPr>
        <w:t xml:space="preserve">Dessa fyra principer utgör </w:t>
      </w:r>
      <w:r w:rsidR="004E171C">
        <w:rPr>
          <w:lang w:val="sv-FI"/>
        </w:rPr>
        <w:t xml:space="preserve">också </w:t>
      </w:r>
      <w:r w:rsidR="008C1364" w:rsidRPr="008C1364">
        <w:rPr>
          <w:lang w:val="sv-FI"/>
        </w:rPr>
        <w:t xml:space="preserve">grunden för Web </w:t>
      </w:r>
      <w:proofErr w:type="spellStart"/>
      <w:r w:rsidR="008C1364" w:rsidRPr="008C1364">
        <w:rPr>
          <w:lang w:val="sv-FI"/>
        </w:rPr>
        <w:t>Content</w:t>
      </w:r>
      <w:proofErr w:type="spellEnd"/>
      <w:r w:rsidR="008C1364" w:rsidRPr="008C1364">
        <w:rPr>
          <w:lang w:val="sv-FI"/>
        </w:rPr>
        <w:t xml:space="preserve"> </w:t>
      </w:r>
      <w:proofErr w:type="spellStart"/>
      <w:r w:rsidR="008C1364" w:rsidRPr="008C1364">
        <w:rPr>
          <w:lang w:val="sv-FI"/>
        </w:rPr>
        <w:t>Accessibility</w:t>
      </w:r>
      <w:proofErr w:type="spellEnd"/>
      <w:r w:rsidR="008C1364" w:rsidRPr="008C1364">
        <w:rPr>
          <w:lang w:val="sv-FI"/>
        </w:rPr>
        <w:t xml:space="preserve"> </w:t>
      </w:r>
      <w:proofErr w:type="spellStart"/>
      <w:r w:rsidR="008C1364" w:rsidRPr="008C1364">
        <w:rPr>
          <w:lang w:val="sv-FI"/>
        </w:rPr>
        <w:t>Guidel</w:t>
      </w:r>
      <w:r w:rsidR="008C1364" w:rsidRPr="008C1364">
        <w:rPr>
          <w:lang w:val="sv-FI"/>
        </w:rPr>
        <w:t>i</w:t>
      </w:r>
      <w:r w:rsidR="008C1364" w:rsidRPr="008C1364">
        <w:rPr>
          <w:lang w:val="sv-FI"/>
        </w:rPr>
        <w:t>nes</w:t>
      </w:r>
      <w:proofErr w:type="spellEnd"/>
      <w:r w:rsidR="008C1364" w:rsidRPr="008C1364">
        <w:rPr>
          <w:lang w:val="sv-FI"/>
        </w:rPr>
        <w:t xml:space="preserve"> 2.0 </w:t>
      </w:r>
      <w:r w:rsidR="008C1364">
        <w:rPr>
          <w:lang w:val="sv-FI"/>
        </w:rPr>
        <w:t>(</w:t>
      </w:r>
      <w:r w:rsidR="008C1364" w:rsidRPr="008C1364">
        <w:rPr>
          <w:lang w:val="sv-FI"/>
        </w:rPr>
        <w:t>WCAG 2.0</w:t>
      </w:r>
      <w:r w:rsidR="008C1364">
        <w:rPr>
          <w:lang w:val="sv-FI"/>
        </w:rPr>
        <w:t>)</w:t>
      </w:r>
      <w:r>
        <w:rPr>
          <w:lang w:val="sv-FI"/>
        </w:rPr>
        <w:t xml:space="preserve"> som är </w:t>
      </w:r>
      <w:r w:rsidR="008C1364">
        <w:rPr>
          <w:lang w:val="sv-FI"/>
        </w:rPr>
        <w:t xml:space="preserve">en standard </w:t>
      </w:r>
      <w:r w:rsidR="008C1364" w:rsidRPr="008C1364">
        <w:rPr>
          <w:lang w:val="sv-FI"/>
        </w:rPr>
        <w:t>för webbutveckling</w:t>
      </w:r>
      <w:r>
        <w:rPr>
          <w:lang w:val="sv-FI"/>
        </w:rPr>
        <w:t xml:space="preserve">. Standarden har tagits fram av </w:t>
      </w:r>
      <w:r w:rsidR="006F26AD">
        <w:rPr>
          <w:lang w:val="sv-FI"/>
        </w:rPr>
        <w:t xml:space="preserve">ett </w:t>
      </w:r>
      <w:r w:rsidRPr="00C23875">
        <w:rPr>
          <w:lang w:val="sv-FI"/>
        </w:rPr>
        <w:t xml:space="preserve">internationellt konsortium som består både </w:t>
      </w:r>
      <w:r w:rsidR="0052593F">
        <w:rPr>
          <w:lang w:val="sv-FI"/>
        </w:rPr>
        <w:t xml:space="preserve">av </w:t>
      </w:r>
      <w:r w:rsidRPr="00C23875">
        <w:rPr>
          <w:lang w:val="sv-FI"/>
        </w:rPr>
        <w:t>statliga och privata aktörer</w:t>
      </w:r>
      <w:r w:rsidR="008C1364">
        <w:rPr>
          <w:lang w:val="sv-FI"/>
        </w:rPr>
        <w:t xml:space="preserve"> </w:t>
      </w:r>
      <w:r w:rsidR="008C1364" w:rsidRPr="008C1364">
        <w:rPr>
          <w:lang w:val="sv-FI"/>
        </w:rPr>
        <w:t>(W3C)</w:t>
      </w:r>
      <w:r w:rsidR="008C1364">
        <w:rPr>
          <w:lang w:val="sv-FI"/>
        </w:rPr>
        <w:t>.</w:t>
      </w:r>
      <w:r w:rsidR="00254A65">
        <w:rPr>
          <w:lang w:val="sv-FI"/>
        </w:rPr>
        <w:t xml:space="preserve"> Liknande standarder har också tagits fram på europeisk nivå (s.k. EN-standard). D</w:t>
      </w:r>
      <w:r w:rsidR="00254A65" w:rsidRPr="00254A65">
        <w:rPr>
          <w:lang w:val="sv-FI"/>
        </w:rPr>
        <w:t xml:space="preserve">en europeiska standarden </w:t>
      </w:r>
      <w:bookmarkStart w:id="13" w:name="_Hlk507596659"/>
      <w:r w:rsidR="00254A65" w:rsidRPr="00254A65">
        <w:rPr>
          <w:lang w:val="sv-FI"/>
        </w:rPr>
        <w:t>EN 301 549 V1.1.2 (</w:t>
      </w:r>
      <w:r w:rsidR="002C5FBA" w:rsidRPr="00254A65">
        <w:rPr>
          <w:lang w:val="sv-FI"/>
        </w:rPr>
        <w:t>2015–04</w:t>
      </w:r>
      <w:r w:rsidR="00254A65" w:rsidRPr="00254A65">
        <w:rPr>
          <w:lang w:val="sv-FI"/>
        </w:rPr>
        <w:t>)</w:t>
      </w:r>
      <w:r w:rsidR="00254A65">
        <w:rPr>
          <w:lang w:val="sv-FI"/>
        </w:rPr>
        <w:t xml:space="preserve"> </w:t>
      </w:r>
      <w:bookmarkEnd w:id="13"/>
      <w:r w:rsidR="00254A65" w:rsidRPr="00254A65">
        <w:rPr>
          <w:lang w:val="sv-FI"/>
        </w:rPr>
        <w:t>specificerar funktionella tillgänglighetskrav för informa</w:t>
      </w:r>
      <w:r w:rsidR="00254A65" w:rsidRPr="00254A65">
        <w:rPr>
          <w:lang w:val="sv-FI"/>
        </w:rPr>
        <w:t>t</w:t>
      </w:r>
      <w:r w:rsidR="00254A65" w:rsidRPr="00254A65">
        <w:rPr>
          <w:lang w:val="sv-FI"/>
        </w:rPr>
        <w:t>ions-</w:t>
      </w:r>
      <w:r w:rsidR="002C5FBA">
        <w:rPr>
          <w:lang w:val="sv-FI"/>
        </w:rPr>
        <w:t xml:space="preserve"> </w:t>
      </w:r>
      <w:r w:rsidR="00254A65" w:rsidRPr="00254A65">
        <w:rPr>
          <w:lang w:val="sv-FI"/>
        </w:rPr>
        <w:t>och kommunikationsteknikprodukter och -tjänster.</w:t>
      </w:r>
      <w:r w:rsidR="00254A65">
        <w:rPr>
          <w:lang w:val="sv-FI"/>
        </w:rPr>
        <w:t xml:space="preserve"> </w:t>
      </w:r>
      <w:r w:rsidR="00254A65" w:rsidRPr="00254A65">
        <w:rPr>
          <w:lang w:val="sv-FI"/>
        </w:rPr>
        <w:t xml:space="preserve">I standarden finns bl.a. krav på webbplatser, krav på dokument och annat innehåll som inte är webbsidor och krav på programvaror. </w:t>
      </w:r>
      <w:r w:rsidR="002C5FBA">
        <w:rPr>
          <w:lang w:val="sv-FI"/>
        </w:rPr>
        <w:t>EN-s</w:t>
      </w:r>
      <w:r w:rsidR="00254A65" w:rsidRPr="00254A65">
        <w:rPr>
          <w:lang w:val="sv-FI"/>
        </w:rPr>
        <w:t>tandarden för webbplatser öve</w:t>
      </w:r>
      <w:r w:rsidR="00254A65" w:rsidRPr="00254A65">
        <w:rPr>
          <w:lang w:val="sv-FI"/>
        </w:rPr>
        <w:t>r</w:t>
      </w:r>
      <w:r w:rsidR="00254A65" w:rsidRPr="00254A65">
        <w:rPr>
          <w:lang w:val="sv-FI"/>
        </w:rPr>
        <w:t>ensstämmer med WCAG 2.0</w:t>
      </w:r>
      <w:r w:rsidR="00254A65">
        <w:rPr>
          <w:lang w:val="sv-FI"/>
        </w:rPr>
        <w:t>.</w:t>
      </w:r>
    </w:p>
    <w:p w14:paraId="2D081ED7" w14:textId="39DD64D0" w:rsidR="005E7F10" w:rsidRDefault="004E171C" w:rsidP="00A909DF">
      <w:pPr>
        <w:pStyle w:val="ANormal"/>
        <w:rPr>
          <w:lang w:val="sv-FI"/>
        </w:rPr>
      </w:pPr>
      <w:r>
        <w:rPr>
          <w:lang w:val="sv-FI"/>
        </w:rPr>
        <w:tab/>
      </w:r>
      <w:r w:rsidR="002C5FBA">
        <w:rPr>
          <w:lang w:val="sv-FI"/>
        </w:rPr>
        <w:t>A</w:t>
      </w:r>
      <w:r>
        <w:rPr>
          <w:lang w:val="sv-FI"/>
        </w:rPr>
        <w:t xml:space="preserve">rtikel 5 </w:t>
      </w:r>
      <w:r w:rsidR="002C5FBA">
        <w:rPr>
          <w:lang w:val="sv-FI"/>
        </w:rPr>
        <w:t xml:space="preserve">i tillgänglighetsdirektivet förutsätter </w:t>
      </w:r>
      <w:r>
        <w:rPr>
          <w:lang w:val="sv-FI"/>
        </w:rPr>
        <w:t xml:space="preserve">att medlemsstaterna </w:t>
      </w:r>
      <w:r w:rsidR="00A909DF" w:rsidRPr="00A909DF">
        <w:rPr>
          <w:lang w:val="sv-FI"/>
        </w:rPr>
        <w:t>s</w:t>
      </w:r>
      <w:r w:rsidR="00A909DF" w:rsidRPr="00A909DF">
        <w:rPr>
          <w:lang w:val="sv-FI"/>
        </w:rPr>
        <w:t>ä</w:t>
      </w:r>
      <w:r w:rsidR="00A909DF" w:rsidRPr="00A909DF">
        <w:rPr>
          <w:lang w:val="sv-FI"/>
        </w:rPr>
        <w:t>kerställ</w:t>
      </w:r>
      <w:r w:rsidR="002C5FBA">
        <w:rPr>
          <w:lang w:val="sv-FI"/>
        </w:rPr>
        <w:t>er</w:t>
      </w:r>
      <w:r w:rsidR="00A909DF" w:rsidRPr="00A909DF">
        <w:rPr>
          <w:lang w:val="sv-FI"/>
        </w:rPr>
        <w:t xml:space="preserve"> att offentliga </w:t>
      </w:r>
      <w:r w:rsidR="00A909DF" w:rsidRPr="00C61D3C">
        <w:rPr>
          <w:lang w:val="sv-FI"/>
        </w:rPr>
        <w:t xml:space="preserve">myndigheter tillämpar tillgänglighetskraven </w:t>
      </w:r>
      <w:r w:rsidR="002C5FBA">
        <w:rPr>
          <w:lang w:val="sv-FI"/>
        </w:rPr>
        <w:t>enligt</w:t>
      </w:r>
      <w:r w:rsidR="00A909DF" w:rsidRPr="00C61D3C">
        <w:rPr>
          <w:lang w:val="sv-FI"/>
        </w:rPr>
        <w:t xml:space="preserve"> </w:t>
      </w:r>
      <w:r w:rsidR="00AD4406">
        <w:rPr>
          <w:lang w:val="sv-FI"/>
        </w:rPr>
        <w:t xml:space="preserve">artikel 4 i </w:t>
      </w:r>
      <w:r w:rsidR="00A909DF" w:rsidRPr="00C61D3C">
        <w:rPr>
          <w:lang w:val="sv-FI"/>
        </w:rPr>
        <w:t xml:space="preserve">den utsträckning som dessa krav inte lägger en oproportionell börda på myndigheterna. </w:t>
      </w:r>
      <w:r w:rsidR="002C5FBA">
        <w:rPr>
          <w:lang w:val="sv-FI"/>
        </w:rPr>
        <w:t>Vid bedömningen av vad som utgör en opropor</w:t>
      </w:r>
      <w:r w:rsidR="002C5FBA">
        <w:rPr>
          <w:lang w:val="sv-FI"/>
        </w:rPr>
        <w:t>t</w:t>
      </w:r>
      <w:r w:rsidR="002C5FBA">
        <w:rPr>
          <w:lang w:val="sv-FI"/>
        </w:rPr>
        <w:t xml:space="preserve">ionell börda beaktas </w:t>
      </w:r>
      <w:r w:rsidRPr="00C61D3C">
        <w:rPr>
          <w:lang w:val="sv-FI"/>
        </w:rPr>
        <w:t xml:space="preserve">den berörda offentliga myndighetens storlek, art och resurser. Andra relevanta omständigheter kan vara </w:t>
      </w:r>
      <w:r w:rsidR="002C5FBA">
        <w:rPr>
          <w:lang w:val="sv-FI"/>
        </w:rPr>
        <w:t>de</w:t>
      </w:r>
      <w:r w:rsidRPr="00C61D3C">
        <w:rPr>
          <w:lang w:val="sv-FI"/>
        </w:rPr>
        <w:t xml:space="preserve"> uppskattade kostn</w:t>
      </w:r>
      <w:r w:rsidRPr="00C61D3C">
        <w:rPr>
          <w:lang w:val="sv-FI"/>
        </w:rPr>
        <w:t>a</w:t>
      </w:r>
      <w:r w:rsidRPr="00C61D3C">
        <w:rPr>
          <w:lang w:val="sv-FI"/>
        </w:rPr>
        <w:t>der</w:t>
      </w:r>
      <w:r w:rsidR="002C5FBA">
        <w:rPr>
          <w:lang w:val="sv-FI"/>
        </w:rPr>
        <w:t>na</w:t>
      </w:r>
      <w:r w:rsidRPr="00C61D3C">
        <w:rPr>
          <w:lang w:val="sv-FI"/>
        </w:rPr>
        <w:t xml:space="preserve"> och fördelar</w:t>
      </w:r>
      <w:r w:rsidR="002C5FBA">
        <w:rPr>
          <w:lang w:val="sv-FI"/>
        </w:rPr>
        <w:t>na</w:t>
      </w:r>
      <w:r w:rsidRPr="00C61D3C">
        <w:rPr>
          <w:lang w:val="sv-FI"/>
        </w:rPr>
        <w:t xml:space="preserve"> för den berörda offentliga myndigheten i förhållande till de uppskattade fördelarna för personer med funktionsnedsättning, med hänsyn tagen till hur ofta och under hur lång tid den specifika webbplatsen och mobila applikationen används. </w:t>
      </w:r>
      <w:r w:rsidR="00C61D3C" w:rsidRPr="00C61D3C">
        <w:rPr>
          <w:bCs/>
          <w:lang w:val="sv-FI"/>
        </w:rPr>
        <w:t>Åtgärder som skulle leda till en opr</w:t>
      </w:r>
      <w:r w:rsidR="00C61D3C" w:rsidRPr="00C61D3C">
        <w:rPr>
          <w:bCs/>
          <w:lang w:val="sv-FI"/>
        </w:rPr>
        <w:t>o</w:t>
      </w:r>
      <w:r w:rsidR="00C61D3C" w:rsidRPr="00C61D3C">
        <w:rPr>
          <w:bCs/>
          <w:lang w:val="sv-FI"/>
        </w:rPr>
        <w:t xml:space="preserve">portionell börda bör enligt </w:t>
      </w:r>
      <w:r w:rsidR="00E609E3" w:rsidRPr="00E609E3">
        <w:rPr>
          <w:bCs/>
          <w:lang w:val="sv-FI"/>
        </w:rPr>
        <w:t xml:space="preserve">skäl 39 i direktivets ingress </w:t>
      </w:r>
      <w:r w:rsidR="00C61D3C" w:rsidRPr="00C61D3C">
        <w:rPr>
          <w:bCs/>
          <w:lang w:val="sv-FI"/>
        </w:rPr>
        <w:t>anses innebära å</w:t>
      </w:r>
      <w:r w:rsidR="00C61D3C" w:rsidRPr="00C61D3C">
        <w:rPr>
          <w:bCs/>
          <w:lang w:val="sv-FI"/>
        </w:rPr>
        <w:t>t</w:t>
      </w:r>
      <w:r w:rsidR="00C61D3C" w:rsidRPr="00C61D3C">
        <w:rPr>
          <w:bCs/>
          <w:lang w:val="sv-FI"/>
        </w:rPr>
        <w:t>gärder som skulle lägga en för stor organisatorisk eller ekonomisk börda på en offentlig myndighet, eller som skulle äventyra myndighetens kapacitet att antingen fullgöra sin uppgift eller att offentliggöra information som är nödvändig eller relevant för dess uppgifter eller tjänster, när man samtidigt beaktar de förväntade fördelarna eller nackdelarna för medborgarna, sä</w:t>
      </w:r>
      <w:r w:rsidR="00C61D3C" w:rsidRPr="00C61D3C">
        <w:rPr>
          <w:bCs/>
          <w:lang w:val="sv-FI"/>
        </w:rPr>
        <w:t>r</w:t>
      </w:r>
      <w:r w:rsidR="00C61D3C" w:rsidRPr="00C61D3C">
        <w:rPr>
          <w:bCs/>
          <w:lang w:val="sv-FI"/>
        </w:rPr>
        <w:t>skilt personer med funktionsnedsättning.</w:t>
      </w:r>
    </w:p>
    <w:p w14:paraId="0BF99843" w14:textId="03C89088" w:rsidR="00ED33A8" w:rsidRDefault="005E7F10" w:rsidP="00A909DF">
      <w:pPr>
        <w:pStyle w:val="ANormal"/>
        <w:rPr>
          <w:lang w:val="sv-FI"/>
        </w:rPr>
      </w:pPr>
      <w:r>
        <w:rPr>
          <w:lang w:val="sv-FI"/>
        </w:rPr>
        <w:tab/>
      </w:r>
      <w:r w:rsidR="00E609E3">
        <w:rPr>
          <w:lang w:val="sv-FI"/>
        </w:rPr>
        <w:t>Direktivets a</w:t>
      </w:r>
      <w:r w:rsidR="00A909DF" w:rsidRPr="00A909DF">
        <w:rPr>
          <w:lang w:val="sv-FI"/>
        </w:rPr>
        <w:t>rtikel 6</w:t>
      </w:r>
      <w:r w:rsidR="00E609E3">
        <w:rPr>
          <w:lang w:val="sv-FI"/>
        </w:rPr>
        <w:t>.1</w:t>
      </w:r>
      <w:r w:rsidR="00A909DF" w:rsidRPr="00A909DF">
        <w:rPr>
          <w:lang w:val="sv-FI"/>
        </w:rPr>
        <w:t xml:space="preserve"> </w:t>
      </w:r>
      <w:r w:rsidR="00E609E3">
        <w:rPr>
          <w:lang w:val="sv-FI"/>
        </w:rPr>
        <w:t xml:space="preserve">anger </w:t>
      </w:r>
      <w:r w:rsidR="00A909DF" w:rsidRPr="00A909DF">
        <w:rPr>
          <w:lang w:val="sv-FI"/>
        </w:rPr>
        <w:t>när det finns en presumtion om överen</w:t>
      </w:r>
      <w:r w:rsidR="00A909DF" w:rsidRPr="00A909DF">
        <w:rPr>
          <w:lang w:val="sv-FI"/>
        </w:rPr>
        <w:t>s</w:t>
      </w:r>
      <w:r w:rsidR="00A909DF" w:rsidRPr="00A909DF">
        <w:rPr>
          <w:lang w:val="sv-FI"/>
        </w:rPr>
        <w:t xml:space="preserve">stämmelse med tillgänglighetskraven i artikel 4. </w:t>
      </w:r>
      <w:r w:rsidR="00E609E3">
        <w:rPr>
          <w:lang w:val="sv-FI"/>
        </w:rPr>
        <w:t>I</w:t>
      </w:r>
      <w:r w:rsidR="00254A65" w:rsidRPr="00254A65">
        <w:rPr>
          <w:lang w:val="sv-FI"/>
        </w:rPr>
        <w:t xml:space="preserve">nnehåll på webbplatser och i mobila applikationer som överensstämmer med de harmoniserade </w:t>
      </w:r>
      <w:r w:rsidR="00254A65" w:rsidRPr="00254A65">
        <w:rPr>
          <w:lang w:val="sv-FI"/>
        </w:rPr>
        <w:lastRenderedPageBreak/>
        <w:t xml:space="preserve">standarder eller delar av dem till vilka hänvisningar har offentliggjorts av kommissionen i Europeiska unionens officiella tidning </w:t>
      </w:r>
      <w:r w:rsidR="00E609E3">
        <w:rPr>
          <w:lang w:val="sv-FI"/>
        </w:rPr>
        <w:t xml:space="preserve">ska </w:t>
      </w:r>
      <w:r w:rsidR="00254A65" w:rsidRPr="00254A65">
        <w:rPr>
          <w:lang w:val="sv-FI"/>
        </w:rPr>
        <w:t>förutsättas öve</w:t>
      </w:r>
      <w:r w:rsidR="00254A65" w:rsidRPr="00254A65">
        <w:rPr>
          <w:lang w:val="sv-FI"/>
        </w:rPr>
        <w:t>r</w:t>
      </w:r>
      <w:r w:rsidR="00254A65" w:rsidRPr="00254A65">
        <w:rPr>
          <w:lang w:val="sv-FI"/>
        </w:rPr>
        <w:t xml:space="preserve">ensstämma med kraven i artikel 4. Arbetet med att ta fram en harmoniserad standard pågår för närvarande parallellt med arbetet med att uppdatera WCAG 2.0. Det går i dagsläget inte att säga </w:t>
      </w:r>
      <w:r w:rsidR="0052593F">
        <w:rPr>
          <w:lang w:val="sv-FI"/>
        </w:rPr>
        <w:t xml:space="preserve">exakt </w:t>
      </w:r>
      <w:r w:rsidR="00254A65" w:rsidRPr="00254A65">
        <w:rPr>
          <w:lang w:val="sv-FI"/>
        </w:rPr>
        <w:t xml:space="preserve">när en harmoniserad standard kommer att vara färdigställd eller i vilken utsträckning </w:t>
      </w:r>
      <w:r w:rsidR="0052593F">
        <w:rPr>
          <w:lang w:val="sv-FI"/>
        </w:rPr>
        <w:t>i</w:t>
      </w:r>
      <w:r w:rsidR="00254A65" w:rsidRPr="00254A65">
        <w:rPr>
          <w:lang w:val="sv-FI"/>
        </w:rPr>
        <w:t xml:space="preserve">nnehållet kommer </w:t>
      </w:r>
      <w:r w:rsidR="0052593F">
        <w:rPr>
          <w:lang w:val="sv-FI"/>
        </w:rPr>
        <w:t xml:space="preserve">att </w:t>
      </w:r>
      <w:r w:rsidR="00254A65" w:rsidRPr="00254A65">
        <w:rPr>
          <w:lang w:val="sv-FI"/>
        </w:rPr>
        <w:t>skilja sig från EN-standarden</w:t>
      </w:r>
      <w:r w:rsidR="00ED33A8" w:rsidRPr="00ED33A8">
        <w:rPr>
          <w:sz w:val="24"/>
          <w:szCs w:val="24"/>
          <w:lang w:val="sv-FI"/>
        </w:rPr>
        <w:t xml:space="preserve"> </w:t>
      </w:r>
      <w:r w:rsidR="00ED33A8" w:rsidRPr="00ED33A8">
        <w:rPr>
          <w:lang w:val="sv-FI"/>
        </w:rPr>
        <w:t>EN 301 549 V1.1.2 (</w:t>
      </w:r>
      <w:r w:rsidR="00E609E3" w:rsidRPr="00ED33A8">
        <w:rPr>
          <w:lang w:val="sv-FI"/>
        </w:rPr>
        <w:t>2015–04</w:t>
      </w:r>
      <w:r w:rsidR="00ED33A8" w:rsidRPr="00ED33A8">
        <w:rPr>
          <w:lang w:val="sv-FI"/>
        </w:rPr>
        <w:t>)</w:t>
      </w:r>
      <w:r w:rsidR="00254A65" w:rsidRPr="00254A65">
        <w:rPr>
          <w:lang w:val="sv-FI"/>
        </w:rPr>
        <w:t>.</w:t>
      </w:r>
      <w:r w:rsidR="00E609E3">
        <w:rPr>
          <w:lang w:val="sv-FI"/>
        </w:rPr>
        <w:t xml:space="preserve"> Om </w:t>
      </w:r>
      <w:r w:rsidR="00DD2365" w:rsidRPr="00DD2365">
        <w:rPr>
          <w:lang w:val="sv-FI"/>
        </w:rPr>
        <w:t xml:space="preserve">sådana harmoniserade standarder som avses i </w:t>
      </w:r>
      <w:r w:rsidR="00ED33A8">
        <w:rPr>
          <w:lang w:val="sv-FI"/>
        </w:rPr>
        <w:t>artikel 6.</w:t>
      </w:r>
      <w:r w:rsidR="00DD2365" w:rsidRPr="00DD2365">
        <w:rPr>
          <w:lang w:val="sv-FI"/>
        </w:rPr>
        <w:t>1</w:t>
      </w:r>
      <w:r w:rsidR="00E609E3">
        <w:rPr>
          <w:lang w:val="sv-FI"/>
        </w:rPr>
        <w:t xml:space="preserve"> saknas</w:t>
      </w:r>
      <w:r w:rsidR="00DD2365" w:rsidRPr="00DD2365">
        <w:rPr>
          <w:lang w:val="sv-FI"/>
        </w:rPr>
        <w:t xml:space="preserve"> ska i</w:t>
      </w:r>
      <w:r w:rsidR="00DD2365" w:rsidRPr="00DD2365">
        <w:rPr>
          <w:lang w:val="sv-FI"/>
        </w:rPr>
        <w:t>n</w:t>
      </w:r>
      <w:r w:rsidR="00DD2365" w:rsidRPr="00DD2365">
        <w:rPr>
          <w:lang w:val="sv-FI"/>
        </w:rPr>
        <w:t xml:space="preserve">nehåll i mobila applikationer anses överensstämma med </w:t>
      </w:r>
      <w:r w:rsidR="0088197F">
        <w:rPr>
          <w:lang w:val="sv-FI"/>
        </w:rPr>
        <w:t>tillgänglighets</w:t>
      </w:r>
      <w:r w:rsidR="00DD2365" w:rsidRPr="00DD2365">
        <w:rPr>
          <w:lang w:val="sv-FI"/>
        </w:rPr>
        <w:t>kr</w:t>
      </w:r>
      <w:r w:rsidR="00DD2365" w:rsidRPr="00DD2365">
        <w:rPr>
          <w:lang w:val="sv-FI"/>
        </w:rPr>
        <w:t>a</w:t>
      </w:r>
      <w:r w:rsidR="00DD2365" w:rsidRPr="00DD2365">
        <w:rPr>
          <w:lang w:val="sv-FI"/>
        </w:rPr>
        <w:t>ven om de överensstämmer med tekniska specifikationer som kommissio</w:t>
      </w:r>
      <w:r w:rsidR="00DD2365" w:rsidRPr="00DD2365">
        <w:rPr>
          <w:lang w:val="sv-FI"/>
        </w:rPr>
        <w:t>n</w:t>
      </w:r>
      <w:r w:rsidR="00DD2365" w:rsidRPr="00DD2365">
        <w:rPr>
          <w:lang w:val="sv-FI"/>
        </w:rPr>
        <w:t>en ska ange i genomförandeakter som ska antas senast den 23 december 2018. Enligt artikel 6.3 ska för webbplatser relevanta delar av EN-standarden</w:t>
      </w:r>
      <w:r w:rsidR="00ED33A8" w:rsidRPr="00ED33A8">
        <w:rPr>
          <w:sz w:val="24"/>
          <w:szCs w:val="24"/>
          <w:lang w:val="sv-FI"/>
        </w:rPr>
        <w:t xml:space="preserve"> </w:t>
      </w:r>
      <w:r w:rsidR="00ED33A8" w:rsidRPr="00ED33A8">
        <w:rPr>
          <w:lang w:val="sv-FI"/>
        </w:rPr>
        <w:t>EN 301 549 V1.1.2 (</w:t>
      </w:r>
      <w:r w:rsidR="0088197F" w:rsidRPr="00ED33A8">
        <w:rPr>
          <w:lang w:val="sv-FI"/>
        </w:rPr>
        <w:t>2015–04</w:t>
      </w:r>
      <w:r w:rsidR="00ED33A8" w:rsidRPr="00ED33A8">
        <w:rPr>
          <w:lang w:val="sv-FI"/>
        </w:rPr>
        <w:t xml:space="preserve">) </w:t>
      </w:r>
      <w:r w:rsidR="00DD2365" w:rsidRPr="00DD2365">
        <w:rPr>
          <w:lang w:val="sv-FI"/>
        </w:rPr>
        <w:t>tillämpas om harmoniserade standarder saknas. Av samma punkt framgår att om harmoniserade standa</w:t>
      </w:r>
      <w:r w:rsidR="00DD2365" w:rsidRPr="00DD2365">
        <w:rPr>
          <w:lang w:val="sv-FI"/>
        </w:rPr>
        <w:t>r</w:t>
      </w:r>
      <w:r w:rsidR="00DD2365" w:rsidRPr="00DD2365">
        <w:rPr>
          <w:lang w:val="sv-FI"/>
        </w:rPr>
        <w:t>der och tekniska specifikationer som avses i artikel 6.2 saknas ska relevanta krav i EN-standarden tillämpas även för mobila applikationer. Det är sål</w:t>
      </w:r>
      <w:r w:rsidR="00DD2365" w:rsidRPr="00DD2365">
        <w:rPr>
          <w:lang w:val="sv-FI"/>
        </w:rPr>
        <w:t>e</w:t>
      </w:r>
      <w:r w:rsidR="00DD2365" w:rsidRPr="00DD2365">
        <w:rPr>
          <w:lang w:val="sv-FI"/>
        </w:rPr>
        <w:t xml:space="preserve">des i dagsläget inte klart vilka standarder som ska tillämpas </w:t>
      </w:r>
      <w:r w:rsidR="00ED33A8">
        <w:rPr>
          <w:lang w:val="sv-FI"/>
        </w:rPr>
        <w:t>vid ett framtida ikraftträdande av landskapslagstiftning som genomför direktivet.</w:t>
      </w:r>
    </w:p>
    <w:p w14:paraId="444041E0" w14:textId="7FCD5E1B" w:rsidR="00970D55" w:rsidRDefault="001E5E40" w:rsidP="00970D55">
      <w:pPr>
        <w:pStyle w:val="ANormal"/>
        <w:rPr>
          <w:lang w:val="sv-FI"/>
        </w:rPr>
      </w:pPr>
      <w:r>
        <w:rPr>
          <w:lang w:val="sv-FI"/>
        </w:rPr>
        <w:tab/>
      </w:r>
      <w:r w:rsidR="0088197F">
        <w:rPr>
          <w:lang w:val="sv-FI"/>
        </w:rPr>
        <w:t>Direktivets a</w:t>
      </w:r>
      <w:r w:rsidR="00A909DF" w:rsidRPr="00A909DF">
        <w:rPr>
          <w:lang w:val="sv-FI"/>
        </w:rPr>
        <w:t xml:space="preserve">rtikel 7 </w:t>
      </w:r>
      <w:r>
        <w:rPr>
          <w:lang w:val="sv-FI"/>
        </w:rPr>
        <w:t xml:space="preserve">föreskriver </w:t>
      </w:r>
      <w:r w:rsidR="00A909DF" w:rsidRPr="00A909DF">
        <w:rPr>
          <w:lang w:val="sv-FI"/>
        </w:rPr>
        <w:t>att medlemsstaterna ska säkerställa att offentliga myndigheter tillhandahåller och regelbundet uppdaterar ett til</w:t>
      </w:r>
      <w:r w:rsidR="00A909DF" w:rsidRPr="00A909DF">
        <w:rPr>
          <w:lang w:val="sv-FI"/>
        </w:rPr>
        <w:t>l</w:t>
      </w:r>
      <w:r w:rsidR="00A909DF" w:rsidRPr="00A909DF">
        <w:rPr>
          <w:lang w:val="sv-FI"/>
        </w:rPr>
        <w:t xml:space="preserve">gänglighetsutlåtande om deras webbplatsers och mobila applikationers överensstämmelse med direktivet. </w:t>
      </w:r>
      <w:r w:rsidR="00AE587C" w:rsidRPr="00AE587C">
        <w:rPr>
          <w:lang w:val="sv-FI"/>
        </w:rPr>
        <w:t>Tillgänglighetsutlåtandet ska innehålla</w:t>
      </w:r>
    </w:p>
    <w:p w14:paraId="20853BC5" w14:textId="04A02487" w:rsidR="00970D55" w:rsidRDefault="00970D55" w:rsidP="00970D55">
      <w:pPr>
        <w:pStyle w:val="ANormal"/>
        <w:rPr>
          <w:lang w:val="sv-FI"/>
        </w:rPr>
      </w:pPr>
      <w:r>
        <w:rPr>
          <w:lang w:val="sv-FI"/>
        </w:rPr>
        <w:tab/>
        <w:t xml:space="preserve">a) </w:t>
      </w:r>
      <w:r w:rsidR="001E5E40" w:rsidRPr="001E5E40">
        <w:rPr>
          <w:lang w:val="sv-FI"/>
        </w:rPr>
        <w:t>en förklaring avseende de delar av innehållet som inte är tillgängliga och de skäl som ligger till grund för att de inte är tillgängliga och, i för</w:t>
      </w:r>
      <w:r w:rsidR="001E5E40" w:rsidRPr="001E5E40">
        <w:rPr>
          <w:lang w:val="sv-FI"/>
        </w:rPr>
        <w:t>e</w:t>
      </w:r>
      <w:r w:rsidR="001E5E40" w:rsidRPr="001E5E40">
        <w:rPr>
          <w:lang w:val="sv-FI"/>
        </w:rPr>
        <w:t>kommande fall, de tillgängliga alternativ som finns, och</w:t>
      </w:r>
    </w:p>
    <w:p w14:paraId="59FDEBB9" w14:textId="0EA6061E" w:rsidR="00970D55" w:rsidRDefault="00970D55" w:rsidP="00970D55">
      <w:pPr>
        <w:pStyle w:val="ANormal"/>
        <w:rPr>
          <w:lang w:val="sv-FI"/>
        </w:rPr>
      </w:pPr>
      <w:r>
        <w:rPr>
          <w:lang w:val="sv-FI"/>
        </w:rPr>
        <w:tab/>
        <w:t xml:space="preserve">b) </w:t>
      </w:r>
      <w:r w:rsidR="001E5E40" w:rsidRPr="001E5E40">
        <w:rPr>
          <w:lang w:val="sv-FI"/>
        </w:rPr>
        <w:t>en beskrivning av, och en länk till, en kommentarsfunktion som gör det möjligt för vem som helst att meddela den berörda offentliga myndi</w:t>
      </w:r>
      <w:r w:rsidR="001E5E40" w:rsidRPr="001E5E40">
        <w:rPr>
          <w:lang w:val="sv-FI"/>
        </w:rPr>
        <w:t>g</w:t>
      </w:r>
      <w:r w:rsidR="001E5E40" w:rsidRPr="001E5E40">
        <w:rPr>
          <w:lang w:val="sv-FI"/>
        </w:rPr>
        <w:t>heten att dess webbplats eller mobila applikation inte uppfyller tillgängli</w:t>
      </w:r>
      <w:r w:rsidR="001E5E40" w:rsidRPr="001E5E40">
        <w:rPr>
          <w:lang w:val="sv-FI"/>
        </w:rPr>
        <w:t>g</w:t>
      </w:r>
      <w:r w:rsidR="001E5E40" w:rsidRPr="001E5E40">
        <w:rPr>
          <w:lang w:val="sv-FI"/>
        </w:rPr>
        <w:t>hetskraven i artikel 4 och att begära ut information som uteslutits i enlighet med artiklarna 1.4 och 5, samt</w:t>
      </w:r>
    </w:p>
    <w:p w14:paraId="48EF6384" w14:textId="709F3742" w:rsidR="00E37F9B" w:rsidRDefault="00970D55" w:rsidP="00970D55">
      <w:pPr>
        <w:pStyle w:val="ANormal"/>
        <w:rPr>
          <w:lang w:val="sv-FI"/>
        </w:rPr>
      </w:pPr>
      <w:r>
        <w:rPr>
          <w:lang w:val="sv-FI"/>
        </w:rPr>
        <w:tab/>
        <w:t xml:space="preserve">c) </w:t>
      </w:r>
      <w:r w:rsidR="001E5E40" w:rsidRPr="00970D55">
        <w:rPr>
          <w:lang w:val="sv-FI"/>
        </w:rPr>
        <w:t>en länk till det uppföljningsförfarande som föreskrivs i artikel 9 och som kan åberopas i händelse av ett otillfredsställande svar på me</w:t>
      </w:r>
      <w:r w:rsidR="00DB436A" w:rsidRPr="00970D55">
        <w:rPr>
          <w:lang w:val="sv-FI"/>
        </w:rPr>
        <w:t>d</w:t>
      </w:r>
      <w:r w:rsidR="001E5E40" w:rsidRPr="00970D55">
        <w:rPr>
          <w:lang w:val="sv-FI"/>
        </w:rPr>
        <w:t>delandet eller begäran.</w:t>
      </w:r>
    </w:p>
    <w:p w14:paraId="7F1224DB" w14:textId="48B79505" w:rsidR="004654EA" w:rsidRPr="00970D55" w:rsidRDefault="004654EA" w:rsidP="00970D55">
      <w:pPr>
        <w:pStyle w:val="ANormal"/>
        <w:rPr>
          <w:lang w:val="sv-FI"/>
        </w:rPr>
      </w:pPr>
      <w:r>
        <w:rPr>
          <w:lang w:val="sv-FI"/>
        </w:rPr>
        <w:tab/>
        <w:t xml:space="preserve">Artikel 7.1 hänvisar till möjligheten att begära ut information </w:t>
      </w:r>
      <w:r w:rsidRPr="004654EA">
        <w:rPr>
          <w:lang w:val="sv-FI"/>
        </w:rPr>
        <w:t>som har uteslutits från tillgänglighetskraven. Av skäl 46 i direktivets ingress fra</w:t>
      </w:r>
      <w:r w:rsidRPr="004654EA">
        <w:rPr>
          <w:lang w:val="sv-FI"/>
        </w:rPr>
        <w:t>m</w:t>
      </w:r>
      <w:r w:rsidRPr="004654EA">
        <w:rPr>
          <w:lang w:val="sv-FI"/>
        </w:rPr>
        <w:t>går att det som kan begäras ut enligt artikel 7.1 är nödvändig information, inklusive tjänster och dokument</w:t>
      </w:r>
      <w:r>
        <w:rPr>
          <w:lang w:val="sv-FI"/>
        </w:rPr>
        <w:t xml:space="preserve"> samt </w:t>
      </w:r>
      <w:r w:rsidRPr="004654EA">
        <w:rPr>
          <w:lang w:val="sv-FI"/>
        </w:rPr>
        <w:t xml:space="preserve">att den information som efter begäran ska tillhandahållas är den som uteslutits från tillämpningsområdet för att tillgängliggörandet inte utgjort en skälig anpassning eller är sådant innehåll som uteslutits efter att ha bedömts omfattas av undantagen i direktivet. Av skäl 46 framgår även att en begäran ska vara berättigad och rimlig. </w:t>
      </w:r>
      <w:r w:rsidR="007B5B78">
        <w:rPr>
          <w:lang w:val="sv-FI"/>
        </w:rPr>
        <w:t>A</w:t>
      </w:r>
      <w:r w:rsidR="007B5B78" w:rsidRPr="007B5B78">
        <w:rPr>
          <w:lang w:val="sv-FI"/>
        </w:rPr>
        <w:t xml:space="preserve">rtikel 7.1 </w:t>
      </w:r>
      <w:r w:rsidR="007B5B78">
        <w:rPr>
          <w:lang w:val="sv-FI"/>
        </w:rPr>
        <w:t xml:space="preserve">anger </w:t>
      </w:r>
      <w:r w:rsidR="007B5B78" w:rsidRPr="007B5B78">
        <w:rPr>
          <w:lang w:val="sv-FI"/>
        </w:rPr>
        <w:t>vidare att medlemsstaterna ska säkerställa att offentliga myndi</w:t>
      </w:r>
      <w:r w:rsidR="007B5B78" w:rsidRPr="007B5B78">
        <w:rPr>
          <w:lang w:val="sv-FI"/>
        </w:rPr>
        <w:t>g</w:t>
      </w:r>
      <w:r w:rsidR="007B5B78" w:rsidRPr="007B5B78">
        <w:rPr>
          <w:lang w:val="sv-FI"/>
        </w:rPr>
        <w:t>heter på ett tillfredställande sätt besvarar en sådan begäran inom en rimlig tidsperiod.</w:t>
      </w:r>
    </w:p>
    <w:p w14:paraId="786DF7E9" w14:textId="18189285" w:rsidR="00391E49" w:rsidRDefault="00E37F9B" w:rsidP="00391E49">
      <w:pPr>
        <w:pStyle w:val="ANormal"/>
        <w:rPr>
          <w:lang w:val="sv-FI"/>
        </w:rPr>
      </w:pPr>
      <w:r>
        <w:rPr>
          <w:lang w:val="sv-FI"/>
        </w:rPr>
        <w:tab/>
      </w:r>
      <w:r w:rsidR="004E03F9">
        <w:rPr>
          <w:lang w:val="sv-FI"/>
        </w:rPr>
        <w:t>Enligt</w:t>
      </w:r>
      <w:r w:rsidR="00A909DF" w:rsidRPr="00A909DF">
        <w:rPr>
          <w:lang w:val="sv-FI"/>
        </w:rPr>
        <w:t xml:space="preserve"> </w:t>
      </w:r>
      <w:r w:rsidR="004E03F9">
        <w:rPr>
          <w:lang w:val="sv-FI"/>
        </w:rPr>
        <w:t xml:space="preserve">direktivets </w:t>
      </w:r>
      <w:r w:rsidR="00A909DF" w:rsidRPr="00A909DF">
        <w:rPr>
          <w:lang w:val="sv-FI"/>
        </w:rPr>
        <w:t xml:space="preserve">artikel 8 </w:t>
      </w:r>
      <w:r w:rsidR="004E03F9">
        <w:rPr>
          <w:lang w:val="sv-FI"/>
        </w:rPr>
        <w:t>ska</w:t>
      </w:r>
      <w:r w:rsidR="00A909DF" w:rsidRPr="00A909DF">
        <w:rPr>
          <w:lang w:val="sv-FI"/>
        </w:rPr>
        <w:t xml:space="preserve"> medlemsstaterna regelbundet övervaka att offentliga myndigheters webbplatser och mobila applikationer uppfyller tillgänglighetskraven och regelbundet rapportera resultatet av övervaknin</w:t>
      </w:r>
      <w:r w:rsidR="00A909DF" w:rsidRPr="00A909DF">
        <w:rPr>
          <w:lang w:val="sv-FI"/>
        </w:rPr>
        <w:t>g</w:t>
      </w:r>
      <w:r w:rsidR="00A909DF" w:rsidRPr="00A909DF">
        <w:rPr>
          <w:lang w:val="sv-FI"/>
        </w:rPr>
        <w:t xml:space="preserve">en till Europeiska kommissionen. </w:t>
      </w:r>
      <w:r w:rsidRPr="00E37F9B">
        <w:rPr>
          <w:lang w:val="sv-FI"/>
        </w:rPr>
        <w:t>Av artikel 8.3 framgår vad övervaknin</w:t>
      </w:r>
      <w:r w:rsidRPr="00E37F9B">
        <w:rPr>
          <w:lang w:val="sv-FI"/>
        </w:rPr>
        <w:t>g</w:t>
      </w:r>
      <w:r w:rsidRPr="00E37F9B">
        <w:rPr>
          <w:lang w:val="sv-FI"/>
        </w:rPr>
        <w:t>en ska omfatta. Den exakta metoden för övervakning ska tas fram av ko</w:t>
      </w:r>
      <w:r w:rsidRPr="00E37F9B">
        <w:rPr>
          <w:lang w:val="sv-FI"/>
        </w:rPr>
        <w:t>m</w:t>
      </w:r>
      <w:r w:rsidRPr="00E37F9B">
        <w:rPr>
          <w:lang w:val="sv-FI"/>
        </w:rPr>
        <w:t xml:space="preserve">missionen och presenteras i en genomförandeakt senast den 23 december 2018. Exakt hur övervakningen ska gå till är därmed i </w:t>
      </w:r>
      <w:r>
        <w:rPr>
          <w:lang w:val="sv-FI"/>
        </w:rPr>
        <w:t>dagsl</w:t>
      </w:r>
      <w:r w:rsidRPr="00E37F9B">
        <w:rPr>
          <w:lang w:val="sv-FI"/>
        </w:rPr>
        <w:t>äget inte klart. Därtill kan metoden för övervakning komma att ändras i takt med tekniku</w:t>
      </w:r>
      <w:r w:rsidRPr="00E37F9B">
        <w:rPr>
          <w:lang w:val="sv-FI"/>
        </w:rPr>
        <w:t>t</w:t>
      </w:r>
      <w:r w:rsidRPr="00E37F9B">
        <w:rPr>
          <w:lang w:val="sv-FI"/>
        </w:rPr>
        <w:t xml:space="preserve">vecklingen. </w:t>
      </w:r>
      <w:r w:rsidR="00391E49" w:rsidRPr="00391E49">
        <w:rPr>
          <w:lang w:val="sv-FI"/>
        </w:rPr>
        <w:t>Enligt artikel 8.4 ska medlemsstaterna senast den 23 december 2021, och därefter vart tredje år, överlämna en rapport till Europeiska kommissionen om resultatet av övervakningen, inbegripet mätdata.</w:t>
      </w:r>
    </w:p>
    <w:p w14:paraId="095444A6" w14:textId="7DAB2BEE" w:rsidR="00391E49" w:rsidRDefault="00391E49" w:rsidP="00A909DF">
      <w:pPr>
        <w:pStyle w:val="ANormal"/>
        <w:rPr>
          <w:lang w:val="sv-FI"/>
        </w:rPr>
      </w:pPr>
      <w:r>
        <w:rPr>
          <w:lang w:val="sv-FI"/>
        </w:rPr>
        <w:tab/>
      </w:r>
      <w:r w:rsidR="00F03BDB">
        <w:rPr>
          <w:lang w:val="sv-FI"/>
        </w:rPr>
        <w:t>A</w:t>
      </w:r>
      <w:r w:rsidR="004E03F9">
        <w:rPr>
          <w:lang w:val="sv-FI"/>
        </w:rPr>
        <w:t xml:space="preserve">rtikel 9.1 </w:t>
      </w:r>
      <w:r w:rsidR="00F03BDB">
        <w:rPr>
          <w:lang w:val="sv-FI"/>
        </w:rPr>
        <w:t xml:space="preserve">föreskriver att </w:t>
      </w:r>
      <w:r w:rsidR="004E03F9">
        <w:rPr>
          <w:lang w:val="sv-FI"/>
        </w:rPr>
        <w:t>m</w:t>
      </w:r>
      <w:r w:rsidRPr="00391E49">
        <w:rPr>
          <w:lang w:val="sv-FI"/>
        </w:rPr>
        <w:t xml:space="preserve">edlemsstaterna </w:t>
      </w:r>
      <w:r w:rsidR="00F03BDB">
        <w:rPr>
          <w:lang w:val="sv-FI"/>
        </w:rPr>
        <w:t xml:space="preserve">ska </w:t>
      </w:r>
      <w:r w:rsidRPr="00391E49">
        <w:rPr>
          <w:lang w:val="sv-FI"/>
        </w:rPr>
        <w:t xml:space="preserve">säkerställa att det finns ett tillfredställande och effektivt uppföljningsförfarande för att säkerställa </w:t>
      </w:r>
      <w:proofErr w:type="gramStart"/>
      <w:r w:rsidRPr="00391E49">
        <w:rPr>
          <w:lang w:val="sv-FI"/>
        </w:rPr>
        <w:lastRenderedPageBreak/>
        <w:t>efterlevnaden</w:t>
      </w:r>
      <w:proofErr w:type="gramEnd"/>
      <w:r w:rsidRPr="00391E49">
        <w:rPr>
          <w:lang w:val="sv-FI"/>
        </w:rPr>
        <w:t xml:space="preserve"> av direktivet i förhållande till kraven gällande tillgänglighe</w:t>
      </w:r>
      <w:r w:rsidRPr="00391E49">
        <w:rPr>
          <w:lang w:val="sv-FI"/>
        </w:rPr>
        <w:t>t</w:t>
      </w:r>
      <w:r w:rsidRPr="00391E49">
        <w:rPr>
          <w:lang w:val="sv-FI"/>
        </w:rPr>
        <w:t>en till digital service, undantagande av visst innehåll till följd av att det inte bedömts utgöra en skälig anpassning samt tillgänglighetsutlåtanden.</w:t>
      </w:r>
      <w:r w:rsidR="00AB1050">
        <w:rPr>
          <w:lang w:val="sv-FI"/>
        </w:rPr>
        <w:t xml:space="preserve"> </w:t>
      </w:r>
      <w:r w:rsidRPr="00391E49">
        <w:rPr>
          <w:lang w:val="sv-FI"/>
        </w:rPr>
        <w:t>Me</w:t>
      </w:r>
      <w:r w:rsidRPr="00391E49">
        <w:rPr>
          <w:lang w:val="sv-FI"/>
        </w:rPr>
        <w:t>d</w:t>
      </w:r>
      <w:r w:rsidRPr="00391E49">
        <w:rPr>
          <w:lang w:val="sv-FI"/>
        </w:rPr>
        <w:t>lemsstaterna ska vidare enligt samma artikel särskilt säkerställa att det finns ett uppföljningsförfarande, t.ex. en möjlighet att kontakta en ombudsman, för att säkerställa en effektiv hantering av meddelanden eller begäranden av att få ut innehåll som tagits emot genom tillgänglighetsutlåtandets ko</w:t>
      </w:r>
      <w:r w:rsidRPr="00391E49">
        <w:rPr>
          <w:lang w:val="sv-FI"/>
        </w:rPr>
        <w:t>m</w:t>
      </w:r>
      <w:r w:rsidRPr="00391E49">
        <w:rPr>
          <w:lang w:val="sv-FI"/>
        </w:rPr>
        <w:t>mentarsfunktion och för att se över bedömningar rörande vad som inte u</w:t>
      </w:r>
      <w:r w:rsidRPr="00391E49">
        <w:rPr>
          <w:lang w:val="sv-FI"/>
        </w:rPr>
        <w:t>t</w:t>
      </w:r>
      <w:r w:rsidRPr="00391E49">
        <w:rPr>
          <w:lang w:val="sv-FI"/>
        </w:rPr>
        <w:t>gör en skälig anpassning. Enligt skäl 53 i direktivets ingress bör det fas</w:t>
      </w:r>
      <w:r w:rsidRPr="00391E49">
        <w:rPr>
          <w:lang w:val="sv-FI"/>
        </w:rPr>
        <w:t>t</w:t>
      </w:r>
      <w:r w:rsidRPr="00391E49">
        <w:rPr>
          <w:lang w:val="sv-FI"/>
        </w:rPr>
        <w:t xml:space="preserve">ställas bestämmelser om rätten att inleda ett tillfredställande och effektivt förfarande för att säkerställa </w:t>
      </w:r>
      <w:proofErr w:type="gramStart"/>
      <w:r w:rsidRPr="00391E49">
        <w:rPr>
          <w:lang w:val="sv-FI"/>
        </w:rPr>
        <w:t>efterlevnaden</w:t>
      </w:r>
      <w:proofErr w:type="gramEnd"/>
      <w:r w:rsidRPr="00391E49">
        <w:rPr>
          <w:lang w:val="sv-FI"/>
        </w:rPr>
        <w:t xml:space="preserve"> av direktivet. Förfarandet bör vidare anses inbegripa rätten att lämna in klagomål till myndigheter som är behöriga att besluta om klagomålet i fråga och ska inte heller påverka rätten till ett effektivt rättsmedel enligt artikel 47 i Europeiska unionens stadga om de grundläggande rättigheterna.</w:t>
      </w:r>
    </w:p>
    <w:p w14:paraId="1B830D54" w14:textId="2DBA0B9D" w:rsidR="0013054D" w:rsidRDefault="00391E49" w:rsidP="00A909DF">
      <w:pPr>
        <w:pStyle w:val="ANormal"/>
        <w:rPr>
          <w:lang w:val="sv-FI"/>
        </w:rPr>
      </w:pPr>
      <w:r>
        <w:rPr>
          <w:lang w:val="sv-FI"/>
        </w:rPr>
        <w:tab/>
      </w:r>
      <w:r w:rsidR="00A909DF" w:rsidRPr="00A909DF">
        <w:rPr>
          <w:lang w:val="sv-FI"/>
        </w:rPr>
        <w:t xml:space="preserve">I artiklarna 10, 11 och 13–15 </w:t>
      </w:r>
      <w:r w:rsidR="004E03F9">
        <w:rPr>
          <w:lang w:val="sv-FI"/>
        </w:rPr>
        <w:t xml:space="preserve">i tillgänglighetsdirektivet </w:t>
      </w:r>
      <w:r w:rsidR="00A909DF" w:rsidRPr="00A909DF">
        <w:rPr>
          <w:lang w:val="sv-FI"/>
        </w:rPr>
        <w:t>finns bl.a. b</w:t>
      </w:r>
      <w:r w:rsidR="00A909DF" w:rsidRPr="00A909DF">
        <w:rPr>
          <w:lang w:val="sv-FI"/>
        </w:rPr>
        <w:t>e</w:t>
      </w:r>
      <w:r w:rsidR="00A909DF" w:rsidRPr="00A909DF">
        <w:rPr>
          <w:lang w:val="sv-FI"/>
        </w:rPr>
        <w:t>stämmelser om kommissionens befogenheter att anta delegerade akter, översyn av tillämpningen av direktivet och ikraftträdande. Enligt artikel 12 ska direktivet vara genomfört i medlemsstaterna senast den 23 september 2018.</w:t>
      </w:r>
    </w:p>
    <w:p w14:paraId="579BD9E1" w14:textId="77777777" w:rsidR="00336801" w:rsidRDefault="00336801" w:rsidP="00336801">
      <w:pPr>
        <w:pStyle w:val="ANormal"/>
      </w:pPr>
    </w:p>
    <w:p w14:paraId="11025ECA" w14:textId="16B92F80" w:rsidR="00336801" w:rsidRDefault="00336801" w:rsidP="00771C32">
      <w:pPr>
        <w:pStyle w:val="RubrikC"/>
      </w:pPr>
      <w:bookmarkStart w:id="14" w:name="_Toc524530392"/>
      <w:r>
        <w:t>2.2 Genomförandet av tillgänglighetsdirektivet i Finland och Sverige</w:t>
      </w:r>
      <w:bookmarkEnd w:id="14"/>
    </w:p>
    <w:p w14:paraId="22FB1AE4" w14:textId="77777777" w:rsidR="00336801" w:rsidRDefault="00336801" w:rsidP="00336801">
      <w:pPr>
        <w:pStyle w:val="Rubrikmellanrum"/>
      </w:pPr>
    </w:p>
    <w:p w14:paraId="16435673" w14:textId="1277E22F" w:rsidR="00336801" w:rsidRDefault="00E72281" w:rsidP="00771C32">
      <w:pPr>
        <w:pStyle w:val="RubrikD"/>
      </w:pPr>
      <w:r>
        <w:t xml:space="preserve">2.2.1 </w:t>
      </w:r>
      <w:r w:rsidR="00336801">
        <w:t>Finland</w:t>
      </w:r>
    </w:p>
    <w:p w14:paraId="30584768" w14:textId="77777777" w:rsidR="00336801" w:rsidRPr="009E5456" w:rsidRDefault="00336801" w:rsidP="00336801">
      <w:pPr>
        <w:pStyle w:val="Rubrikmellanrum"/>
      </w:pPr>
    </w:p>
    <w:p w14:paraId="34A49A04" w14:textId="24497427" w:rsidR="00EA2A3E" w:rsidRDefault="00336801" w:rsidP="00336801">
      <w:pPr>
        <w:pStyle w:val="ANormal"/>
      </w:pPr>
      <w:r>
        <w:t xml:space="preserve">Finansministeriet tillsatte </w:t>
      </w:r>
      <w:r w:rsidR="00B5442B">
        <w:t xml:space="preserve">i början av </w:t>
      </w:r>
      <w:r>
        <w:t>2017 en arbetsgrupp som sk</w:t>
      </w:r>
      <w:r w:rsidR="00970D55">
        <w:t>ulle</w:t>
      </w:r>
      <w:r>
        <w:t xml:space="preserve"> b</w:t>
      </w:r>
      <w:r>
        <w:t>e</w:t>
      </w:r>
      <w:r>
        <w:t>reda det nationella verkställandet av tillgänglighetsdirektivet. Arbetsgru</w:t>
      </w:r>
      <w:r>
        <w:t>p</w:t>
      </w:r>
      <w:r>
        <w:t>pen föresl</w:t>
      </w:r>
      <w:r w:rsidR="00970D55">
        <w:t>og</w:t>
      </w:r>
      <w:r>
        <w:t xml:space="preserve"> att det antas en särskild lag om tillhandahållande av digitala tjänster. Lagen</w:t>
      </w:r>
      <w:r w:rsidRPr="002E4F6C">
        <w:rPr>
          <w:sz w:val="24"/>
          <w:szCs w:val="24"/>
        </w:rPr>
        <w:t xml:space="preserve"> </w:t>
      </w:r>
      <w:r w:rsidRPr="002E4F6C">
        <w:t>om tillhandahållande av digitala tjänster</w:t>
      </w:r>
      <w:r>
        <w:t xml:space="preserve"> </w:t>
      </w:r>
      <w:r w:rsidR="00EA2A3E">
        <w:t xml:space="preserve">ska </w:t>
      </w:r>
      <w:r w:rsidR="00AC2DBA">
        <w:t>innehålla</w:t>
      </w:r>
      <w:r>
        <w:t xml:space="preserve"> b</w:t>
      </w:r>
      <w:r>
        <w:t>e</w:t>
      </w:r>
      <w:r>
        <w:t>stämmelser om de allmänna grunderna för tillgänglighetskraven, om til</w:t>
      </w:r>
      <w:r>
        <w:t>l</w:t>
      </w:r>
      <w:r>
        <w:t xml:space="preserve">gänglighetsutlåtanden, om tillsynsmyndigheten och dess uppgifter samt om skyldigheten att tillgodose rättigheterna för dem som använder webbplatser och mobila applikationer. </w:t>
      </w:r>
      <w:r w:rsidR="00970D55">
        <w:t xml:space="preserve">Enligt </w:t>
      </w:r>
      <w:r w:rsidR="00EA2A3E">
        <w:t xml:space="preserve">arbetsgruppens </w:t>
      </w:r>
      <w:r w:rsidR="00970D55">
        <w:t xml:space="preserve">förslag ska </w:t>
      </w:r>
      <w:r>
        <w:t>bestämmelser i lagen om elektronisk kommunikation i myndigheternas verksamhet (FFS 13/2003) upphäv</w:t>
      </w:r>
      <w:r w:rsidR="00970D55">
        <w:t>a</w:t>
      </w:r>
      <w:r>
        <w:t>s eftersom de delvis motsvarar bestämmelser</w:t>
      </w:r>
      <w:r w:rsidR="00AC2DBA">
        <w:t>na</w:t>
      </w:r>
      <w:r>
        <w:t xml:space="preserve"> i den </w:t>
      </w:r>
      <w:r w:rsidR="00AC2DBA">
        <w:t>f</w:t>
      </w:r>
      <w:r w:rsidR="00AC2DBA">
        <w:t>ö</w:t>
      </w:r>
      <w:r w:rsidR="00AC2DBA">
        <w:t xml:space="preserve">reslagna </w:t>
      </w:r>
      <w:r>
        <w:t>lag</w:t>
      </w:r>
      <w:r w:rsidR="00AC2DBA">
        <w:t>en</w:t>
      </w:r>
      <w:r>
        <w:t>.</w:t>
      </w:r>
    </w:p>
    <w:p w14:paraId="42F66DC0" w14:textId="3CC6737E" w:rsidR="00336801" w:rsidRDefault="00EA2A3E" w:rsidP="00336801">
      <w:pPr>
        <w:pStyle w:val="ANormal"/>
      </w:pPr>
      <w:r>
        <w:tab/>
      </w:r>
      <w:r w:rsidRPr="00EA2A3E">
        <w:t xml:space="preserve">Landskapsregeringen </w:t>
      </w:r>
      <w:r>
        <w:t xml:space="preserve">gav </w:t>
      </w:r>
      <w:r w:rsidRPr="00EA2A3E">
        <w:t xml:space="preserve">i februari 2018 ett utlåtande över </w:t>
      </w:r>
      <w:r>
        <w:t>arbetsgru</w:t>
      </w:r>
      <w:r>
        <w:t>p</w:t>
      </w:r>
      <w:r>
        <w:t xml:space="preserve">pens förslag. </w:t>
      </w:r>
      <w:r w:rsidRPr="00EA2A3E">
        <w:t xml:space="preserve">Enligt utlåtandet berör förslaget till ny lagstiftning områden såväl inom åländsk </w:t>
      </w:r>
      <w:proofErr w:type="gramStart"/>
      <w:r w:rsidRPr="00EA2A3E">
        <w:t>som</w:t>
      </w:r>
      <w:proofErr w:type="gramEnd"/>
      <w:r w:rsidRPr="00EA2A3E">
        <w:t xml:space="preserve"> riksbehörighet, något som kan kräva samordning mellan landskapsregeringen och riket. I utlåtandet hänvisas till att lan</w:t>
      </w:r>
      <w:r w:rsidRPr="00EA2A3E">
        <w:t>d</w:t>
      </w:r>
      <w:r w:rsidRPr="00EA2A3E">
        <w:t>skapsregeringen har påbörjat arbetet med att implementera de områden av tillgänglighetsdirektivet som faller inom åländsk behörighet. Landskapsr</w:t>
      </w:r>
      <w:r w:rsidRPr="00EA2A3E">
        <w:t>e</w:t>
      </w:r>
      <w:r w:rsidRPr="00EA2A3E">
        <w:t>geringen hade redan tidigare i mars 2017 skickat till Finansministeriet ett utlåtande i samband med en enkät om utgångsläget för tillgänglighetsdire</w:t>
      </w:r>
      <w:r w:rsidRPr="00EA2A3E">
        <w:t>k</w:t>
      </w:r>
      <w:r w:rsidRPr="00EA2A3E">
        <w:t>tivet.</w:t>
      </w:r>
      <w:r>
        <w:t xml:space="preserve"> På basen av arbetsgruppens förslag lämnades </w:t>
      </w:r>
      <w:r w:rsidRPr="00EA2A3E">
        <w:t>den 3 maj 2018</w:t>
      </w:r>
      <w:r>
        <w:t xml:space="preserve"> en</w:t>
      </w:r>
      <w:r w:rsidRPr="00970D55">
        <w:t xml:space="preserve"> </w:t>
      </w:r>
      <w:r w:rsidR="00970D55" w:rsidRPr="00970D55">
        <w:t>pr</w:t>
      </w:r>
      <w:r w:rsidR="00970D55" w:rsidRPr="00970D55">
        <w:t>o</w:t>
      </w:r>
      <w:r w:rsidR="00970D55" w:rsidRPr="00970D55">
        <w:t>position</w:t>
      </w:r>
      <w:r w:rsidR="00970D55">
        <w:t xml:space="preserve"> till riksdagen.</w:t>
      </w:r>
      <w:r w:rsidR="00970D55">
        <w:rPr>
          <w:rStyle w:val="Fotnotsreferens"/>
        </w:rPr>
        <w:footnoteReference w:id="7"/>
      </w:r>
    </w:p>
    <w:p w14:paraId="02DD3CA4" w14:textId="77777777" w:rsidR="00336801" w:rsidRDefault="00336801" w:rsidP="00336801">
      <w:pPr>
        <w:pStyle w:val="ANormal"/>
      </w:pPr>
    </w:p>
    <w:p w14:paraId="7C6C038A" w14:textId="7F88EE3B" w:rsidR="00336801" w:rsidRDefault="00E72281" w:rsidP="00771C32">
      <w:pPr>
        <w:pStyle w:val="RubrikD"/>
      </w:pPr>
      <w:r>
        <w:t xml:space="preserve">2.2.2 </w:t>
      </w:r>
      <w:r w:rsidR="00336801">
        <w:t>Sverige</w:t>
      </w:r>
    </w:p>
    <w:p w14:paraId="56D0CC88" w14:textId="77777777" w:rsidR="00336801" w:rsidRPr="009E5456" w:rsidRDefault="00336801" w:rsidP="00336801">
      <w:pPr>
        <w:pStyle w:val="Rubrikmellanrum"/>
      </w:pPr>
    </w:p>
    <w:p w14:paraId="6904CE64" w14:textId="2AC156DA" w:rsidR="00EA2A3E" w:rsidRDefault="00336801" w:rsidP="00336801">
      <w:pPr>
        <w:pStyle w:val="ANormal"/>
      </w:pPr>
      <w:r>
        <w:t>I Sverige tillsattes en utredning om genomförandet av tillgänglighetsdire</w:t>
      </w:r>
      <w:r>
        <w:t>k</w:t>
      </w:r>
      <w:r>
        <w:t>tivet. I finansdepartementets promemoria från november 2017 föreslås att tillgänglighetsdirektivet genomförs genom införandet av en särskild lag om tillgänglighet till digital offentlig service.</w:t>
      </w:r>
      <w:r w:rsidR="00EB792A">
        <w:rPr>
          <w:rStyle w:val="Fotnotsreferens"/>
        </w:rPr>
        <w:footnoteReference w:id="8"/>
      </w:r>
      <w:r>
        <w:t xml:space="preserve"> Med digital offentlig service a</w:t>
      </w:r>
      <w:r>
        <w:t>v</w:t>
      </w:r>
      <w:r>
        <w:t>ses tjänster eller information som en offentlig aktör tillhandahåller via en teknisk lösning. Enligt den föreslagna lagen ska digital service som tillha</w:t>
      </w:r>
      <w:r>
        <w:t>n</w:t>
      </w:r>
      <w:r>
        <w:lastRenderedPageBreak/>
        <w:t>dahålls av en offentlig aktör, via en teknisk lösning som står under aktörens kontroll, vara tillgänglig i enlighet med tillgänglighetskraven i de föreskri</w:t>
      </w:r>
      <w:r>
        <w:t>f</w:t>
      </w:r>
      <w:r>
        <w:t>ter som meddelas med stöd av lagen.</w:t>
      </w:r>
    </w:p>
    <w:p w14:paraId="4533CFA4" w14:textId="3F2C9482" w:rsidR="00970D55" w:rsidRDefault="00EA2A3E" w:rsidP="00336801">
      <w:pPr>
        <w:pStyle w:val="ANormal"/>
      </w:pPr>
      <w:r>
        <w:tab/>
        <w:t>Enligt förslaget ska e</w:t>
      </w:r>
      <w:r w:rsidR="00336801">
        <w:t xml:space="preserve">n offentlig aktör för sådan digital service som står under aktörens kontroll tillhandahålla ett tillgänglighetsutlåtande. </w:t>
      </w:r>
      <w:r>
        <w:t>U</w:t>
      </w:r>
      <w:r w:rsidR="00336801">
        <w:t>tlåta</w:t>
      </w:r>
      <w:r w:rsidR="00336801">
        <w:t>n</w:t>
      </w:r>
      <w:r w:rsidR="00336801">
        <w:t>de</w:t>
      </w:r>
      <w:r>
        <w:t>t</w:t>
      </w:r>
      <w:r w:rsidR="00336801">
        <w:t xml:space="preserve"> ska bl.a. innehålla en kommentarsfunktion som gör det möjligt för e</w:t>
      </w:r>
      <w:r w:rsidR="00336801">
        <w:t>n</w:t>
      </w:r>
      <w:r w:rsidR="00336801">
        <w:t>skilda personer att meddela den berörda aktören att de inte anser att akt</w:t>
      </w:r>
      <w:r w:rsidR="00336801">
        <w:t>ö</w:t>
      </w:r>
      <w:r w:rsidR="00336801">
        <w:t>rens digitala service uppfyller tillgänglighetskraven. En tillsynsmyndighet ska ansvara för de uppgifter i form av utbildning och information, överva</w:t>
      </w:r>
      <w:r w:rsidR="00336801">
        <w:t>k</w:t>
      </w:r>
      <w:r w:rsidR="00336801">
        <w:t>ning, rapportering samt uppföljning som webbtillgänglighetsdirektivet f</w:t>
      </w:r>
      <w:r w:rsidR="00336801">
        <w:t>ö</w:t>
      </w:r>
      <w:r w:rsidR="00336801">
        <w:t>reskriver. Myndigheten ska även kunna utfärda förelägganden om rättelse när en offentlig aktör inte uppfyller den föreslagna lagens krav, som får förenas med vite.</w:t>
      </w:r>
      <w:r w:rsidR="005C5C62">
        <w:t xml:space="preserve"> </w:t>
      </w:r>
      <w:r w:rsidR="00970D55">
        <w:t xml:space="preserve">Enligt planerna i Sverige ska </w:t>
      </w:r>
      <w:r w:rsidR="00970D55" w:rsidRPr="00970D55">
        <w:t>en proposition överlämnas till riksdagen under hösten</w:t>
      </w:r>
      <w:r w:rsidR="00970D55">
        <w:t xml:space="preserve"> 2018</w:t>
      </w:r>
      <w:r w:rsidR="00970D55" w:rsidRPr="00970D55">
        <w:t>.</w:t>
      </w:r>
    </w:p>
    <w:p w14:paraId="60E1A26E" w14:textId="77777777" w:rsidR="009E5456" w:rsidRDefault="009E5456" w:rsidP="007070F5">
      <w:pPr>
        <w:pStyle w:val="ANormal"/>
      </w:pPr>
    </w:p>
    <w:p w14:paraId="306DEC77" w14:textId="5240013D" w:rsidR="007070F5" w:rsidRDefault="007070F5" w:rsidP="00771C32">
      <w:pPr>
        <w:pStyle w:val="RubrikC"/>
      </w:pPr>
      <w:bookmarkStart w:id="15" w:name="_Toc524530393"/>
      <w:r>
        <w:t>2.</w:t>
      </w:r>
      <w:r w:rsidR="00336801">
        <w:t>3</w:t>
      </w:r>
      <w:r>
        <w:t xml:space="preserve"> Överväganden gällande genomförandet på Åland</w:t>
      </w:r>
      <w:bookmarkEnd w:id="15"/>
    </w:p>
    <w:p w14:paraId="3471D8C1" w14:textId="77777777" w:rsidR="007070F5" w:rsidRPr="007070F5" w:rsidRDefault="007070F5" w:rsidP="007070F5">
      <w:pPr>
        <w:pStyle w:val="Rubrikmellanrum"/>
      </w:pPr>
    </w:p>
    <w:p w14:paraId="3ECB7D15" w14:textId="0D77930E" w:rsidR="007070F5" w:rsidRDefault="00336801" w:rsidP="00771C32">
      <w:pPr>
        <w:pStyle w:val="RubrikD"/>
      </w:pPr>
      <w:r>
        <w:t xml:space="preserve">2.3.1 </w:t>
      </w:r>
      <w:r w:rsidR="007070F5">
        <w:t xml:space="preserve">Alternativa </w:t>
      </w:r>
      <w:r w:rsidR="00AB7D96">
        <w:t xml:space="preserve">modeller för </w:t>
      </w:r>
      <w:r w:rsidR="00DE159A">
        <w:t>att genomföra tillgänglighetsdirektivet</w:t>
      </w:r>
    </w:p>
    <w:p w14:paraId="2BC4457B" w14:textId="77777777" w:rsidR="007070F5" w:rsidRPr="007070F5" w:rsidRDefault="007070F5" w:rsidP="007070F5">
      <w:pPr>
        <w:pStyle w:val="Rubrikmellanrum"/>
      </w:pPr>
    </w:p>
    <w:p w14:paraId="066D5EFB" w14:textId="2BD5089D" w:rsidR="00DA7E76" w:rsidRDefault="00D56243" w:rsidP="00D56243">
      <w:pPr>
        <w:pStyle w:val="ANormal"/>
      </w:pPr>
      <w:r>
        <w:t>Genomförandet av tillgänglighetsdirektivet på Åland förutsätter att det a</w:t>
      </w:r>
      <w:r>
        <w:t>n</w:t>
      </w:r>
      <w:r>
        <w:t xml:space="preserve">tas landskapslagstiftning. </w:t>
      </w:r>
      <w:r w:rsidRPr="00D56243">
        <w:t xml:space="preserve">Landskapsregeringens överväganden om hur </w:t>
      </w:r>
      <w:r>
        <w:t>til</w:t>
      </w:r>
      <w:r>
        <w:t>l</w:t>
      </w:r>
      <w:r>
        <w:t xml:space="preserve">gänglighetsdirektivet ska </w:t>
      </w:r>
      <w:r w:rsidRPr="00D56243">
        <w:t xml:space="preserve">genomföras på Åland </w:t>
      </w:r>
      <w:r>
        <w:t xml:space="preserve">begränsas av och </w:t>
      </w:r>
      <w:r w:rsidRPr="00D56243">
        <w:t xml:space="preserve">utgår från landskapets lagstiftningsbehörighet. </w:t>
      </w:r>
      <w:r w:rsidR="00DA7E76">
        <w:t>Det sätt på vilket behörigheten är f</w:t>
      </w:r>
      <w:r w:rsidR="00154BC2" w:rsidRPr="00154BC2">
        <w:t>ö</w:t>
      </w:r>
      <w:r w:rsidR="00154BC2" w:rsidRPr="00154BC2">
        <w:t>r</w:t>
      </w:r>
      <w:r w:rsidR="00154BC2" w:rsidRPr="00154BC2">
        <w:t>de</w:t>
      </w:r>
      <w:r w:rsidR="00DA7E76">
        <w:t xml:space="preserve">lad </w:t>
      </w:r>
      <w:r w:rsidR="00154BC2">
        <w:t xml:space="preserve">kan också </w:t>
      </w:r>
      <w:r w:rsidR="00154BC2" w:rsidRPr="00154BC2">
        <w:t>påverka bedömningen av hur landskapets behörighet ska utnyttjas på ett ändamålsenligt sätt.</w:t>
      </w:r>
      <w:r w:rsidR="00154BC2">
        <w:t xml:space="preserve"> </w:t>
      </w:r>
      <w:r>
        <w:t xml:space="preserve">I </w:t>
      </w:r>
      <w:r w:rsidR="006B4308">
        <w:t>det tredje avsnittet</w:t>
      </w:r>
      <w:r>
        <w:t xml:space="preserve"> redogörs för fö</w:t>
      </w:r>
      <w:r>
        <w:t>r</w:t>
      </w:r>
      <w:r>
        <w:t>delningen av lagstiftningsbehörighet</w:t>
      </w:r>
      <w:r w:rsidR="00336801">
        <w:t>en</w:t>
      </w:r>
      <w:r>
        <w:t xml:space="preserve"> och </w:t>
      </w:r>
      <w:r w:rsidR="00154BC2">
        <w:t>landskapsregeringens bedö</w:t>
      </w:r>
      <w:r w:rsidR="00154BC2">
        <w:t>m</w:t>
      </w:r>
      <w:r w:rsidR="00154BC2">
        <w:t>ning är att tillgänglighetsdirektivet till övervägande delar faller inom lan</w:t>
      </w:r>
      <w:r w:rsidR="00154BC2">
        <w:t>d</w:t>
      </w:r>
      <w:r w:rsidR="00154BC2">
        <w:t>skapets lagstiftningsbehörighet enligt 18</w:t>
      </w:r>
      <w:r w:rsidR="000C71DD">
        <w:t> §</w:t>
      </w:r>
      <w:r w:rsidR="00154BC2">
        <w:t xml:space="preserve"> i självstyrelselagen. </w:t>
      </w:r>
      <w:r>
        <w:t xml:space="preserve">Det finns tre huvudsakliga </w:t>
      </w:r>
      <w:r w:rsidR="00A15A0A">
        <w:t xml:space="preserve">modeller </w:t>
      </w:r>
      <w:r w:rsidR="00DA7E76">
        <w:t>för hur tillgänglighetsdirektivet k</w:t>
      </w:r>
      <w:r w:rsidR="00970D55">
        <w:t>an</w:t>
      </w:r>
      <w:r w:rsidR="00DA7E76">
        <w:t xml:space="preserve"> genomföras inom ramen för landskapets behörighet.</w:t>
      </w:r>
    </w:p>
    <w:p w14:paraId="1D1448AE" w14:textId="2A2841FE" w:rsidR="00DA7E76" w:rsidRDefault="00DA7E76" w:rsidP="00D56243">
      <w:pPr>
        <w:pStyle w:val="ANormal"/>
      </w:pPr>
      <w:r>
        <w:tab/>
        <w:t xml:space="preserve">Det </w:t>
      </w:r>
      <w:r w:rsidRPr="00852104">
        <w:rPr>
          <w:i/>
        </w:rPr>
        <w:t xml:space="preserve">första </w:t>
      </w:r>
      <w:r w:rsidR="00A875C1" w:rsidRPr="00852104">
        <w:rPr>
          <w:i/>
        </w:rPr>
        <w:t xml:space="preserve">huvudsakliga </w:t>
      </w:r>
      <w:r w:rsidRPr="00852104">
        <w:rPr>
          <w:i/>
        </w:rPr>
        <w:t>alternativet</w:t>
      </w:r>
      <w:r>
        <w:t xml:space="preserve"> är att in</w:t>
      </w:r>
      <w:r w:rsidR="001B0F3F">
        <w:t>föra</w:t>
      </w:r>
      <w:r>
        <w:t xml:space="preserve"> den reglering som g</w:t>
      </w:r>
      <w:r>
        <w:t>e</w:t>
      </w:r>
      <w:r>
        <w:t>nomför tillgänglighetsdirektivet i existerande landskapslagar. Tillgängli</w:t>
      </w:r>
      <w:r>
        <w:t>g</w:t>
      </w:r>
      <w:r>
        <w:t xml:space="preserve">hetsdirektivet innehåller krav gällande tillgängligheten till </w:t>
      </w:r>
      <w:r w:rsidRPr="00DA7E76">
        <w:t>offentliga my</w:t>
      </w:r>
      <w:r w:rsidRPr="00DA7E76">
        <w:t>n</w:t>
      </w:r>
      <w:r w:rsidRPr="00DA7E76">
        <w:t>digheters webbplatser och mobila applikationer</w:t>
      </w:r>
      <w:r>
        <w:t xml:space="preserve">. Redan i dagsläget finns </w:t>
      </w:r>
      <w:r w:rsidR="00DC5087">
        <w:t xml:space="preserve">i förvaltningslagen för landskapet Åland viss reglering som </w:t>
      </w:r>
      <w:r w:rsidR="001B0F3F">
        <w:t>beaktar digital</w:t>
      </w:r>
      <w:r w:rsidR="001B0F3F">
        <w:t>i</w:t>
      </w:r>
      <w:r w:rsidR="001B0F3F">
        <w:t xml:space="preserve">seringen av </w:t>
      </w:r>
      <w:r w:rsidR="00DC5087">
        <w:t>myndigheternas förvaltningsförfarande</w:t>
      </w:r>
      <w:r w:rsidR="001B0F3F">
        <w:t>. K</w:t>
      </w:r>
      <w:r w:rsidR="00DC5087">
        <w:t>rav på tillgängliga webbplatser och mobil</w:t>
      </w:r>
      <w:r w:rsidR="00C86BA1">
        <w:t xml:space="preserve">a </w:t>
      </w:r>
      <w:r w:rsidR="00DC5087">
        <w:t>applikationer knyter nära an till den allmänna se</w:t>
      </w:r>
      <w:r w:rsidR="00DC5087">
        <w:t>r</w:t>
      </w:r>
      <w:r w:rsidR="00DC5087">
        <w:t>viceskyldighet som ingår i förvaltningslagen</w:t>
      </w:r>
      <w:r w:rsidR="00970D55">
        <w:t xml:space="preserve">. </w:t>
      </w:r>
      <w:r w:rsidR="00DC5087">
        <w:t>Å andra sidan gäller tillgän</w:t>
      </w:r>
      <w:r w:rsidR="00DC5087">
        <w:t>g</w:t>
      </w:r>
      <w:r w:rsidR="00DC5087">
        <w:t>lighetsdirektivet</w:t>
      </w:r>
      <w:r w:rsidR="001B0F3F">
        <w:t>s tillämpningsområde</w:t>
      </w:r>
      <w:r w:rsidR="00DC5087">
        <w:t xml:space="preserve"> ett bredare spektrum av offentliga aktörer än förvaltningslagen</w:t>
      </w:r>
      <w:r w:rsidR="001B0F3F">
        <w:t>s</w:t>
      </w:r>
      <w:r w:rsidR="00DC5087">
        <w:t xml:space="preserve">. </w:t>
      </w:r>
      <w:r w:rsidR="001B0F3F">
        <w:t xml:space="preserve">Det skulle inte heller vara ändamålsenligt att i förvaltningslagen föra in </w:t>
      </w:r>
      <w:r w:rsidR="00DC5087">
        <w:t>omfattande specialreglering om webbplatser och mobil</w:t>
      </w:r>
      <w:r w:rsidR="00C86BA1">
        <w:t xml:space="preserve">a </w:t>
      </w:r>
      <w:r w:rsidR="00DC5087">
        <w:t xml:space="preserve">applikationer. Av liknande orsaker är det inte heller ändamålsenligt att </w:t>
      </w:r>
      <w:r w:rsidR="001B0F3F">
        <w:t xml:space="preserve">genomföra tillgänglighetsdirektivet genom omfattande bestämmelser i varje enskild landskapslag om </w:t>
      </w:r>
      <w:r w:rsidR="00DC5087">
        <w:t xml:space="preserve">de enskilda myndigheterna </w:t>
      </w:r>
      <w:r w:rsidR="001B0F3F">
        <w:t>inom landskaps- och kommunalförvaltningen.</w:t>
      </w:r>
    </w:p>
    <w:p w14:paraId="21F900AC" w14:textId="7FF61091" w:rsidR="002123F0" w:rsidRDefault="00EF340F" w:rsidP="00D56243">
      <w:pPr>
        <w:pStyle w:val="ANormal"/>
      </w:pPr>
      <w:r>
        <w:tab/>
      </w:r>
      <w:r w:rsidR="001B0F3F">
        <w:t xml:space="preserve">Det är </w:t>
      </w:r>
      <w:r w:rsidR="00A875C1">
        <w:t xml:space="preserve">ett </w:t>
      </w:r>
      <w:r w:rsidR="001B0F3F">
        <w:t xml:space="preserve">mera beaktansvärt </w:t>
      </w:r>
      <w:r w:rsidR="00A875C1">
        <w:t xml:space="preserve">alternativ </w:t>
      </w:r>
      <w:r w:rsidR="001B0F3F">
        <w:t xml:space="preserve">att föra in bestämmelser </w:t>
      </w:r>
      <w:r w:rsidR="005E47C2">
        <w:t>som g</w:t>
      </w:r>
      <w:r w:rsidR="005E47C2">
        <w:t>e</w:t>
      </w:r>
      <w:r w:rsidR="005E47C2">
        <w:t xml:space="preserve">nomför tillgänglighetsdirektivet </w:t>
      </w:r>
      <w:r>
        <w:t>i l</w:t>
      </w:r>
      <w:r w:rsidRPr="00EF340F">
        <w:t>andskapslagen om förhindrande av di</w:t>
      </w:r>
      <w:r w:rsidRPr="00EF340F">
        <w:t>s</w:t>
      </w:r>
      <w:r w:rsidRPr="00EF340F">
        <w:t>kriminering i landskapet Åland</w:t>
      </w:r>
      <w:r>
        <w:t xml:space="preserve">. </w:t>
      </w:r>
      <w:r w:rsidR="005E47C2">
        <w:t>Landskapslagens uttryckliga syfte är nä</w:t>
      </w:r>
      <w:r w:rsidR="005E47C2">
        <w:t>m</w:t>
      </w:r>
      <w:r w:rsidR="005E47C2">
        <w:t xml:space="preserve">ligen att </w:t>
      </w:r>
      <w:r w:rsidRPr="00EF340F">
        <w:t>motverka och förhindra diskriminering</w:t>
      </w:r>
      <w:r w:rsidR="00461F0D">
        <w:t>,</w:t>
      </w:r>
      <w:r w:rsidRPr="00EF340F">
        <w:t xml:space="preserve"> bl.a. </w:t>
      </w:r>
      <w:r>
        <w:t xml:space="preserve">med anledning av </w:t>
      </w:r>
      <w:r w:rsidRPr="00EF340F">
        <w:t>funktionshinder.</w:t>
      </w:r>
      <w:r>
        <w:t xml:space="preserve"> </w:t>
      </w:r>
      <w:r w:rsidR="005E47C2">
        <w:t xml:space="preserve">Nackdelen med denna lösning är att </w:t>
      </w:r>
      <w:r w:rsidR="002123F0">
        <w:t>landskapslag</w:t>
      </w:r>
      <w:r w:rsidR="00B83E2B">
        <w:t>en</w:t>
      </w:r>
      <w:r w:rsidR="002123F0">
        <w:t xml:space="preserve"> är en allmän landskapslag om förhindrande av diskriminering</w:t>
      </w:r>
      <w:r w:rsidR="005E47C2">
        <w:t>, dvs. landskapsl</w:t>
      </w:r>
      <w:r w:rsidR="005E47C2">
        <w:t>a</w:t>
      </w:r>
      <w:r w:rsidR="005E47C2">
        <w:t xml:space="preserve">gen innehåller inte bestämmelser med konkreta åtgärder för förhindrandet av diskriminering. Tillgänglighetsdirektivet innehåller konkreta åtgärder som medlemsstaterna ska vidta för att myndigheternas </w:t>
      </w:r>
      <w:r w:rsidR="002123F0">
        <w:t>webbplatser och mobil</w:t>
      </w:r>
      <w:r w:rsidR="00C86BA1">
        <w:t xml:space="preserve">a </w:t>
      </w:r>
      <w:r w:rsidR="002123F0">
        <w:t xml:space="preserve">applikationer </w:t>
      </w:r>
      <w:r w:rsidR="005E47C2">
        <w:t xml:space="preserve">ska vara tillgängliga och </w:t>
      </w:r>
      <w:r w:rsidR="002123F0">
        <w:t xml:space="preserve">förhindra diskriminering. Denna typ av reglering </w:t>
      </w:r>
      <w:r w:rsidR="00B83E2B">
        <w:t xml:space="preserve">om enskilda åtgärder </w:t>
      </w:r>
      <w:r w:rsidR="002123F0">
        <w:t xml:space="preserve">har inte tidigare förts </w:t>
      </w:r>
      <w:r w:rsidR="005156B6">
        <w:t xml:space="preserve">in </w:t>
      </w:r>
      <w:r w:rsidR="002123F0">
        <w:t xml:space="preserve">i </w:t>
      </w:r>
      <w:r w:rsidR="002123F0" w:rsidRPr="002123F0">
        <w:t>lan</w:t>
      </w:r>
      <w:r w:rsidR="002123F0" w:rsidRPr="002123F0">
        <w:t>d</w:t>
      </w:r>
      <w:r w:rsidR="002123F0" w:rsidRPr="002123F0">
        <w:t>skapslagen om förhindrande av diskriminering i landskapet Åland</w:t>
      </w:r>
      <w:r w:rsidR="00FD5E0E">
        <w:t>. G</w:t>
      </w:r>
      <w:r w:rsidR="002123F0">
        <w:t>eno</w:t>
      </w:r>
      <w:r w:rsidR="002123F0">
        <w:t>m</w:t>
      </w:r>
      <w:r w:rsidR="002123F0">
        <w:lastRenderedPageBreak/>
        <w:t xml:space="preserve">förandet av tillgänglighetsdirektivet på detta sätt skulle </w:t>
      </w:r>
      <w:r w:rsidR="00FD5E0E">
        <w:t xml:space="preserve">också </w:t>
      </w:r>
      <w:r w:rsidR="005E47C2">
        <w:t xml:space="preserve">förutsätta en </w:t>
      </w:r>
      <w:r w:rsidR="002123F0">
        <w:t>totalrevision av landskapslagen.</w:t>
      </w:r>
    </w:p>
    <w:p w14:paraId="0C9BD702" w14:textId="562DB9BE" w:rsidR="00461F0D" w:rsidRDefault="002123F0" w:rsidP="001F03A5">
      <w:pPr>
        <w:pStyle w:val="ANormal"/>
      </w:pPr>
      <w:r>
        <w:tab/>
      </w:r>
      <w:r w:rsidR="005E47C2">
        <w:t xml:space="preserve">Det </w:t>
      </w:r>
      <w:r w:rsidRPr="00852104">
        <w:rPr>
          <w:i/>
        </w:rPr>
        <w:t xml:space="preserve">andra </w:t>
      </w:r>
      <w:r w:rsidR="00A875C1" w:rsidRPr="00852104">
        <w:rPr>
          <w:i/>
        </w:rPr>
        <w:t xml:space="preserve">huvudsakliga </w:t>
      </w:r>
      <w:r w:rsidRPr="00852104">
        <w:rPr>
          <w:i/>
        </w:rPr>
        <w:t>alternativ</w:t>
      </w:r>
      <w:r w:rsidR="005E47C2" w:rsidRPr="00852104">
        <w:rPr>
          <w:i/>
        </w:rPr>
        <w:t>et</w:t>
      </w:r>
      <w:r w:rsidR="005F3543">
        <w:t xml:space="preserve"> är att b</w:t>
      </w:r>
      <w:r>
        <w:t xml:space="preserve">estämmelserna </w:t>
      </w:r>
      <w:r w:rsidR="00A4332D">
        <w:t xml:space="preserve">för </w:t>
      </w:r>
      <w:r>
        <w:t>genomf</w:t>
      </w:r>
      <w:r>
        <w:t>ö</w:t>
      </w:r>
      <w:r>
        <w:t xml:space="preserve">randet av tillgänglighetsdirektivet visserligen avskiljs till en </w:t>
      </w:r>
      <w:r w:rsidR="00A4332D">
        <w:t>sär</w:t>
      </w:r>
      <w:r>
        <w:t>skild lan</w:t>
      </w:r>
      <w:r>
        <w:t>d</w:t>
      </w:r>
      <w:r>
        <w:t xml:space="preserve">skapslag, men så att det </w:t>
      </w:r>
      <w:r w:rsidR="00A4332D">
        <w:t xml:space="preserve">är </w:t>
      </w:r>
      <w:r w:rsidR="00A875C1">
        <w:t xml:space="preserve">fråga om en landskapslag av blankettnatur </w:t>
      </w:r>
      <w:r>
        <w:t xml:space="preserve">som gör rikets bestämmelser gällande inom landskapets behörighet. </w:t>
      </w:r>
      <w:r w:rsidR="00A35BC0">
        <w:t>I allmänhet kan b</w:t>
      </w:r>
      <w:r w:rsidR="00A4332D" w:rsidRPr="00A4332D">
        <w:t xml:space="preserve">lankettlagstiftning vara ändamålsenlig om behörigheten inom ett rättsområde är delad eller om det rör sig om </w:t>
      </w:r>
      <w:r w:rsidR="00A35BC0">
        <w:t xml:space="preserve">mycket </w:t>
      </w:r>
      <w:r w:rsidR="00A4332D" w:rsidRPr="00A4332D">
        <w:t xml:space="preserve">teknisk reglering där mervärdet av </w:t>
      </w:r>
      <w:r w:rsidR="00A4332D">
        <w:t xml:space="preserve">självständiga </w:t>
      </w:r>
      <w:r w:rsidR="00A4332D" w:rsidRPr="00A4332D">
        <w:t xml:space="preserve">bestämmelser </w:t>
      </w:r>
      <w:r w:rsidR="00A35BC0">
        <w:t xml:space="preserve">i landskapslagstiftning </w:t>
      </w:r>
      <w:r w:rsidR="00A4332D" w:rsidRPr="00A4332D">
        <w:t>är marg</w:t>
      </w:r>
      <w:r w:rsidR="00A4332D" w:rsidRPr="00A4332D">
        <w:t>i</w:t>
      </w:r>
      <w:r w:rsidR="00A4332D" w:rsidRPr="00A4332D">
        <w:t>nell.</w:t>
      </w:r>
      <w:r w:rsidR="00A4332D">
        <w:t xml:space="preserve"> </w:t>
      </w:r>
      <w:r w:rsidR="00A875C1">
        <w:t xml:space="preserve">Nackdelen med denna modell är att den </w:t>
      </w:r>
      <w:r w:rsidR="00461F0D">
        <w:t xml:space="preserve">ofta </w:t>
      </w:r>
      <w:r w:rsidR="00A35BC0">
        <w:t>led</w:t>
      </w:r>
      <w:r w:rsidR="00A875C1">
        <w:t>er</w:t>
      </w:r>
      <w:r w:rsidR="00A35BC0">
        <w:t xml:space="preserve"> till </w:t>
      </w:r>
      <w:r w:rsidR="00020E9E">
        <w:t>minskad</w:t>
      </w:r>
      <w:r w:rsidR="00DC411E">
        <w:t xml:space="preserve"> </w:t>
      </w:r>
      <w:r w:rsidR="00020E9E">
        <w:t>transp</w:t>
      </w:r>
      <w:r w:rsidR="00020E9E">
        <w:t>a</w:t>
      </w:r>
      <w:r w:rsidR="00020E9E">
        <w:t>rens</w:t>
      </w:r>
      <w:r w:rsidR="00124BCB">
        <w:t>.</w:t>
      </w:r>
      <w:r w:rsidR="00FD5E0E">
        <w:t xml:space="preserve"> </w:t>
      </w:r>
      <w:r w:rsidR="00461F0D">
        <w:t>Beroende på ärendets art kan d</w:t>
      </w:r>
      <w:r w:rsidR="00FD5E0E">
        <w:t>et f</w:t>
      </w:r>
      <w:r w:rsidR="00A875C1">
        <w:t>inn</w:t>
      </w:r>
      <w:r w:rsidR="00FD5E0E">
        <w:t>a</w:t>
      </w:r>
      <w:r w:rsidR="00A875C1">
        <w:t xml:space="preserve">s </w:t>
      </w:r>
      <w:r w:rsidR="00020E9E">
        <w:t xml:space="preserve">ett omfattande behov av att införa särbestämmelser </w:t>
      </w:r>
      <w:r w:rsidR="00A875C1">
        <w:t xml:space="preserve">i blankettlagen </w:t>
      </w:r>
      <w:r w:rsidR="00020E9E">
        <w:t>om tillämpningen av riksförfat</w:t>
      </w:r>
      <w:r w:rsidR="00020E9E">
        <w:t>t</w:t>
      </w:r>
      <w:r w:rsidR="00020E9E">
        <w:t>ningarna på Åland.</w:t>
      </w:r>
      <w:r w:rsidR="0000118F">
        <w:t xml:space="preserve"> </w:t>
      </w:r>
      <w:r w:rsidR="00461F0D">
        <w:t>Det är också möjligt att t</w:t>
      </w:r>
      <w:r w:rsidR="00A875C1">
        <w:t>ekni</w:t>
      </w:r>
      <w:r w:rsidR="00CC27F2">
        <w:t xml:space="preserve">ken </w:t>
      </w:r>
      <w:r w:rsidR="00A875C1">
        <w:t>med b</w:t>
      </w:r>
      <w:r w:rsidR="00020E9E">
        <w:t>lankettlagstif</w:t>
      </w:r>
      <w:r w:rsidR="00020E9E">
        <w:t>t</w:t>
      </w:r>
      <w:r w:rsidR="00020E9E">
        <w:t>ning</w:t>
      </w:r>
      <w:r w:rsidR="00A875C1">
        <w:t xml:space="preserve"> </w:t>
      </w:r>
      <w:r w:rsidR="00020E9E">
        <w:t>medför</w:t>
      </w:r>
      <w:r w:rsidR="00896B4E">
        <w:t xml:space="preserve"> ett större behov av uppföljning </w:t>
      </w:r>
      <w:r w:rsidR="00461F0D">
        <w:t>då man måste följa med kons</w:t>
      </w:r>
      <w:r w:rsidR="00461F0D">
        <w:t>e</w:t>
      </w:r>
      <w:r w:rsidR="00461F0D">
        <w:t>kvenserna på Åland av eventuella ändringar i riksförfattningarna.</w:t>
      </w:r>
    </w:p>
    <w:p w14:paraId="65C6843E" w14:textId="66A7F1C1" w:rsidR="00A35BC0" w:rsidRDefault="00461F0D" w:rsidP="001F03A5">
      <w:pPr>
        <w:pStyle w:val="ANormal"/>
      </w:pPr>
      <w:r>
        <w:tab/>
      </w:r>
      <w:r w:rsidR="001354CB">
        <w:t xml:space="preserve">Vid en närmare granskning av </w:t>
      </w:r>
      <w:r w:rsidR="00CC27F2">
        <w:t xml:space="preserve">förslaget </w:t>
      </w:r>
      <w:r w:rsidR="00A35BC0">
        <w:t>till rik</w:t>
      </w:r>
      <w:r w:rsidR="00A875C1">
        <w:t xml:space="preserve">ets </w:t>
      </w:r>
      <w:r w:rsidR="00A35BC0">
        <w:t xml:space="preserve">lag </w:t>
      </w:r>
      <w:r w:rsidR="00A35BC0" w:rsidRPr="00A35BC0">
        <w:t>om tillhandahå</w:t>
      </w:r>
      <w:r w:rsidR="00A35BC0" w:rsidRPr="00A35BC0">
        <w:t>l</w:t>
      </w:r>
      <w:r w:rsidR="00A35BC0" w:rsidRPr="00A35BC0">
        <w:t>lande av digitala tjänster</w:t>
      </w:r>
      <w:r w:rsidR="00A35BC0">
        <w:t xml:space="preserve"> </w:t>
      </w:r>
      <w:r w:rsidR="001354CB">
        <w:t xml:space="preserve">framkommer att rikslagen </w:t>
      </w:r>
      <w:r w:rsidR="00A35BC0">
        <w:t xml:space="preserve">inte enbart avgränsas till att genomföra </w:t>
      </w:r>
      <w:r w:rsidR="00A875C1">
        <w:t>tillgänglighets</w:t>
      </w:r>
      <w:r w:rsidR="00A35BC0">
        <w:t>direktivet</w:t>
      </w:r>
      <w:r w:rsidR="00A875C1">
        <w:t xml:space="preserve">. Lagen </w:t>
      </w:r>
      <w:r w:rsidR="001354CB">
        <w:t xml:space="preserve">ska </w:t>
      </w:r>
      <w:r w:rsidR="00A875C1">
        <w:t>också</w:t>
      </w:r>
      <w:r w:rsidR="00A35BC0">
        <w:t xml:space="preserve"> innehålla mera allmänna bestämmelser om hur myndigheter</w:t>
      </w:r>
      <w:r w:rsidR="00A875C1">
        <w:t>na</w:t>
      </w:r>
      <w:r w:rsidR="00A35BC0">
        <w:t xml:space="preserve"> ska ordna d</w:t>
      </w:r>
      <w:r w:rsidR="00A35BC0" w:rsidRPr="00A35BC0">
        <w:t>igitala tjänster för allmänheten</w:t>
      </w:r>
      <w:r w:rsidR="00FD5E0E">
        <w:t xml:space="preserve"> samtidigt som lagens tillämpningsområde inte avgränsar sig enbart till myndigheter. </w:t>
      </w:r>
      <w:r w:rsidR="001354CB">
        <w:t>Därför skulle d</w:t>
      </w:r>
      <w:r w:rsidR="00705C4A">
        <w:t xml:space="preserve">et inte </w:t>
      </w:r>
      <w:r w:rsidR="001354CB">
        <w:t xml:space="preserve">vara </w:t>
      </w:r>
      <w:r w:rsidR="00705C4A">
        <w:t xml:space="preserve">ändamålsenligt att göra </w:t>
      </w:r>
      <w:r w:rsidR="001354CB">
        <w:t xml:space="preserve">rikslagen </w:t>
      </w:r>
      <w:r w:rsidR="00705C4A">
        <w:t xml:space="preserve">gällande </w:t>
      </w:r>
      <w:r w:rsidR="001354CB">
        <w:t xml:space="preserve">i sin helhet </w:t>
      </w:r>
      <w:r w:rsidR="00FD5E0E">
        <w:t>inom landskapets behörighet</w:t>
      </w:r>
      <w:r w:rsidR="001354CB">
        <w:t xml:space="preserve">. </w:t>
      </w:r>
      <w:r w:rsidR="001F03A5">
        <w:t>Lan</w:t>
      </w:r>
      <w:r w:rsidR="001F03A5">
        <w:t>d</w:t>
      </w:r>
      <w:r w:rsidR="001F03A5">
        <w:t>skapsregeringens lagförslag har e</w:t>
      </w:r>
      <w:r w:rsidR="00FD5E0E">
        <w:t>n</w:t>
      </w:r>
      <w:r w:rsidR="001F03A5">
        <w:t xml:space="preserve"> snävare </w:t>
      </w:r>
      <w:r w:rsidR="00FD5E0E">
        <w:t>målsättning</w:t>
      </w:r>
      <w:r w:rsidR="001F03A5">
        <w:t xml:space="preserve"> och </w:t>
      </w:r>
      <w:r w:rsidR="00705C4A">
        <w:t>syftar enbart till genomförandet av tillgänglighetsdirektivet</w:t>
      </w:r>
      <w:r w:rsidR="001F03A5">
        <w:t xml:space="preserve"> på Åland</w:t>
      </w:r>
      <w:r w:rsidR="00705C4A">
        <w:t>.</w:t>
      </w:r>
      <w:r w:rsidR="001354CB">
        <w:t xml:space="preserve"> Med tanke på att det pågår ett omfattande arbete att göra ändringar i rikslagstiftningen som sy</w:t>
      </w:r>
      <w:r w:rsidR="001354CB">
        <w:t>f</w:t>
      </w:r>
      <w:r w:rsidR="001354CB">
        <w:t xml:space="preserve">tar till att anpassa </w:t>
      </w:r>
      <w:r w:rsidR="00D21D7F">
        <w:t>riks</w:t>
      </w:r>
      <w:r w:rsidR="001354CB">
        <w:t>myndigheternas arbete till digitalisering</w:t>
      </w:r>
      <w:r w:rsidR="00D21D7F">
        <w:t>en</w:t>
      </w:r>
      <w:r w:rsidR="001354CB">
        <w:t xml:space="preserve"> </w:t>
      </w:r>
      <w:r w:rsidR="009A1C8F">
        <w:t>bör</w:t>
      </w:r>
      <w:r w:rsidR="001354CB">
        <w:t xml:space="preserve"> det på längre sikt utredas </w:t>
      </w:r>
      <w:r w:rsidR="009A1C8F">
        <w:t>om detta behöver</w:t>
      </w:r>
      <w:r w:rsidR="00D21D7F">
        <w:t xml:space="preserve"> beaktas </w:t>
      </w:r>
      <w:r w:rsidR="009A1C8F">
        <w:t xml:space="preserve">på Åland och i </w:t>
      </w:r>
      <w:r w:rsidR="00D21D7F">
        <w:t>landskap</w:t>
      </w:r>
      <w:r w:rsidR="009A1C8F">
        <w:t>sla</w:t>
      </w:r>
      <w:r w:rsidR="009A1C8F">
        <w:t>g</w:t>
      </w:r>
      <w:r w:rsidR="009A1C8F">
        <w:t>stiftningen.</w:t>
      </w:r>
    </w:p>
    <w:p w14:paraId="21A6C553" w14:textId="41F8BF24" w:rsidR="00D057CF" w:rsidRDefault="00896B4E" w:rsidP="00D56243">
      <w:pPr>
        <w:pStyle w:val="ANormal"/>
      </w:pPr>
      <w:r>
        <w:tab/>
      </w:r>
      <w:r w:rsidR="00852104">
        <w:t>Det</w:t>
      </w:r>
      <w:r>
        <w:t xml:space="preserve"> </w:t>
      </w:r>
      <w:r w:rsidRPr="00852104">
        <w:rPr>
          <w:i/>
        </w:rPr>
        <w:t xml:space="preserve">tredje </w:t>
      </w:r>
      <w:r w:rsidR="009D0876" w:rsidRPr="00852104">
        <w:rPr>
          <w:i/>
        </w:rPr>
        <w:t>huvudsaklig</w:t>
      </w:r>
      <w:r w:rsidR="00852104" w:rsidRPr="00852104">
        <w:rPr>
          <w:i/>
        </w:rPr>
        <w:t>a</w:t>
      </w:r>
      <w:r w:rsidR="009D0876" w:rsidRPr="00852104">
        <w:rPr>
          <w:i/>
        </w:rPr>
        <w:t xml:space="preserve"> </w:t>
      </w:r>
      <w:r w:rsidRPr="00852104">
        <w:rPr>
          <w:i/>
        </w:rPr>
        <w:t>alternativ</w:t>
      </w:r>
      <w:r w:rsidR="00852104" w:rsidRPr="00852104">
        <w:rPr>
          <w:i/>
        </w:rPr>
        <w:t>et</w:t>
      </w:r>
      <w:r>
        <w:t xml:space="preserve"> är att </w:t>
      </w:r>
      <w:r w:rsidR="00AD560A">
        <w:t>det utarbetas en särskild lan</w:t>
      </w:r>
      <w:r w:rsidR="00AD560A">
        <w:t>d</w:t>
      </w:r>
      <w:r w:rsidR="00AD560A">
        <w:t xml:space="preserve">skapslag om </w:t>
      </w:r>
      <w:r w:rsidR="00F90C11">
        <w:t xml:space="preserve">tillgängligheten till </w:t>
      </w:r>
      <w:r w:rsidR="006F1FD6">
        <w:t>myndigheternas webbplatser och mobila</w:t>
      </w:r>
      <w:r w:rsidR="00CC27F2">
        <w:t xml:space="preserve"> a</w:t>
      </w:r>
      <w:r w:rsidR="006F1FD6">
        <w:t>pplikationer</w:t>
      </w:r>
      <w:r w:rsidR="00F90C11">
        <w:t xml:space="preserve">. </w:t>
      </w:r>
      <w:r w:rsidR="00705C4A">
        <w:t>T</w:t>
      </w:r>
      <w:r>
        <w:t xml:space="preserve">illgänglighetsdirektivet </w:t>
      </w:r>
      <w:r w:rsidR="00CC27F2">
        <w:t>gäller webbplatser och mobila a</w:t>
      </w:r>
      <w:r w:rsidR="00CC27F2">
        <w:t>p</w:t>
      </w:r>
      <w:r w:rsidR="00CC27F2">
        <w:t xml:space="preserve">plikationer </w:t>
      </w:r>
      <w:r>
        <w:t xml:space="preserve">som </w:t>
      </w:r>
      <w:r w:rsidR="00CC27F2">
        <w:t>offentliga</w:t>
      </w:r>
      <w:r>
        <w:t xml:space="preserve"> myndigheter tillhandahåller enskilda. Denna typ av bestämmelser </w:t>
      </w:r>
      <w:r w:rsidR="0000118F">
        <w:t xml:space="preserve">som innehåller </w:t>
      </w:r>
      <w:r>
        <w:t>skyldigheter riktade till samtliga myndi</w:t>
      </w:r>
      <w:r>
        <w:t>g</w:t>
      </w:r>
      <w:r>
        <w:t xml:space="preserve">heter inom landskaps- och kommunalförvaltningen har vanligen inte varit av blankettnatur. </w:t>
      </w:r>
      <w:r w:rsidR="006F1FD6">
        <w:t xml:space="preserve">Det finns </w:t>
      </w:r>
      <w:r w:rsidR="00D057CF">
        <w:t xml:space="preserve">ytterligare </w:t>
      </w:r>
      <w:r w:rsidR="006F1FD6">
        <w:t>faktorer som talar för att en särskild landskapslag är det mest ändamålsenliga alternativet. Tillgänglighetsdire</w:t>
      </w:r>
      <w:r w:rsidR="006F1FD6">
        <w:t>k</w:t>
      </w:r>
      <w:r w:rsidR="006F1FD6">
        <w:t xml:space="preserve">tivet är inte särskilt omfattande </w:t>
      </w:r>
      <w:r w:rsidR="00124BCB">
        <w:t xml:space="preserve">och direktivet kan genomföras så </w:t>
      </w:r>
      <w:r w:rsidR="00D057CF">
        <w:t>att sam</w:t>
      </w:r>
      <w:r w:rsidR="00D057CF">
        <w:t>t</w:t>
      </w:r>
      <w:r w:rsidR="00D057CF">
        <w:t xml:space="preserve">liga bestämmelser ingår i en </w:t>
      </w:r>
      <w:r w:rsidR="00705C4A">
        <w:t>särskild landskapslag</w:t>
      </w:r>
      <w:r w:rsidR="00D057CF">
        <w:t xml:space="preserve">. </w:t>
      </w:r>
      <w:r w:rsidR="0000118F">
        <w:t>Sammantaget anser landskapsregeringen att tillgänglighetsdirektivet ska genomföras genom en särskild landskapslag som</w:t>
      </w:r>
      <w:r w:rsidR="00C74939">
        <w:t xml:space="preserve"> inte är av blankettnatur och som</w:t>
      </w:r>
      <w:r w:rsidR="0000118F">
        <w:t xml:space="preserve"> innehåller alla väsentliga bestämmelser för genomförandet av direktivet.</w:t>
      </w:r>
    </w:p>
    <w:p w14:paraId="3960FEA9" w14:textId="77777777" w:rsidR="003A5B4A" w:rsidRPr="003A5B4A" w:rsidRDefault="003A5B4A" w:rsidP="003A5B4A">
      <w:pPr>
        <w:pStyle w:val="ANormal"/>
      </w:pPr>
    </w:p>
    <w:p w14:paraId="59166D03" w14:textId="7A264FC1" w:rsidR="003A5B4A" w:rsidRPr="003A5B4A" w:rsidRDefault="003A5B4A" w:rsidP="003A5B4A">
      <w:pPr>
        <w:pStyle w:val="ANormal"/>
        <w:rPr>
          <w:i/>
          <w:iCs/>
        </w:rPr>
      </w:pPr>
      <w:r w:rsidRPr="003A5B4A">
        <w:rPr>
          <w:i/>
          <w:iCs/>
        </w:rPr>
        <w:t>2.3.</w:t>
      </w:r>
      <w:r>
        <w:rPr>
          <w:i/>
          <w:iCs/>
        </w:rPr>
        <w:t>2</w:t>
      </w:r>
      <w:r w:rsidRPr="003A5B4A">
        <w:rPr>
          <w:i/>
          <w:iCs/>
        </w:rPr>
        <w:t xml:space="preserve"> Definition av webbplats och mobil applikation</w:t>
      </w:r>
    </w:p>
    <w:p w14:paraId="4C610134" w14:textId="77777777" w:rsidR="003A5B4A" w:rsidRPr="003A5B4A" w:rsidRDefault="003A5B4A" w:rsidP="003A5B4A">
      <w:pPr>
        <w:pStyle w:val="Rubrikmellanrum"/>
      </w:pPr>
    </w:p>
    <w:p w14:paraId="4077FE0F" w14:textId="6A2F3CAF" w:rsidR="003A5B4A" w:rsidRPr="003A5B4A" w:rsidRDefault="003A5B4A" w:rsidP="003A5B4A">
      <w:pPr>
        <w:pStyle w:val="ANormal"/>
      </w:pPr>
      <w:r w:rsidRPr="003A5B4A">
        <w:t>Tillgänglighetsdirektivet innehåller ingen definition av vad som utgör en webbplats. Enligt skäl 19 i direktivet omfattar innehållet på webbsidor (och mobila applikationer) såväl text som icke-textuell information, nedlad</w:t>
      </w:r>
      <w:r w:rsidRPr="003A5B4A">
        <w:t>d</w:t>
      </w:r>
      <w:r w:rsidRPr="003A5B4A">
        <w:t>ningsbara dokument och formulär samt tvåvägsinteraktion, såsom behan</w:t>
      </w:r>
      <w:r w:rsidRPr="003A5B4A">
        <w:t>d</w:t>
      </w:r>
      <w:r w:rsidRPr="003A5B4A">
        <w:t>ling av digitala formulär och hantering av autentisering, identifiering och betalning. I allmänhet avses med begreppet webbplats en samling av t.ex. texter, bilder och annan media som nås via internet. En webbplats består i sin tur av en eller flera webbsidor.</w:t>
      </w:r>
      <w:r w:rsidR="001E0C87">
        <w:rPr>
          <w:rStyle w:val="Fotnotsreferens"/>
        </w:rPr>
        <w:footnoteReference w:id="9"/>
      </w:r>
      <w:r w:rsidRPr="003A5B4A">
        <w:t xml:space="preserve"> I </w:t>
      </w:r>
      <w:bookmarkStart w:id="16" w:name="_Hlk512608346"/>
      <w:r w:rsidRPr="003A5B4A">
        <w:t>den föreslagna rikslagen om tillhand</w:t>
      </w:r>
      <w:r w:rsidRPr="003A5B4A">
        <w:t>a</w:t>
      </w:r>
      <w:r w:rsidRPr="003A5B4A">
        <w:lastRenderedPageBreak/>
        <w:t xml:space="preserve">hållande av digitala tjänster </w:t>
      </w:r>
      <w:bookmarkEnd w:id="16"/>
      <w:r w:rsidRPr="003A5B4A">
        <w:t>har webbplats definierats som digitalt datai</w:t>
      </w:r>
      <w:r w:rsidRPr="003A5B4A">
        <w:t>n</w:t>
      </w:r>
      <w:r w:rsidRPr="003A5B4A">
        <w:t xml:space="preserve">nehåll som individualiseras med hjälp av ett domännamn, </w:t>
      </w:r>
      <w:r w:rsidR="001E0C87">
        <w:t xml:space="preserve">t.ex. </w:t>
      </w:r>
      <w:r w:rsidRPr="003A5B4A">
        <w:t>textinnehåll, filer, bilder, blanketter och annat reproducerbart innehåll, och som är til</w:t>
      </w:r>
      <w:r w:rsidRPr="003A5B4A">
        <w:t>l</w:t>
      </w:r>
      <w:r w:rsidRPr="003A5B4A">
        <w:t>gängligt i ett datanät genom olika terminalutrustningar och deras progra</w:t>
      </w:r>
      <w:r w:rsidRPr="003A5B4A">
        <w:t>m</w:t>
      </w:r>
      <w:r w:rsidRPr="003A5B4A">
        <w:t xml:space="preserve">utbud. Enligt definitionen gäller begreppet webbplats innehållet på en webbplats. En enskild webbplats anges med hjälp av ett domännamn. </w:t>
      </w:r>
      <w:r w:rsidR="001E0C87">
        <w:t xml:space="preserve">Landskapsregeringen </w:t>
      </w:r>
      <w:r w:rsidRPr="003A5B4A">
        <w:t>föreslå</w:t>
      </w:r>
      <w:r w:rsidR="001E0C87">
        <w:t>r</w:t>
      </w:r>
      <w:r w:rsidRPr="003A5B4A">
        <w:t xml:space="preserve"> att begreppet webbplats definieras på ett li</w:t>
      </w:r>
      <w:r w:rsidRPr="003A5B4A">
        <w:t>k</w:t>
      </w:r>
      <w:r w:rsidRPr="003A5B4A">
        <w:t>nande sätt i landskapslagstiftningen.</w:t>
      </w:r>
    </w:p>
    <w:p w14:paraId="2F24FF40" w14:textId="45D95D47" w:rsidR="003A5B4A" w:rsidRDefault="003A5B4A" w:rsidP="003A5B4A">
      <w:pPr>
        <w:pStyle w:val="ANormal"/>
      </w:pPr>
      <w:r w:rsidRPr="003A5B4A">
        <w:tab/>
        <w:t>Mobil applikation definieras i artikel 3.2 i tillgänglighetsdirektivet som en programvara som utformas och utvecklas av eller på uppdrag av offen</w:t>
      </w:r>
      <w:r w:rsidRPr="003A5B4A">
        <w:t>t</w:t>
      </w:r>
      <w:r w:rsidRPr="003A5B4A">
        <w:t>liga myndigheter för användning av allmänheten i mobila enheter som smarttelefoner och pekplattor. I detta ingår inte den programvara som styr dessa enheter (mobila operativsystem) eller datorutrustningen. Det föreslås att begreppet mobil applikation ska definieras som en programvara som har planerats och utvecklats för användning av allmänheten i mobila enheter som smarttelefoner och pekplattor. Den föreslagna landskapslagen ska ti</w:t>
      </w:r>
      <w:r w:rsidRPr="003A5B4A">
        <w:t>l</w:t>
      </w:r>
      <w:r w:rsidRPr="003A5B4A">
        <w:t xml:space="preserve">lämpas </w:t>
      </w:r>
      <w:r w:rsidR="009E6C1B">
        <w:t xml:space="preserve">endast </w:t>
      </w:r>
      <w:r w:rsidRPr="003A5B4A">
        <w:t xml:space="preserve">i förhållande till sådana </w:t>
      </w:r>
      <w:r w:rsidR="00523310">
        <w:t xml:space="preserve">i tillgänglighetsdirektivet avsedda </w:t>
      </w:r>
      <w:r w:rsidRPr="003A5B4A">
        <w:t>webbplatser och mobila applikationer</w:t>
      </w:r>
      <w:r w:rsidR="00523310">
        <w:t xml:space="preserve">. Således föreslår landskapsregeringen </w:t>
      </w:r>
      <w:r w:rsidRPr="003A5B4A">
        <w:t>inte att landskapslagens tillämpning utvidgas genom teknikneutrala b</w:t>
      </w:r>
      <w:r w:rsidRPr="003A5B4A">
        <w:t>e</w:t>
      </w:r>
      <w:r w:rsidRPr="003A5B4A">
        <w:t>grepp till alla former av informations- och tjänstebärare, oberoende av te</w:t>
      </w:r>
      <w:r w:rsidRPr="003A5B4A">
        <w:t>k</w:t>
      </w:r>
      <w:r w:rsidRPr="003A5B4A">
        <w:t>nisk lösning.</w:t>
      </w:r>
    </w:p>
    <w:p w14:paraId="23452BDF" w14:textId="77777777" w:rsidR="003A5B4A" w:rsidRDefault="003A5B4A" w:rsidP="00D56243">
      <w:pPr>
        <w:pStyle w:val="ANormal"/>
      </w:pPr>
    </w:p>
    <w:p w14:paraId="61E5350D" w14:textId="2ACE9CD8" w:rsidR="001A3D02" w:rsidRDefault="00AB7D96" w:rsidP="00771C32">
      <w:pPr>
        <w:pStyle w:val="RubrikD"/>
      </w:pPr>
      <w:r>
        <w:t>2.3.</w:t>
      </w:r>
      <w:r w:rsidR="003A5B4A">
        <w:t>3</w:t>
      </w:r>
      <w:r>
        <w:t xml:space="preserve"> </w:t>
      </w:r>
      <w:r w:rsidR="00C523EF">
        <w:t>Myndigheter och o</w:t>
      </w:r>
      <w:r w:rsidR="00164D76">
        <w:t>rgan</w:t>
      </w:r>
      <w:r w:rsidR="00C523EF">
        <w:t xml:space="preserve"> som är</w:t>
      </w:r>
      <w:r w:rsidR="00164D76">
        <w:t xml:space="preserve"> föremål för tillgänglighetskraven</w:t>
      </w:r>
    </w:p>
    <w:p w14:paraId="55BA184C" w14:textId="5FA2FA0B" w:rsidR="00336801" w:rsidRDefault="00336801" w:rsidP="00336801">
      <w:pPr>
        <w:pStyle w:val="Rubrikmellanrum"/>
      </w:pPr>
    </w:p>
    <w:p w14:paraId="0CA7044F" w14:textId="0F55CB3B" w:rsidR="005632B0" w:rsidRDefault="00852104" w:rsidP="002102DD">
      <w:pPr>
        <w:pStyle w:val="ANormal"/>
      </w:pPr>
      <w:r>
        <w:t xml:space="preserve">Tillgänglighetsdirektivet riktar sig till offentliga myndigheter. </w:t>
      </w:r>
      <w:r w:rsidR="00582D62">
        <w:t>De defini</w:t>
      </w:r>
      <w:r w:rsidR="00582D62">
        <w:t>t</w:t>
      </w:r>
      <w:r w:rsidR="00582D62">
        <w:t xml:space="preserve">ioner </w:t>
      </w:r>
      <w:r w:rsidR="00FD0B00">
        <w:t>på</w:t>
      </w:r>
      <w:r w:rsidR="00582D62">
        <w:t xml:space="preserve"> myndigheter som </w:t>
      </w:r>
      <w:r w:rsidR="005D4449">
        <w:t xml:space="preserve">i dagsläget </w:t>
      </w:r>
      <w:r w:rsidR="00582D62">
        <w:t>finns i</w:t>
      </w:r>
      <w:r>
        <w:t xml:space="preserve"> landskapslagstiftningen </w:t>
      </w:r>
      <w:r w:rsidR="00582D62">
        <w:t xml:space="preserve">är vanligtvis snävare än tillgänglighetsdirektivets definition. </w:t>
      </w:r>
      <w:r w:rsidR="00FD0B00">
        <w:t>F</w:t>
      </w:r>
      <w:r w:rsidR="00582D62">
        <w:t>örvaltningsl</w:t>
      </w:r>
      <w:r w:rsidR="00582D62">
        <w:t>a</w:t>
      </w:r>
      <w:r w:rsidR="00582D62">
        <w:t>gen för landskapet Åland tillämpas på landskapets myndigheter, komm</w:t>
      </w:r>
      <w:r w:rsidR="00582D62">
        <w:t>u</w:t>
      </w:r>
      <w:r w:rsidR="00582D62">
        <w:t>nala myndigheter och till Ålands lagting ansluten förvaltning. Därtill ti</w:t>
      </w:r>
      <w:r w:rsidR="00582D62">
        <w:t>l</w:t>
      </w:r>
      <w:r w:rsidR="00582D62">
        <w:t>lämpas förvaltningslagen också vid landskapets affärsverk då de sköter o</w:t>
      </w:r>
      <w:r w:rsidR="00582D62">
        <w:t>f</w:t>
      </w:r>
      <w:r w:rsidR="00582D62">
        <w:t>fentliga förvaltningsuppgifter samt på andra juridiska och fysiska personer då de genom landskapslag eller med stöd av landskapslag sköter offentliga förvaltningsuppgifter. Tillämpningsområdet för landskapslagarna om al</w:t>
      </w:r>
      <w:r w:rsidR="00582D62">
        <w:t>l</w:t>
      </w:r>
      <w:r w:rsidR="00582D62">
        <w:t>männa handlingars offentlighet och skyddet av personuppgifter liknar fö</w:t>
      </w:r>
      <w:r w:rsidR="00582D62">
        <w:t>r</w:t>
      </w:r>
      <w:r w:rsidR="00582D62">
        <w:t>valtningslagens.</w:t>
      </w:r>
    </w:p>
    <w:p w14:paraId="4FCD56FE" w14:textId="5EBA228D" w:rsidR="000F31D4" w:rsidRDefault="005632B0" w:rsidP="002102DD">
      <w:pPr>
        <w:pStyle w:val="ANormal"/>
      </w:pPr>
      <w:r>
        <w:tab/>
      </w:r>
      <w:r w:rsidR="00582D62">
        <w:t xml:space="preserve">Tillgänglighetsdirektivets tillämpningsområde är </w:t>
      </w:r>
      <w:r w:rsidR="00333FC9">
        <w:t xml:space="preserve">emellertid </w:t>
      </w:r>
      <w:r w:rsidR="00582D62">
        <w:t>vidare och är bundet vid tillämpningsområdet för EU:s upphandlingsdirektiv. Til</w:t>
      </w:r>
      <w:r w:rsidR="00582D62">
        <w:t>l</w:t>
      </w:r>
      <w:r w:rsidR="00582D62">
        <w:t xml:space="preserve">gänglighetsdirektivet ska även tillämpas på </w:t>
      </w:r>
      <w:r w:rsidR="006D3E0B">
        <w:t xml:space="preserve">sådana </w:t>
      </w:r>
      <w:r w:rsidR="00582D62">
        <w:t xml:space="preserve">offentligrättsliga organ </w:t>
      </w:r>
      <w:r w:rsidR="006D3E0B">
        <w:t xml:space="preserve">som avses i </w:t>
      </w:r>
      <w:r w:rsidR="006D3E0B" w:rsidRPr="006D3E0B">
        <w:t>artikel 2.1 i direktiv 2014/24/EU</w:t>
      </w:r>
      <w:r w:rsidR="006D3E0B">
        <w:t>. Det</w:t>
      </w:r>
      <w:r w:rsidR="00390776">
        <w:t>ta s.k.</w:t>
      </w:r>
      <w:r w:rsidR="006D3E0B">
        <w:t xml:space="preserve"> upphandlingsdire</w:t>
      </w:r>
      <w:r w:rsidR="006D3E0B">
        <w:t>k</w:t>
      </w:r>
      <w:r w:rsidR="006D3E0B">
        <w:t xml:space="preserve">tiv har i sin tur genomförts i landskapslagstiftningen genom antagandet av en blankettlag som gör </w:t>
      </w:r>
      <w:r w:rsidR="00FD0B00">
        <w:t xml:space="preserve">rikets upphandlingslagar </w:t>
      </w:r>
      <w:r w:rsidR="006D3E0B">
        <w:t>gällande på Åland.</w:t>
      </w:r>
      <w:r w:rsidR="0018536F">
        <w:rPr>
          <w:rStyle w:val="Fotnotsreferens"/>
        </w:rPr>
        <w:footnoteReference w:id="10"/>
      </w:r>
      <w:r w:rsidR="006D3E0B">
        <w:t xml:space="preserve"> </w:t>
      </w:r>
      <w:r w:rsidR="00A43ED8">
        <w:t xml:space="preserve">Den föreslagna landskapslagen ska tillämpas på landskapets myndigheter, </w:t>
      </w:r>
      <w:r w:rsidR="00A43ED8" w:rsidRPr="00A43ED8">
        <w:t>kommunala myndigheter och till Ålands lagting ansluten förvaltning</w:t>
      </w:r>
      <w:r w:rsidR="00A43ED8">
        <w:t>. E</w:t>
      </w:r>
      <w:r w:rsidR="00A43ED8">
        <w:t>f</w:t>
      </w:r>
      <w:r w:rsidR="00A43ED8">
        <w:t xml:space="preserve">tersom tillgänglighetsdirektivet även utsträcks till </w:t>
      </w:r>
      <w:r w:rsidR="0016728A">
        <w:t>s.k.</w:t>
      </w:r>
      <w:r w:rsidR="00A43ED8">
        <w:t xml:space="preserve"> offentligrättsliga o</w:t>
      </w:r>
      <w:r w:rsidR="00A43ED8">
        <w:t>r</w:t>
      </w:r>
      <w:r w:rsidR="00A43ED8">
        <w:t xml:space="preserve">gan ska </w:t>
      </w:r>
      <w:r w:rsidR="00456DB7">
        <w:t xml:space="preserve">landskapslagen </w:t>
      </w:r>
      <w:r w:rsidR="00A43ED8">
        <w:t xml:space="preserve">också </w:t>
      </w:r>
      <w:r w:rsidR="00456DB7">
        <w:t xml:space="preserve">tillämpas i förhållande till </w:t>
      </w:r>
      <w:r w:rsidR="0016728A">
        <w:t>denna typ av jur</w:t>
      </w:r>
      <w:r w:rsidR="0016728A">
        <w:t>i</w:t>
      </w:r>
      <w:r w:rsidR="0016728A">
        <w:t xml:space="preserve">diska personer som kontrolleras eller styrs av en myndighet. </w:t>
      </w:r>
      <w:r w:rsidR="005019C6">
        <w:t>Ställningen som offentligrättsligt organ avgörs från fall till fall, med stöd av de särdrag som är relevanta i det aktuella fallet.</w:t>
      </w:r>
      <w:r w:rsidR="005019C6">
        <w:rPr>
          <w:rStyle w:val="Fotnotsreferens"/>
        </w:rPr>
        <w:footnoteReference w:id="11"/>
      </w:r>
    </w:p>
    <w:p w14:paraId="58EEFA92" w14:textId="610D4038" w:rsidR="00234E93" w:rsidRDefault="00DB5270" w:rsidP="00AC1DF9">
      <w:pPr>
        <w:pStyle w:val="ANormal"/>
      </w:pPr>
      <w:r>
        <w:t xml:space="preserve"> </w:t>
      </w:r>
    </w:p>
    <w:p w14:paraId="6AA456FB" w14:textId="5363DC84" w:rsidR="00234E93" w:rsidRDefault="00AB7D96" w:rsidP="00771C32">
      <w:pPr>
        <w:pStyle w:val="RubrikD"/>
      </w:pPr>
      <w:bookmarkStart w:id="17" w:name="_Hlk512582570"/>
      <w:r>
        <w:lastRenderedPageBreak/>
        <w:t>2.3.</w:t>
      </w:r>
      <w:r w:rsidR="0007028F">
        <w:t>4</w:t>
      </w:r>
      <w:bookmarkEnd w:id="17"/>
      <w:r>
        <w:t xml:space="preserve"> </w:t>
      </w:r>
      <w:r w:rsidR="000D7263">
        <w:t xml:space="preserve">Juridiska personer </w:t>
      </w:r>
      <w:r w:rsidR="00234E93">
        <w:t xml:space="preserve">som undantas </w:t>
      </w:r>
      <w:r w:rsidR="000D7263">
        <w:t>från tillgänglighetskraven</w:t>
      </w:r>
    </w:p>
    <w:p w14:paraId="67F881B7" w14:textId="43954723" w:rsidR="00234E93" w:rsidRDefault="00234E93" w:rsidP="00234E93">
      <w:pPr>
        <w:pStyle w:val="Rubrikmellanrum"/>
      </w:pPr>
    </w:p>
    <w:p w14:paraId="28CC6CF8" w14:textId="7BD80EF1" w:rsidR="006D1FFE" w:rsidRDefault="000D7263" w:rsidP="00D943CD">
      <w:pPr>
        <w:pStyle w:val="ANormal"/>
      </w:pPr>
      <w:r w:rsidRPr="000D7263">
        <w:t>I tillgänglighetsdirektivet föreskrivs om juridiska personer som är helt u</w:t>
      </w:r>
      <w:r w:rsidRPr="000D7263">
        <w:t>n</w:t>
      </w:r>
      <w:r w:rsidRPr="000D7263">
        <w:t>dantagna från kraven i direktivet.</w:t>
      </w:r>
      <w:r w:rsidRPr="0016728A">
        <w:t xml:space="preserve"> </w:t>
      </w:r>
      <w:r w:rsidR="00707DBF" w:rsidRPr="0016728A">
        <w:rPr>
          <w:i/>
        </w:rPr>
        <w:t>För det första</w:t>
      </w:r>
      <w:r w:rsidR="00707DBF" w:rsidRPr="0016728A">
        <w:t xml:space="preserve">, </w:t>
      </w:r>
      <w:r w:rsidR="003E05FE" w:rsidRPr="003E05FE">
        <w:t>artikel 1.3</w:t>
      </w:r>
      <w:r w:rsidR="00C9052C">
        <w:t> </w:t>
      </w:r>
      <w:r w:rsidR="003E05FE" w:rsidRPr="003E05FE">
        <w:t>a i tillgängli</w:t>
      </w:r>
      <w:r w:rsidR="003E05FE" w:rsidRPr="003E05FE">
        <w:t>g</w:t>
      </w:r>
      <w:r w:rsidR="003E05FE" w:rsidRPr="003E05FE">
        <w:t xml:space="preserve">hetsdirektivet </w:t>
      </w:r>
      <w:r w:rsidR="0016728A">
        <w:t xml:space="preserve">anger </w:t>
      </w:r>
      <w:r w:rsidR="00707DBF">
        <w:t xml:space="preserve">att direktivet inte </w:t>
      </w:r>
      <w:r w:rsidR="003E05FE" w:rsidRPr="003E05FE">
        <w:t>omfattar webbplatser och mobila a</w:t>
      </w:r>
      <w:r w:rsidR="003E05FE" w:rsidRPr="003E05FE">
        <w:t>p</w:t>
      </w:r>
      <w:r w:rsidR="003E05FE" w:rsidRPr="003E05FE">
        <w:t>plikationer tillhörande radio-</w:t>
      </w:r>
      <w:r w:rsidR="003E05FE">
        <w:t xml:space="preserve"> </w:t>
      </w:r>
      <w:r w:rsidR="003E05FE" w:rsidRPr="003E05FE">
        <w:t>och televisionsföretag med uppdrag i allmä</w:t>
      </w:r>
      <w:r w:rsidR="003E05FE" w:rsidRPr="003E05FE">
        <w:t>n</w:t>
      </w:r>
      <w:r w:rsidR="003E05FE" w:rsidRPr="003E05FE">
        <w:t>hetens tjänst samt deras dotterbolag. Detta gäller även för andra organ eller deras dotterbolag som fullgör ett uppdrag att verka i allmänhetens tjänst på radio-</w:t>
      </w:r>
      <w:r w:rsidR="003E05FE">
        <w:t xml:space="preserve"> </w:t>
      </w:r>
      <w:r w:rsidR="003E05FE" w:rsidRPr="003E05FE">
        <w:t>eller tv-området.</w:t>
      </w:r>
      <w:r w:rsidR="00BE64F6">
        <w:t xml:space="preserve"> I samband med antagandet av gällande självstyre</w:t>
      </w:r>
      <w:r w:rsidR="00BE64F6">
        <w:t>l</w:t>
      </w:r>
      <w:r w:rsidR="00BE64F6">
        <w:t>selag övergick behörigheten i fråga om rundradio- och televisionsutsän</w:t>
      </w:r>
      <w:r w:rsidR="00BE64F6">
        <w:t>d</w:t>
      </w:r>
      <w:r w:rsidR="00BE64F6">
        <w:t xml:space="preserve">ningar till landskapet. Public service </w:t>
      </w:r>
      <w:r w:rsidR="002812C4">
        <w:t xml:space="preserve">på Åland </w:t>
      </w:r>
      <w:r w:rsidR="00BE64F6">
        <w:t xml:space="preserve">finansieras idag genom en </w:t>
      </w:r>
      <w:proofErr w:type="spellStart"/>
      <w:r w:rsidR="002812C4">
        <w:t>tv</w:t>
      </w:r>
      <w:r w:rsidR="00BE64F6">
        <w:t>-avgift</w:t>
      </w:r>
      <w:proofErr w:type="spellEnd"/>
      <w:r w:rsidR="00BE64F6">
        <w:t xml:space="preserve"> vilken regleras </w:t>
      </w:r>
      <w:bookmarkStart w:id="18" w:name="_Hlk512502889"/>
      <w:r w:rsidR="00BE64F6">
        <w:t>i</w:t>
      </w:r>
      <w:r w:rsidR="002812C4">
        <w:t xml:space="preserve"> </w:t>
      </w:r>
      <w:r w:rsidR="00BE64F6">
        <w:t xml:space="preserve">landskapslagen </w:t>
      </w:r>
      <w:r w:rsidR="002E1D5E">
        <w:t>(</w:t>
      </w:r>
      <w:r w:rsidR="00BE64F6">
        <w:t>2011:95) om radio- och televi</w:t>
      </w:r>
      <w:r w:rsidR="00BE64F6">
        <w:t>s</w:t>
      </w:r>
      <w:r w:rsidR="00BE64F6">
        <w:t>ionsverksamhet</w:t>
      </w:r>
      <w:bookmarkEnd w:id="18"/>
      <w:r w:rsidR="00BE64F6">
        <w:t>. Public service</w:t>
      </w:r>
      <w:r w:rsidR="002E1D5E">
        <w:t>-</w:t>
      </w:r>
      <w:r w:rsidR="00BE64F6">
        <w:t>verksamheten</w:t>
      </w:r>
      <w:r w:rsidR="002812C4">
        <w:t xml:space="preserve"> </w:t>
      </w:r>
      <w:r w:rsidR="00BE64F6">
        <w:t>är på Åland koncentrerad till</w:t>
      </w:r>
      <w:r w:rsidR="004662FA">
        <w:t xml:space="preserve"> </w:t>
      </w:r>
      <w:r w:rsidR="00BE64F6">
        <w:t xml:space="preserve">Ålands Radio och TV </w:t>
      </w:r>
      <w:r w:rsidR="004662FA">
        <w:t xml:space="preserve">Ab. </w:t>
      </w:r>
      <w:r w:rsidR="0016728A">
        <w:t>Enligt lagförslaget ska d</w:t>
      </w:r>
      <w:r w:rsidR="004662FA">
        <w:t xml:space="preserve">en föreslagna lagen inte tillämpas </w:t>
      </w:r>
      <w:r w:rsidR="006D1FFE">
        <w:t xml:space="preserve">i förhållande till </w:t>
      </w:r>
      <w:r w:rsidR="00704199">
        <w:t xml:space="preserve">företag som bedriver radio- och </w:t>
      </w:r>
      <w:proofErr w:type="spellStart"/>
      <w:r w:rsidR="00704199">
        <w:t>tv-verksamhet</w:t>
      </w:r>
      <w:proofErr w:type="spellEnd"/>
      <w:r w:rsidR="00704199">
        <w:t xml:space="preserve"> i allmänhetens tjänst på Åland</w:t>
      </w:r>
      <w:r w:rsidR="00D943CD">
        <w:t xml:space="preserve">. </w:t>
      </w:r>
      <w:r w:rsidR="002E1D5E">
        <w:t xml:space="preserve">I praktiken avser detta </w:t>
      </w:r>
      <w:r w:rsidR="006D1FFE" w:rsidRPr="006D1FFE">
        <w:t>Ålands Radio och TV Ab.</w:t>
      </w:r>
    </w:p>
    <w:p w14:paraId="2F5F2670" w14:textId="748DC435" w:rsidR="007255B8" w:rsidRDefault="00707DBF" w:rsidP="009658CA">
      <w:pPr>
        <w:pStyle w:val="ANormal"/>
      </w:pPr>
      <w:r>
        <w:tab/>
      </w:r>
      <w:r w:rsidRPr="000F31D4">
        <w:rPr>
          <w:i/>
        </w:rPr>
        <w:t>För det andra</w:t>
      </w:r>
      <w:r>
        <w:t xml:space="preserve">, </w:t>
      </w:r>
      <w:r w:rsidR="000F31D4">
        <w:t>a</w:t>
      </w:r>
      <w:r w:rsidR="000F31D4" w:rsidRPr="000F31D4">
        <w:t xml:space="preserve">v </w:t>
      </w:r>
      <w:bookmarkStart w:id="19" w:name="_Hlk512506325"/>
      <w:r w:rsidR="000F31D4" w:rsidRPr="000F31D4">
        <w:t>artikel 1.3</w:t>
      </w:r>
      <w:r w:rsidR="00C9052C">
        <w:t> </w:t>
      </w:r>
      <w:r w:rsidR="000F31D4" w:rsidRPr="000F31D4">
        <w:t xml:space="preserve">b </w:t>
      </w:r>
      <w:bookmarkEnd w:id="19"/>
      <w:r w:rsidR="000F31D4" w:rsidRPr="000F31D4">
        <w:t xml:space="preserve">framgår att </w:t>
      </w:r>
      <w:r w:rsidR="000F31D4">
        <w:t>t</w:t>
      </w:r>
      <w:r w:rsidR="000F31D4" w:rsidRPr="000F31D4">
        <w:t>illgänglighetsdirektivet inte är tillämpligt på webbplatser och mobila applikationer tillhörande icke-statliga organisationer som inte tillhandahåller tjänster som är väsentliga för allmänheten eller tjänster som specifikt tillgodoser behoven för eller är a</w:t>
      </w:r>
      <w:r w:rsidR="000F31D4" w:rsidRPr="000F31D4">
        <w:t>v</w:t>
      </w:r>
      <w:r w:rsidR="000F31D4" w:rsidRPr="000F31D4">
        <w:t>sedda för personer med funktionsnedsättning.</w:t>
      </w:r>
      <w:r w:rsidR="00AE48BC">
        <w:t xml:space="preserve"> </w:t>
      </w:r>
      <w:r w:rsidR="00AE48BC" w:rsidRPr="00AE48BC">
        <w:t>Detta undantag är mera tol</w:t>
      </w:r>
      <w:r w:rsidR="00AE48BC" w:rsidRPr="00AE48BC">
        <w:t>k</w:t>
      </w:r>
      <w:r w:rsidR="00AE48BC" w:rsidRPr="00AE48BC">
        <w:t xml:space="preserve">ningsbart och det finns inte någon definition i tillgänglighetsdirektivet av vad som utgör en icke-statlig organisation. </w:t>
      </w:r>
      <w:r w:rsidR="00AE48BC">
        <w:t xml:space="preserve">Däremot framgår av </w:t>
      </w:r>
      <w:r w:rsidR="00AE48BC" w:rsidRPr="00AE48BC">
        <w:t>skäl 25 i d</w:t>
      </w:r>
      <w:r w:rsidR="00AE48BC" w:rsidRPr="00AE48BC">
        <w:t>i</w:t>
      </w:r>
      <w:r w:rsidR="00AE48BC" w:rsidRPr="00AE48BC">
        <w:t>rektivets ingress att vissa icke-statliga organisationer, som är frivilliga självstyrande organ som inrättats huvudsakligen utan vinstsyfte, tillhand</w:t>
      </w:r>
      <w:r w:rsidR="00AE48BC" w:rsidRPr="00AE48BC">
        <w:t>a</w:t>
      </w:r>
      <w:r w:rsidR="00AE48BC" w:rsidRPr="00AE48BC">
        <w:t>håller tjänster som inte är väsentliga för allmänheten, t.ex. tjänster som inte utförs direkt på statliga, regionala eller lokala myndigheters uppdrag eller tjänster som inte specifikt tillgodoser behoven för i synnerhet personer med funktionsnedsättning, och skulle kunna omfattas av direktiv</w:t>
      </w:r>
      <w:r w:rsidR="007255B8">
        <w:t>ets</w:t>
      </w:r>
      <w:r w:rsidR="00AE48BC" w:rsidRPr="00AE48BC">
        <w:t xml:space="preserve"> tilläm</w:t>
      </w:r>
      <w:r w:rsidR="00AE48BC" w:rsidRPr="00AE48BC">
        <w:t>p</w:t>
      </w:r>
      <w:r w:rsidR="00AE48BC" w:rsidRPr="00AE48BC">
        <w:t xml:space="preserve">ningsområde. </w:t>
      </w:r>
      <w:r w:rsidR="007255B8">
        <w:t xml:space="preserve">Enligt skäl 25 </w:t>
      </w:r>
      <w:r w:rsidR="007255B8" w:rsidRPr="007255B8">
        <w:t xml:space="preserve">bör direktivet inte vara tillämpligt </w:t>
      </w:r>
      <w:r w:rsidR="007255B8">
        <w:t>f</w:t>
      </w:r>
      <w:r w:rsidR="00AE48BC" w:rsidRPr="00AE48BC">
        <w:t>ör att un</w:t>
      </w:r>
      <w:r w:rsidR="00AE48BC" w:rsidRPr="00AE48BC">
        <w:t>d</w:t>
      </w:r>
      <w:r w:rsidR="00AE48BC" w:rsidRPr="00AE48BC">
        <w:t>vika att lägga en oproportionell börda på sådana icke-statliga organisatio</w:t>
      </w:r>
      <w:r w:rsidR="00AE48BC" w:rsidRPr="00AE48BC">
        <w:t>n</w:t>
      </w:r>
      <w:r w:rsidR="00AE48BC" w:rsidRPr="00AE48BC">
        <w:t>er</w:t>
      </w:r>
      <w:r w:rsidR="007255B8">
        <w:t>.</w:t>
      </w:r>
    </w:p>
    <w:p w14:paraId="474732A6" w14:textId="05BFFBD9" w:rsidR="00704199" w:rsidRDefault="007255B8" w:rsidP="009658CA">
      <w:pPr>
        <w:pStyle w:val="ANormal"/>
      </w:pPr>
      <w:r>
        <w:tab/>
      </w:r>
      <w:r w:rsidR="009658CA">
        <w:t xml:space="preserve">Landskapsregeringen bedömer att </w:t>
      </w:r>
      <w:r w:rsidR="00AE48BC">
        <w:t xml:space="preserve">undantaget </w:t>
      </w:r>
      <w:r w:rsidR="009658CA">
        <w:t>behöver beaktas i den f</w:t>
      </w:r>
      <w:r w:rsidR="009658CA">
        <w:t>ö</w:t>
      </w:r>
      <w:r w:rsidR="009658CA">
        <w:t xml:space="preserve">reslagna lagen, så att </w:t>
      </w:r>
      <w:r w:rsidR="00D943CD">
        <w:t>juridiska personer som annars skulle vara föremål för tillgängslighetsdirektiv</w:t>
      </w:r>
      <w:r w:rsidR="0071312E">
        <w:t>ets krav</w:t>
      </w:r>
      <w:r w:rsidR="00D943CD">
        <w:t xml:space="preserve"> </w:t>
      </w:r>
      <w:r w:rsidR="009658CA">
        <w:t xml:space="preserve">inte ska </w:t>
      </w:r>
      <w:r>
        <w:t xml:space="preserve">påverkas oskäligt. </w:t>
      </w:r>
      <w:r w:rsidR="00BE7678">
        <w:t>Till exempel kan det handla om en förening som t</w:t>
      </w:r>
      <w:r w:rsidR="00AE48BC" w:rsidRPr="00AE48BC">
        <w:t>ill</w:t>
      </w:r>
      <w:r w:rsidR="00BE7678">
        <w:t xml:space="preserve"> </w:t>
      </w:r>
      <w:r w:rsidR="00AE48BC" w:rsidRPr="00AE48BC">
        <w:t xml:space="preserve">största delen finansieras av </w:t>
      </w:r>
      <w:r w:rsidR="00BE7678">
        <w:t>landskapet eller en kommun</w:t>
      </w:r>
      <w:r w:rsidR="009658CA">
        <w:t xml:space="preserve">, dvs. juridiska personer som </w:t>
      </w:r>
      <w:r>
        <w:t xml:space="preserve">annars skulle </w:t>
      </w:r>
      <w:r w:rsidR="009658CA">
        <w:t>fall</w:t>
      </w:r>
      <w:r>
        <w:t>a</w:t>
      </w:r>
      <w:r w:rsidR="009658CA">
        <w:t xml:space="preserve"> inom r</w:t>
      </w:r>
      <w:r w:rsidR="009658CA">
        <w:t>a</w:t>
      </w:r>
      <w:r w:rsidR="009658CA">
        <w:t>men för definitionen av offentligrättslig</w:t>
      </w:r>
      <w:r w:rsidR="001F4336">
        <w:t>t</w:t>
      </w:r>
      <w:r w:rsidR="009658CA">
        <w:t xml:space="preserve"> organ. </w:t>
      </w:r>
      <w:r w:rsidR="00BE7678" w:rsidRPr="00BE7678">
        <w:t xml:space="preserve">Landskapsregeringen anser att </w:t>
      </w:r>
      <w:r w:rsidR="00D943CD">
        <w:t xml:space="preserve">direktivets </w:t>
      </w:r>
      <w:r w:rsidR="00BE7678" w:rsidRPr="00BE7678">
        <w:t>undantag bör utnyttjas så att d</w:t>
      </w:r>
      <w:r w:rsidR="00BE7678">
        <w:t xml:space="preserve">ylik </w:t>
      </w:r>
      <w:r>
        <w:t>verksamhet</w:t>
      </w:r>
      <w:r w:rsidR="009658CA">
        <w:t xml:space="preserve"> </w:t>
      </w:r>
      <w:r w:rsidR="00BE7678" w:rsidRPr="00BE7678">
        <w:t>inte ska dra</w:t>
      </w:r>
      <w:r w:rsidR="00BE7678" w:rsidRPr="00BE7678">
        <w:t>b</w:t>
      </w:r>
      <w:r w:rsidR="00BE7678" w:rsidRPr="00BE7678">
        <w:t>bas av krav som inte står i proportion till förmåga</w:t>
      </w:r>
      <w:r w:rsidR="001F4336">
        <w:t>n</w:t>
      </w:r>
      <w:r w:rsidR="00BE7678" w:rsidRPr="00BE7678">
        <w:t xml:space="preserve"> eller nyttoeffekten av anpassningen. </w:t>
      </w:r>
      <w:r w:rsidR="00D943CD">
        <w:t xml:space="preserve">Det bör emellertid noteras att </w:t>
      </w:r>
      <w:r w:rsidR="0071312E">
        <w:t xml:space="preserve">undantaget enbart gäller </w:t>
      </w:r>
      <w:r w:rsidR="001F4336">
        <w:t>så</w:t>
      </w:r>
      <w:r w:rsidR="001F4336">
        <w:t>d</w:t>
      </w:r>
      <w:r w:rsidR="001F4336">
        <w:t xml:space="preserve">ana </w:t>
      </w:r>
      <w:r w:rsidR="002C53BE">
        <w:t xml:space="preserve">offentligrättsliga organ </w:t>
      </w:r>
      <w:r w:rsidR="0071312E" w:rsidRPr="0071312E">
        <w:t>som inte tillhandahåller tjänster som är väsen</w:t>
      </w:r>
      <w:r w:rsidR="0071312E" w:rsidRPr="0071312E">
        <w:t>t</w:t>
      </w:r>
      <w:r w:rsidR="0071312E" w:rsidRPr="0071312E">
        <w:t>liga för allmänheten eller tjänster som specifikt tillgodoser behoven för e</w:t>
      </w:r>
      <w:r w:rsidR="0071312E" w:rsidRPr="0071312E">
        <w:t>l</w:t>
      </w:r>
      <w:r w:rsidR="0071312E" w:rsidRPr="0071312E">
        <w:t>ler är avsedda för personer med funktionsnedsättning.</w:t>
      </w:r>
    </w:p>
    <w:p w14:paraId="3ADE2FE3" w14:textId="77777777" w:rsidR="0071312E" w:rsidRDefault="0071312E" w:rsidP="00704199">
      <w:pPr>
        <w:pStyle w:val="ANormal"/>
      </w:pPr>
    </w:p>
    <w:p w14:paraId="23A44A17" w14:textId="011085CB" w:rsidR="00AF4196" w:rsidRDefault="00AB7D96" w:rsidP="00771C32">
      <w:pPr>
        <w:pStyle w:val="RubrikD"/>
      </w:pPr>
      <w:r w:rsidRPr="00AB7D96">
        <w:t>2.3.</w:t>
      </w:r>
      <w:r w:rsidR="0007028F">
        <w:t>5</w:t>
      </w:r>
      <w:r>
        <w:t xml:space="preserve"> </w:t>
      </w:r>
      <w:r w:rsidR="00AF4196">
        <w:t xml:space="preserve">Innehåll på webbplatser och mobila applikationer som </w:t>
      </w:r>
      <w:r w:rsidR="00DB5270">
        <w:t xml:space="preserve">ska </w:t>
      </w:r>
      <w:r w:rsidR="00AF4196">
        <w:t>undantas</w:t>
      </w:r>
    </w:p>
    <w:p w14:paraId="607C5272" w14:textId="77777777" w:rsidR="00AF4196" w:rsidRDefault="00AF4196" w:rsidP="00AF4196">
      <w:pPr>
        <w:pStyle w:val="Rubrikmellanrum"/>
      </w:pPr>
    </w:p>
    <w:p w14:paraId="0CEE6131" w14:textId="62D3CC24" w:rsidR="007946F1" w:rsidRDefault="004845D4" w:rsidP="00492E38">
      <w:pPr>
        <w:pStyle w:val="ANormal"/>
      </w:pPr>
      <w:r w:rsidRPr="004845D4">
        <w:t>I direktivet undantas visst innehåll på webbplatser och mobila applikationer från direktivets tillämpningsområde. Lagförslaget utgår från att i direktivet</w:t>
      </w:r>
      <w:r w:rsidR="007946F1">
        <w:t>s artikel 1.4</w:t>
      </w:r>
      <w:r w:rsidR="00C9052C">
        <w:t> </w:t>
      </w:r>
      <w:r w:rsidR="00044FF6">
        <w:t>c, d, e, f och artikel 1.5</w:t>
      </w:r>
      <w:r w:rsidRPr="004845D4">
        <w:t xml:space="preserve"> definierade undantag </w:t>
      </w:r>
      <w:r w:rsidR="007946F1">
        <w:t>beaktas på ett mo</w:t>
      </w:r>
      <w:r w:rsidR="007946F1">
        <w:t>t</w:t>
      </w:r>
      <w:r w:rsidR="007946F1">
        <w:t xml:space="preserve">svarande sätt som </w:t>
      </w:r>
      <w:r w:rsidRPr="004845D4">
        <w:t>undanta</w:t>
      </w:r>
      <w:r w:rsidR="007946F1">
        <w:t>g</w:t>
      </w:r>
      <w:r w:rsidRPr="004845D4">
        <w:t xml:space="preserve"> </w:t>
      </w:r>
      <w:r w:rsidR="007946F1">
        <w:t>från</w:t>
      </w:r>
      <w:r w:rsidRPr="004845D4">
        <w:t xml:space="preserve"> den föreslagna lagens tillämpningsområde.</w:t>
      </w:r>
      <w:r w:rsidR="007946F1">
        <w:t xml:space="preserve"> </w:t>
      </w:r>
      <w:r w:rsidR="00044FF6">
        <w:t xml:space="preserve">De </w:t>
      </w:r>
      <w:r w:rsidR="00044FF6" w:rsidRPr="00044FF6">
        <w:t>undantag som ingår i artikel 1.4</w:t>
      </w:r>
      <w:r w:rsidR="00C9052C">
        <w:t> </w:t>
      </w:r>
      <w:r w:rsidR="00044FF6" w:rsidRPr="00044FF6">
        <w:t xml:space="preserve">a, b, g och h </w:t>
      </w:r>
      <w:r w:rsidR="00044FF6">
        <w:t>samt i artikel 12 är tidsb</w:t>
      </w:r>
      <w:r w:rsidR="00044FF6">
        <w:t>e</w:t>
      </w:r>
      <w:r w:rsidR="00044FF6">
        <w:t>gränsade. Därför placeras dessa undantag i den föreslagna lagens öve</w:t>
      </w:r>
      <w:r w:rsidR="00044FF6">
        <w:t>r</w:t>
      </w:r>
      <w:r w:rsidR="00044FF6">
        <w:t>gångsbestämmelser (se avsnitt 2.3.12).</w:t>
      </w:r>
    </w:p>
    <w:p w14:paraId="76DD69D7" w14:textId="524A3FC1" w:rsidR="009658CA" w:rsidRDefault="00044FF6" w:rsidP="00492E38">
      <w:pPr>
        <w:pStyle w:val="ANormal"/>
      </w:pPr>
      <w:r>
        <w:tab/>
      </w:r>
      <w:r w:rsidR="00EB3878" w:rsidRPr="004A2EAB">
        <w:rPr>
          <w:i/>
        </w:rPr>
        <w:t>För det första</w:t>
      </w:r>
      <w:r w:rsidR="00EB3878">
        <w:t xml:space="preserve">, </w:t>
      </w:r>
      <w:r w:rsidR="00241E29">
        <w:t xml:space="preserve">med stöd av </w:t>
      </w:r>
      <w:r w:rsidR="001D1D3A">
        <w:t>tillgänglighets</w:t>
      </w:r>
      <w:r w:rsidR="00241E29">
        <w:t>direktivets artikel 1.4</w:t>
      </w:r>
      <w:r w:rsidR="00C9052C">
        <w:t> </w:t>
      </w:r>
      <w:r w:rsidR="00241E29">
        <w:t xml:space="preserve">c ska </w:t>
      </w:r>
      <w:r w:rsidR="00EB3878">
        <w:t xml:space="preserve">den föreslagna landskapslagen inte vara tillämplig på direktsändningar av tidsberoende medier. Med tidsberoende medier avses ljud eller video, en </w:t>
      </w:r>
      <w:r w:rsidR="00EB3878">
        <w:lastRenderedPageBreak/>
        <w:t>kombination av ljud och video, eller något av de föregående i kombination med möjligheter till interaktion.</w:t>
      </w:r>
      <w:r w:rsidR="0000447A">
        <w:t xml:space="preserve"> </w:t>
      </w:r>
      <w:r w:rsidR="0000447A" w:rsidRPr="0000447A">
        <w:t>Begreppet tidsberoende media omfattar alla former av media vars innehåll har en tidsmässig varaktighet</w:t>
      </w:r>
      <w:r w:rsidR="006D06FE">
        <w:t xml:space="preserve">, dvs. </w:t>
      </w:r>
      <w:r w:rsidR="0000447A" w:rsidRPr="0000447A">
        <w:t xml:space="preserve">all media som har en spellängd utgör tidsberoende media. </w:t>
      </w:r>
      <w:r w:rsidR="00B30D70" w:rsidRPr="00B30D70">
        <w:t>Enligt skäl 27 i d</w:t>
      </w:r>
      <w:r w:rsidR="00B30D70" w:rsidRPr="00B30D70">
        <w:t>i</w:t>
      </w:r>
      <w:r w:rsidR="00B30D70" w:rsidRPr="00B30D70">
        <w:t xml:space="preserve">rektivets ingress bör direktsändningar av tidsberoende medier som finns kvar på nätet eller som publiceras på nytt efter direktsändningen betraktas som förinspelade tidsberoende medier om den tid som är absolut nödvändig för att göra medier tillgängliga överskrids. </w:t>
      </w:r>
      <w:r w:rsidR="00F91FDD">
        <w:t xml:space="preserve">Landskapsregeringen anser att </w:t>
      </w:r>
      <w:r w:rsidR="00B27974">
        <w:t xml:space="preserve">det inte är skäligt att </w:t>
      </w:r>
      <w:r w:rsidR="00B27974" w:rsidRPr="00B27974">
        <w:t>kräva simultantextning av en direktsändning</w:t>
      </w:r>
      <w:r w:rsidR="00B27974">
        <w:t xml:space="preserve"> och u</w:t>
      </w:r>
      <w:r w:rsidR="00B27974">
        <w:t>n</w:t>
      </w:r>
      <w:r w:rsidR="00B27974">
        <w:t>dantaget för direktsändningar ska utnyttjas. D</w:t>
      </w:r>
      <w:r w:rsidR="00F91FDD" w:rsidRPr="00F91FDD">
        <w:t>irektsänt material som finns tillgängligt längre än 14 dagar, eller som publiceras på nytt efter direk</w:t>
      </w:r>
      <w:r w:rsidR="00F91FDD" w:rsidRPr="00F91FDD">
        <w:t>t</w:t>
      </w:r>
      <w:r w:rsidR="00F91FDD" w:rsidRPr="00F91FDD">
        <w:t xml:space="preserve">sändningen, </w:t>
      </w:r>
      <w:r w:rsidR="00B27974">
        <w:t xml:space="preserve">ska </w:t>
      </w:r>
      <w:r w:rsidR="00F91FDD" w:rsidRPr="00F91FDD">
        <w:t>som huvudregel inte längre omfattas av undantaget.</w:t>
      </w:r>
    </w:p>
    <w:p w14:paraId="78497C28" w14:textId="1C4794D9" w:rsidR="008C2374" w:rsidRDefault="009658CA" w:rsidP="00852104">
      <w:pPr>
        <w:pStyle w:val="ANormal"/>
      </w:pPr>
      <w:r>
        <w:rPr>
          <w:i/>
        </w:rPr>
        <w:tab/>
      </w:r>
      <w:r w:rsidR="00AF4196" w:rsidRPr="004A2EAB">
        <w:rPr>
          <w:i/>
        </w:rPr>
        <w:t>För det andra</w:t>
      </w:r>
      <w:r w:rsidR="00AF4196">
        <w:t xml:space="preserve">, </w:t>
      </w:r>
      <w:r w:rsidR="00241E29" w:rsidRPr="00241E29">
        <w:t>med stöd av direktivets artikel 1.4</w:t>
      </w:r>
      <w:r w:rsidR="00C9052C">
        <w:t> </w:t>
      </w:r>
      <w:r w:rsidR="00CA212A">
        <w:t>d</w:t>
      </w:r>
      <w:r w:rsidR="00241E29" w:rsidRPr="00241E29">
        <w:t xml:space="preserve"> </w:t>
      </w:r>
      <w:r w:rsidR="00241E29">
        <w:t xml:space="preserve">ska </w:t>
      </w:r>
      <w:r w:rsidR="00AF4196">
        <w:t xml:space="preserve">den föreslagna landskapslagen inte tillämpas på </w:t>
      </w:r>
      <w:r w:rsidR="00AF4196" w:rsidRPr="00AF4196">
        <w:t>onlinekartor och onlinekarttjänster, så länge som väsentlig information tillhandahålls på ett tillgängligt digitalt sätt för kartor som är avsedda för navigering.</w:t>
      </w:r>
      <w:r w:rsidR="00AF4196">
        <w:t xml:space="preserve"> </w:t>
      </w:r>
      <w:r w:rsidR="001D1D3A" w:rsidRPr="001D1D3A">
        <w:t xml:space="preserve">Vad som exakt avses med kartor avsedda för navigering klargörs inte </w:t>
      </w:r>
      <w:r w:rsidR="001D1D3A">
        <w:t xml:space="preserve">i direktivet </w:t>
      </w:r>
      <w:r w:rsidR="001D1D3A" w:rsidRPr="001D1D3A">
        <w:t xml:space="preserve">och de flesta kartor kan i någon utsträckning användas för att navigera. </w:t>
      </w:r>
      <w:r w:rsidR="00492E38">
        <w:t>Utgångspunkten bör vara att</w:t>
      </w:r>
      <w:r w:rsidR="00492E38" w:rsidRPr="00492E38">
        <w:t xml:space="preserve"> väsentlig information tillhandahålls på ett tillgängligt digitalt sätt</w:t>
      </w:r>
      <w:r w:rsidR="00492E38">
        <w:t xml:space="preserve"> om ka</w:t>
      </w:r>
      <w:r w:rsidR="00492E38">
        <w:t>r</w:t>
      </w:r>
      <w:r w:rsidR="00492E38">
        <w:t xml:space="preserve">tans huvudsakliga syfte är att den används för navigering. Det avgörande är inte vad </w:t>
      </w:r>
      <w:r w:rsidR="001D1D3A" w:rsidRPr="001D1D3A">
        <w:t>kartan rent objektivt kan användas till.</w:t>
      </w:r>
    </w:p>
    <w:p w14:paraId="1B22A7F7" w14:textId="2A332A07" w:rsidR="008C2374" w:rsidRDefault="008C2374" w:rsidP="00852104">
      <w:pPr>
        <w:pStyle w:val="ANormal"/>
      </w:pPr>
      <w:r>
        <w:tab/>
      </w:r>
      <w:r w:rsidR="001D1D3A" w:rsidRPr="001D1D3A">
        <w:t xml:space="preserve"> </w:t>
      </w:r>
      <w:r w:rsidR="004A2EAB" w:rsidRPr="004A2EAB">
        <w:rPr>
          <w:i/>
        </w:rPr>
        <w:t>För det tredje</w:t>
      </w:r>
      <w:r w:rsidR="004A2EAB">
        <w:t>, med stöd av direktivets artikel 1.4</w:t>
      </w:r>
      <w:r w:rsidR="00C9052C">
        <w:t> </w:t>
      </w:r>
      <w:r w:rsidR="004A2EAB">
        <w:t>e ska den föreslagna landskapslagen inte tillämpas på i</w:t>
      </w:r>
      <w:r w:rsidR="004A2EAB" w:rsidRPr="004A2EAB">
        <w:t>nnehåll från tredje part som varken har f</w:t>
      </w:r>
      <w:r w:rsidR="004A2EAB" w:rsidRPr="004A2EAB">
        <w:t>i</w:t>
      </w:r>
      <w:r w:rsidR="004A2EAB" w:rsidRPr="004A2EAB">
        <w:t>nansierats eller tagits fram av den berörda offentliga myndigheten eller står under dess kontroll</w:t>
      </w:r>
      <w:r w:rsidR="004A2EAB">
        <w:t xml:space="preserve">. </w:t>
      </w:r>
      <w:r w:rsidR="00195F5B">
        <w:t xml:space="preserve">Möjligheten att undanta innehållet bör </w:t>
      </w:r>
      <w:r w:rsidR="00195F5B" w:rsidRPr="00195F5B">
        <w:t xml:space="preserve">tolkas </w:t>
      </w:r>
      <w:r w:rsidR="00195F5B">
        <w:t xml:space="preserve">så </w:t>
      </w:r>
      <w:r w:rsidR="00195F5B" w:rsidRPr="00195F5B">
        <w:t xml:space="preserve">att det är </w:t>
      </w:r>
      <w:r w:rsidR="0028656D">
        <w:t>myndighetens</w:t>
      </w:r>
      <w:r w:rsidR="00195F5B" w:rsidRPr="00195F5B">
        <w:t xml:space="preserve"> kontroll </w:t>
      </w:r>
      <w:r w:rsidR="00195F5B">
        <w:t xml:space="preserve">över innehållet </w:t>
      </w:r>
      <w:r w:rsidR="00195F5B" w:rsidRPr="00195F5B">
        <w:t>som är avgörande för om innehå</w:t>
      </w:r>
      <w:r w:rsidR="00195F5B" w:rsidRPr="00195F5B">
        <w:t>l</w:t>
      </w:r>
      <w:r w:rsidR="00195F5B" w:rsidRPr="00195F5B">
        <w:t>let ska omfattas av kraven eller inte.</w:t>
      </w:r>
      <w:r w:rsidR="00195F5B">
        <w:t xml:space="preserve"> </w:t>
      </w:r>
      <w:r w:rsidR="00195F5B" w:rsidRPr="00195F5B">
        <w:t xml:space="preserve">Bara det faktum att en </w:t>
      </w:r>
      <w:r w:rsidR="0028656D">
        <w:t>myndighet</w:t>
      </w:r>
      <w:r w:rsidR="00195F5B" w:rsidRPr="00195F5B">
        <w:t xml:space="preserve"> vä</w:t>
      </w:r>
      <w:r w:rsidR="00195F5B" w:rsidRPr="00195F5B">
        <w:t>l</w:t>
      </w:r>
      <w:r w:rsidR="00195F5B" w:rsidRPr="00195F5B">
        <w:t xml:space="preserve">jer att ha </w:t>
      </w:r>
      <w:r w:rsidR="0028656D">
        <w:t>s.k.</w:t>
      </w:r>
      <w:r w:rsidR="00195F5B" w:rsidRPr="00195F5B">
        <w:t xml:space="preserve"> inbäddat innehåll innebär inte att </w:t>
      </w:r>
      <w:r w:rsidR="0028656D">
        <w:t xml:space="preserve">myndigheten </w:t>
      </w:r>
      <w:r w:rsidR="00195F5B" w:rsidRPr="00195F5B">
        <w:t xml:space="preserve">inte har någon form av kontroll över materialet. </w:t>
      </w:r>
      <w:r w:rsidR="00F13335" w:rsidRPr="00F13335">
        <w:t xml:space="preserve">Om innehållet är känt vid publicering är det ett aktivt val från </w:t>
      </w:r>
      <w:r w:rsidR="0028656D">
        <w:t xml:space="preserve">myndigheten </w:t>
      </w:r>
      <w:r w:rsidR="00F13335" w:rsidRPr="00F13335">
        <w:t xml:space="preserve">att publicera detta material och </w:t>
      </w:r>
      <w:r w:rsidR="0028656D">
        <w:t>myndi</w:t>
      </w:r>
      <w:r w:rsidR="0028656D">
        <w:t>g</w:t>
      </w:r>
      <w:r w:rsidR="0028656D">
        <w:t xml:space="preserve">heten </w:t>
      </w:r>
      <w:r w:rsidR="00F13335" w:rsidRPr="00F13335">
        <w:t>har därmed kontroll över det.</w:t>
      </w:r>
    </w:p>
    <w:p w14:paraId="00363553" w14:textId="39FEFCDE" w:rsidR="00BD6F19" w:rsidRDefault="008C2374" w:rsidP="00852104">
      <w:pPr>
        <w:pStyle w:val="ANormal"/>
      </w:pPr>
      <w:r>
        <w:rPr>
          <w:i/>
        </w:rPr>
        <w:tab/>
      </w:r>
      <w:r w:rsidR="00F13335" w:rsidRPr="00F13335">
        <w:rPr>
          <w:i/>
        </w:rPr>
        <w:t>För det fjärde</w:t>
      </w:r>
      <w:r w:rsidR="00F13335">
        <w:t xml:space="preserve">, </w:t>
      </w:r>
      <w:bookmarkStart w:id="20" w:name="_Hlk513452535"/>
      <w:r w:rsidR="00F13335">
        <w:t>av direktivets artikel 1.4</w:t>
      </w:r>
      <w:r w:rsidR="00C9052C">
        <w:t> </w:t>
      </w:r>
      <w:r w:rsidR="00F13335">
        <w:t>f följer att det inte omfattar r</w:t>
      </w:r>
      <w:r w:rsidR="00F13335">
        <w:t>e</w:t>
      </w:r>
      <w:r w:rsidR="00F13335">
        <w:t>produktioner av föremål från kulturarvssamlingar som inte kan göras ful</w:t>
      </w:r>
      <w:r w:rsidR="00F13335">
        <w:t>l</w:t>
      </w:r>
      <w:r w:rsidR="00F13335">
        <w:t>ständigt tillgängliga på grund</w:t>
      </w:r>
      <w:r w:rsidR="0028656D">
        <w:t xml:space="preserve">. </w:t>
      </w:r>
      <w:r w:rsidR="00BB6CB4" w:rsidRPr="00BB6CB4">
        <w:t xml:space="preserve">Med </w:t>
      </w:r>
      <w:r w:rsidR="00BB6CB4">
        <w:t xml:space="preserve">tanke på </w:t>
      </w:r>
      <w:r w:rsidR="00BB6CB4" w:rsidRPr="00BB6CB4">
        <w:t>de stora praktiska och ekon</w:t>
      </w:r>
      <w:r w:rsidR="00BB6CB4" w:rsidRPr="00BB6CB4">
        <w:t>o</w:t>
      </w:r>
      <w:r w:rsidR="00BB6CB4" w:rsidRPr="00BB6CB4">
        <w:t>miska hinder som kan föreligga mot att tillgängliggöra vissa reproduktioner av föremål från kulturarvssamlingar bör undantaget även införas i den för</w:t>
      </w:r>
      <w:r w:rsidR="00BB6CB4" w:rsidRPr="00BB6CB4">
        <w:t>e</w:t>
      </w:r>
      <w:r w:rsidR="00BB6CB4" w:rsidRPr="00BB6CB4">
        <w:t xml:space="preserve">slagna </w:t>
      </w:r>
      <w:r w:rsidR="00BB6CB4">
        <w:t>landskaps</w:t>
      </w:r>
      <w:r w:rsidR="00BB6CB4" w:rsidRPr="00BB6CB4">
        <w:t>lagen.</w:t>
      </w:r>
    </w:p>
    <w:bookmarkEnd w:id="20"/>
    <w:p w14:paraId="4C1FC9CD" w14:textId="4C2E8B3B" w:rsidR="008C2374" w:rsidRDefault="00BD6F19" w:rsidP="00103514">
      <w:pPr>
        <w:pStyle w:val="ANormal"/>
      </w:pPr>
      <w:r>
        <w:rPr>
          <w:i/>
        </w:rPr>
        <w:tab/>
      </w:r>
      <w:r w:rsidR="00BB6CB4" w:rsidRPr="00BB6CB4">
        <w:rPr>
          <w:i/>
        </w:rPr>
        <w:t>För det femte</w:t>
      </w:r>
      <w:r w:rsidR="00BB6CB4">
        <w:t xml:space="preserve">, </w:t>
      </w:r>
      <w:r w:rsidR="003835DE">
        <w:t xml:space="preserve">från </w:t>
      </w:r>
      <w:r w:rsidR="003835DE" w:rsidRPr="003835DE">
        <w:t>tillgänglighetsdirektivets tillämpningsområde får e</w:t>
      </w:r>
      <w:r w:rsidR="003835DE" w:rsidRPr="003835DE">
        <w:t>n</w:t>
      </w:r>
      <w:r w:rsidR="003835DE" w:rsidRPr="003835DE">
        <w:t xml:space="preserve">ligt artikel 1.5 webbplatser och mobila applikationer tillhörande skolor, daghem och förskolor undantas, med undantag </w:t>
      </w:r>
      <w:r w:rsidR="003835DE">
        <w:t xml:space="preserve">av </w:t>
      </w:r>
      <w:r w:rsidR="003835DE" w:rsidRPr="003835DE">
        <w:t>innehåll som hänför sig till väsentliga administrativa funktioner online.</w:t>
      </w:r>
      <w:r w:rsidR="00C90B21" w:rsidRPr="00C90B21">
        <w:t xml:space="preserve"> </w:t>
      </w:r>
      <w:r w:rsidR="009613E4">
        <w:t>Landskapsregeringen b</w:t>
      </w:r>
      <w:r w:rsidR="009613E4">
        <w:t>e</w:t>
      </w:r>
      <w:r w:rsidR="009613E4">
        <w:t>dömer att d</w:t>
      </w:r>
      <w:r w:rsidR="00C90B21" w:rsidRPr="00C90B21">
        <w:t xml:space="preserve">e verksamheter som </w:t>
      </w:r>
      <w:r w:rsidR="00C90B21">
        <w:t xml:space="preserve">på Åland </w:t>
      </w:r>
      <w:r w:rsidR="008C2374">
        <w:t xml:space="preserve">kan </w:t>
      </w:r>
      <w:r w:rsidR="00C90B21" w:rsidRPr="00C90B21">
        <w:t>undanta</w:t>
      </w:r>
      <w:r w:rsidR="008C2374">
        <w:t>s</w:t>
      </w:r>
      <w:r w:rsidR="00C90B21" w:rsidRPr="00C90B21">
        <w:t xml:space="preserve"> är </w:t>
      </w:r>
      <w:r w:rsidR="006A762B">
        <w:t xml:space="preserve">bl.a. </w:t>
      </w:r>
      <w:r w:rsidR="0028656D">
        <w:t>verksamhe</w:t>
      </w:r>
      <w:r w:rsidR="0028656D">
        <w:t>t</w:t>
      </w:r>
      <w:r w:rsidR="008C2374">
        <w:t>erna</w:t>
      </w:r>
      <w:r w:rsidR="0028656D">
        <w:t xml:space="preserve"> inom </w:t>
      </w:r>
      <w:r w:rsidR="006A762B">
        <w:t>daghem</w:t>
      </w:r>
      <w:r w:rsidR="0028656D">
        <w:t xml:space="preserve">, </w:t>
      </w:r>
      <w:r w:rsidR="006A762B" w:rsidRPr="006A762B">
        <w:t>förundervisning</w:t>
      </w:r>
      <w:r w:rsidR="0028656D">
        <w:t xml:space="preserve"> och skolväsendet på Åland. </w:t>
      </w:r>
      <w:r w:rsidR="006A762B">
        <w:t xml:space="preserve">Även den utbildning som avses i landskapslagen (2011:13) om gymnasieutbildning och </w:t>
      </w:r>
      <w:r w:rsidR="001256B7">
        <w:t>landskapslagen (2002:81) om Högskolan på Åland ska omfattas av u</w:t>
      </w:r>
      <w:r w:rsidR="001256B7">
        <w:t>n</w:t>
      </w:r>
      <w:r w:rsidR="001256B7">
        <w:t xml:space="preserve">dantaget. </w:t>
      </w:r>
      <w:r w:rsidR="00103514">
        <w:t xml:space="preserve">Utnyttjandet av undantaget </w:t>
      </w:r>
      <w:r w:rsidR="009B567F">
        <w:t xml:space="preserve">i landskapslagstiftningen </w:t>
      </w:r>
      <w:r w:rsidR="00103514">
        <w:t xml:space="preserve">innebär t.ex. att sådant som </w:t>
      </w:r>
      <w:r w:rsidR="00103514" w:rsidRPr="00103514">
        <w:t xml:space="preserve">skapas </w:t>
      </w:r>
      <w:r w:rsidR="00103514">
        <w:t xml:space="preserve">av eleverna </w:t>
      </w:r>
      <w:r w:rsidR="00103514" w:rsidRPr="00103514">
        <w:t xml:space="preserve">inom ramen för utbildningsverksamheten </w:t>
      </w:r>
      <w:r w:rsidR="00103514">
        <w:t>(</w:t>
      </w:r>
      <w:r w:rsidR="00103514" w:rsidRPr="00103514">
        <w:t>t.ex. bild eller video</w:t>
      </w:r>
      <w:r w:rsidR="00103514">
        <w:t>) kan publiceras på en skolas webbplats utan att dire</w:t>
      </w:r>
      <w:r w:rsidR="00103514">
        <w:t>k</w:t>
      </w:r>
      <w:r w:rsidR="00103514">
        <w:t>tivets tillgänglighetskrav blir tillämpliga.</w:t>
      </w:r>
    </w:p>
    <w:p w14:paraId="63DBD3D1" w14:textId="7EC9B279" w:rsidR="00103514" w:rsidRDefault="008C2374" w:rsidP="00103514">
      <w:pPr>
        <w:pStyle w:val="ANormal"/>
      </w:pPr>
      <w:r>
        <w:tab/>
      </w:r>
      <w:r w:rsidR="00103514">
        <w:t xml:space="preserve">Dock begränsas undantaget av att </w:t>
      </w:r>
      <w:r w:rsidR="00103514" w:rsidRPr="00103514">
        <w:t>innehåll som hänför sig till väsentliga administrativa funktioner online på webbplatser och mobila applikationer inte undantas från tillgänglighetskraven. Det finns inte någon vägledning i direktivet gällande vad som avses med väsentliga administrativa funktioner.</w:t>
      </w:r>
      <w:r w:rsidR="00103514">
        <w:t xml:space="preserve"> I de svenska förarbetena har man utgått från att tillgänglighetskraven ska gälla för </w:t>
      </w:r>
      <w:r w:rsidR="00103514" w:rsidRPr="00103514">
        <w:t xml:space="preserve">sådana administrativa förfaranden som </w:t>
      </w:r>
      <w:r w:rsidR="00103514">
        <w:t xml:space="preserve">t.ex. </w:t>
      </w:r>
      <w:r w:rsidR="002E6972">
        <w:t xml:space="preserve">avser </w:t>
      </w:r>
      <w:r w:rsidR="00103514" w:rsidRPr="00103514">
        <w:t>frånvaro, anta</w:t>
      </w:r>
      <w:r w:rsidR="00103514" w:rsidRPr="00103514">
        <w:t>g</w:t>
      </w:r>
      <w:r w:rsidR="00103514" w:rsidRPr="00103514">
        <w:t>ning, disciplinära åtgärder</w:t>
      </w:r>
      <w:r w:rsidR="00103514">
        <w:t xml:space="preserve"> eller </w:t>
      </w:r>
      <w:r w:rsidR="00103514" w:rsidRPr="00103514">
        <w:t>information om läxor och annan informa</w:t>
      </w:r>
      <w:r w:rsidR="00103514" w:rsidRPr="00103514">
        <w:t>t</w:t>
      </w:r>
      <w:r w:rsidR="00103514" w:rsidRPr="00103514">
        <w:lastRenderedPageBreak/>
        <w:t>ion från verksamheten till vårdnadshavare eller elever</w:t>
      </w:r>
      <w:r w:rsidR="00103514">
        <w:t>.</w:t>
      </w:r>
      <w:r w:rsidR="002B57E7">
        <w:rPr>
          <w:rStyle w:val="Fotnotsreferens"/>
        </w:rPr>
        <w:footnoteReference w:id="12"/>
      </w:r>
      <w:r w:rsidR="00103514">
        <w:t xml:space="preserve"> </w:t>
      </w:r>
      <w:r w:rsidR="007C4CDE">
        <w:t>På ett motsvarande sätt anser l</w:t>
      </w:r>
      <w:r w:rsidR="00103514">
        <w:t>andskapsregeringen att denna typ av grundläggande administr</w:t>
      </w:r>
      <w:r w:rsidR="00103514">
        <w:t>a</w:t>
      </w:r>
      <w:r w:rsidR="00103514">
        <w:t>tiv</w:t>
      </w:r>
      <w:r w:rsidR="002B57E7">
        <w:t>a</w:t>
      </w:r>
      <w:r w:rsidR="00103514">
        <w:t xml:space="preserve"> förfaranden bör uppfylla tillgänglighetskraven om de överförs till </w:t>
      </w:r>
      <w:r w:rsidR="00DB0914">
        <w:t xml:space="preserve">och finns tillgängliga på </w:t>
      </w:r>
      <w:r w:rsidR="002B57E7">
        <w:t xml:space="preserve">skolornas </w:t>
      </w:r>
      <w:r w:rsidR="00103514">
        <w:t>webbplats</w:t>
      </w:r>
      <w:r w:rsidR="005E61FF">
        <w:t>er</w:t>
      </w:r>
      <w:r w:rsidR="00103514">
        <w:t xml:space="preserve"> eller </w:t>
      </w:r>
      <w:r w:rsidR="002B57E7">
        <w:t>mobila applikation</w:t>
      </w:r>
      <w:r w:rsidR="005E61FF">
        <w:t>er</w:t>
      </w:r>
      <w:r w:rsidR="002B57E7">
        <w:t>.</w:t>
      </w:r>
    </w:p>
    <w:p w14:paraId="5D00F6A5" w14:textId="6ACF348D" w:rsidR="003835DE" w:rsidRDefault="003835DE" w:rsidP="00852104">
      <w:pPr>
        <w:pStyle w:val="ANormal"/>
      </w:pPr>
    </w:p>
    <w:p w14:paraId="2A1FF52B" w14:textId="24271D46" w:rsidR="00AB7D96" w:rsidRDefault="00AB7D96" w:rsidP="00771C32">
      <w:pPr>
        <w:pStyle w:val="RubrikD"/>
      </w:pPr>
      <w:r w:rsidRPr="00AB7D96">
        <w:t>2.3.</w:t>
      </w:r>
      <w:r w:rsidR="0007028F">
        <w:t>6</w:t>
      </w:r>
      <w:r w:rsidR="006A7FE6">
        <w:t xml:space="preserve"> </w:t>
      </w:r>
      <w:r w:rsidR="00875E51">
        <w:t>T</w:t>
      </w:r>
      <w:r w:rsidR="00472EFF" w:rsidRPr="00472EFF">
        <w:t>illgänglighetskraven</w:t>
      </w:r>
      <w:r w:rsidR="00C370D1">
        <w:t xml:space="preserve"> och -standarder</w:t>
      </w:r>
      <w:r w:rsidR="0007028F">
        <w:t>na</w:t>
      </w:r>
    </w:p>
    <w:p w14:paraId="65888C4F" w14:textId="77777777" w:rsidR="00472EFF" w:rsidRPr="00472EFF" w:rsidRDefault="00472EFF" w:rsidP="00472EFF">
      <w:pPr>
        <w:pStyle w:val="Rubrikmellanrum"/>
      </w:pPr>
    </w:p>
    <w:p w14:paraId="37204373" w14:textId="1EAFF4EA" w:rsidR="00472EFF" w:rsidRDefault="00472EFF" w:rsidP="00852104">
      <w:pPr>
        <w:pStyle w:val="ANormal"/>
      </w:pPr>
      <w:r w:rsidRPr="00472EFF">
        <w:t xml:space="preserve">Enligt artikel 4 i </w:t>
      </w:r>
      <w:r>
        <w:t>til</w:t>
      </w:r>
      <w:r w:rsidRPr="00472EFF">
        <w:t>lgänglighetsdirektivet ska medlemsstaterna säkerställa att offentliga myndigheter vidtar de åtgärder som är nödvändiga för att göra sina webbplatser och mobila applikationer mer tillgängliga genom att göra dem möjliga att uppfatta, hanterbara, begripliga och robusta. De</w:t>
      </w:r>
      <w:r>
        <w:t xml:space="preserve">tta hänvisar till de </w:t>
      </w:r>
      <w:r w:rsidRPr="00472EFF">
        <w:t xml:space="preserve">fyra principer </w:t>
      </w:r>
      <w:r>
        <w:t xml:space="preserve">som </w:t>
      </w:r>
      <w:r w:rsidRPr="00472EFF">
        <w:t>utgör grunden för WCAG 2.0 och även vissa delar av EN-standarden</w:t>
      </w:r>
      <w:r>
        <w:t xml:space="preserve"> (se avsnitt 2.1</w:t>
      </w:r>
      <w:r w:rsidR="00E72281">
        <w:t>.2</w:t>
      </w:r>
      <w:r>
        <w:t>)</w:t>
      </w:r>
      <w:r w:rsidRPr="00472EFF">
        <w:t>.</w:t>
      </w:r>
      <w:r>
        <w:t xml:space="preserve"> Direktivets</w:t>
      </w:r>
      <w:r w:rsidRPr="00472EFF">
        <w:t xml:space="preserve"> artikel 6 specificera</w:t>
      </w:r>
      <w:r>
        <w:t>r</w:t>
      </w:r>
      <w:r w:rsidRPr="00472EFF">
        <w:t xml:space="preserve"> när det finns en presumtion om överensstämmelse med tillgänglighetskraven</w:t>
      </w:r>
      <w:r w:rsidR="00E72281">
        <w:t>. I</w:t>
      </w:r>
      <w:r w:rsidRPr="00472EFF">
        <w:t xml:space="preserve">nnehåll på webbplatser och i mobila applikationer som överensstämmer med de </w:t>
      </w:r>
      <w:r w:rsidR="005A029A">
        <w:t xml:space="preserve">europeiska </w:t>
      </w:r>
      <w:r w:rsidRPr="00472EFF">
        <w:t xml:space="preserve">harmoniserade standarder eller delar av dem till vilka hänvisningar har offentliggjorts av kommissionen i Europeiska unionens officiella tidning </w:t>
      </w:r>
      <w:r w:rsidR="0077673E">
        <w:t xml:space="preserve">ska </w:t>
      </w:r>
      <w:r w:rsidRPr="00472EFF">
        <w:t xml:space="preserve">förutsättas överensstämma med </w:t>
      </w:r>
      <w:r w:rsidR="0077673E">
        <w:t>tillgänglighets</w:t>
      </w:r>
      <w:r w:rsidRPr="00472EFF">
        <w:t>kraven</w:t>
      </w:r>
      <w:r w:rsidR="0077673E">
        <w:t xml:space="preserve"> </w:t>
      </w:r>
      <w:r w:rsidRPr="00472EFF">
        <w:t xml:space="preserve">i artikel 4. Arbetet med att ta fram en </w:t>
      </w:r>
      <w:r w:rsidR="005A029A">
        <w:t xml:space="preserve">europeisk </w:t>
      </w:r>
      <w:r w:rsidRPr="00472EFF">
        <w:t>harmoniserad standard pågår för närvarande parallellt med arbetet med att uppdatera WCAG 2.0.</w:t>
      </w:r>
      <w:r w:rsidR="007E38A7">
        <w:t xml:space="preserve"> I juni 2018 har publicerats både </w:t>
      </w:r>
      <w:r w:rsidR="0095566F">
        <w:t xml:space="preserve">den uppdaterade </w:t>
      </w:r>
      <w:r w:rsidR="007E38A7">
        <w:t xml:space="preserve">WCAG 2.1 och ett utkast till den uppdaterade </w:t>
      </w:r>
      <w:r w:rsidR="007E38A7" w:rsidRPr="007E38A7">
        <w:t>europeiska standarden EN 301 549 V2.1.2</w:t>
      </w:r>
      <w:r w:rsidR="007E38A7">
        <w:t>. Den uppdat</w:t>
      </w:r>
      <w:r w:rsidR="007E38A7">
        <w:t>e</w:t>
      </w:r>
      <w:r w:rsidR="007E38A7">
        <w:t>rade europeiska standarden har inte ännu publicerats i Europeiska unionens officiella tidning.</w:t>
      </w:r>
    </w:p>
    <w:p w14:paraId="58F1DC7B" w14:textId="707F74B9" w:rsidR="00AA0057" w:rsidRDefault="00472EFF" w:rsidP="0077673E">
      <w:pPr>
        <w:pStyle w:val="ANormal"/>
      </w:pPr>
      <w:r>
        <w:tab/>
        <w:t xml:space="preserve">Eftersom de </w:t>
      </w:r>
      <w:r w:rsidR="007E38A7">
        <w:t xml:space="preserve">europeiska </w:t>
      </w:r>
      <w:r>
        <w:t xml:space="preserve">standarder som </w:t>
      </w:r>
      <w:r w:rsidR="00AA0057">
        <w:t xml:space="preserve">i första hand ska gälla </w:t>
      </w:r>
      <w:r w:rsidR="007E38A7">
        <w:t>enligt d</w:t>
      </w:r>
      <w:r w:rsidR="007E38A7">
        <w:t>i</w:t>
      </w:r>
      <w:r w:rsidR="007E38A7">
        <w:t xml:space="preserve">rektivet </w:t>
      </w:r>
      <w:r w:rsidR="00AA0057">
        <w:t xml:space="preserve">inte </w:t>
      </w:r>
      <w:r w:rsidR="007E38A7">
        <w:t xml:space="preserve">ännu har publicerats </w:t>
      </w:r>
      <w:r w:rsidR="00AA0057">
        <w:t xml:space="preserve">föreskrivs </w:t>
      </w:r>
      <w:r w:rsidR="0077673E">
        <w:t xml:space="preserve">närmare </w:t>
      </w:r>
      <w:r w:rsidR="00AA0057">
        <w:t xml:space="preserve">i </w:t>
      </w:r>
      <w:r w:rsidR="0077673E">
        <w:t xml:space="preserve">direktivet </w:t>
      </w:r>
      <w:r w:rsidR="00AA0057">
        <w:t xml:space="preserve">vad som ska gälla under tiden. </w:t>
      </w:r>
      <w:r w:rsidR="00AA0057" w:rsidRPr="00AA0057">
        <w:t xml:space="preserve">Enligt artikel 6.3 ska för webbplatser relevanta delar av </w:t>
      </w:r>
      <w:r w:rsidR="005A029A">
        <w:t xml:space="preserve">gällande </w:t>
      </w:r>
      <w:r w:rsidR="00AA0057" w:rsidRPr="00AA0057">
        <w:t xml:space="preserve">EN-standard tillämpas om </w:t>
      </w:r>
      <w:r w:rsidR="005A029A">
        <w:t xml:space="preserve">uppdaterade </w:t>
      </w:r>
      <w:r w:rsidR="00AA0057" w:rsidRPr="00AA0057">
        <w:t>harmoniserade standa</w:t>
      </w:r>
      <w:r w:rsidR="00AA0057" w:rsidRPr="00AA0057">
        <w:t>r</w:t>
      </w:r>
      <w:r w:rsidR="00AA0057" w:rsidRPr="00AA0057">
        <w:t>der saknas.</w:t>
      </w:r>
      <w:r w:rsidR="00AA0057">
        <w:t xml:space="preserve"> Enligt artikel 6.2 ska </w:t>
      </w:r>
      <w:r>
        <w:t>innehåll i mobila applikationer anses överensstämma med kraven om de överensstämmer med tekniska specif</w:t>
      </w:r>
      <w:r>
        <w:t>i</w:t>
      </w:r>
      <w:r>
        <w:t xml:space="preserve">kationer som kommissionen ska ange i genomförandeakter som ska antas senast den 23 december 2018. </w:t>
      </w:r>
      <w:r w:rsidR="00AA0057">
        <w:t xml:space="preserve">Ytterligare framgår ur samma </w:t>
      </w:r>
      <w:r>
        <w:t xml:space="preserve">punkt att om harmoniserade standarder och tekniska specifikationer som avses i artikel 6.2 saknas ska relevanta krav i </w:t>
      </w:r>
      <w:r w:rsidR="005A029A">
        <w:t xml:space="preserve">gällande </w:t>
      </w:r>
      <w:r>
        <w:t>EN-standard tillämpas även för mobila applikationer.</w:t>
      </w:r>
      <w:r w:rsidR="0077673E">
        <w:t xml:space="preserve"> </w:t>
      </w:r>
      <w:r w:rsidR="00AA0057">
        <w:t xml:space="preserve">Således är det delvis oklart </w:t>
      </w:r>
      <w:r>
        <w:t>i dagsläget vilka standa</w:t>
      </w:r>
      <w:r>
        <w:t>r</w:t>
      </w:r>
      <w:r>
        <w:t xml:space="preserve">der som ska tillämpas när </w:t>
      </w:r>
      <w:r w:rsidR="00AA0057">
        <w:t>den föreslagna landskapslagen träder i kraft</w:t>
      </w:r>
      <w:r w:rsidR="00F432D1">
        <w:t>, men ur direktivet framgår vilken standard som i sista hand ska tillämpas om de standarder som i första hand ska gälla inte har offentliggjorts.</w:t>
      </w:r>
      <w:r w:rsidR="0077673E">
        <w:t xml:space="preserve"> Enligt lagfö</w:t>
      </w:r>
      <w:r w:rsidR="0077673E">
        <w:t>r</w:t>
      </w:r>
      <w:r w:rsidR="0077673E">
        <w:t xml:space="preserve">slaget ska den föreslagna </w:t>
      </w:r>
      <w:r w:rsidR="00DB5CEE">
        <w:t>landskaps</w:t>
      </w:r>
      <w:r w:rsidR="0077673E">
        <w:t>lagen enbart hänvisa till de standarder som kommissionen ska publicera hänvisningar till. Kommissionen förvä</w:t>
      </w:r>
      <w:r w:rsidR="0077673E">
        <w:t>n</w:t>
      </w:r>
      <w:r w:rsidR="0077673E">
        <w:t>tas publicera hänvisningarna före lagen träder i kraft.</w:t>
      </w:r>
    </w:p>
    <w:p w14:paraId="0C8E88E2" w14:textId="2F6B083E" w:rsidR="00C13EB6" w:rsidRDefault="00C370D1" w:rsidP="00C13EB6">
      <w:pPr>
        <w:pStyle w:val="ANormal"/>
      </w:pPr>
      <w:r>
        <w:tab/>
      </w:r>
      <w:r w:rsidR="000D7263">
        <w:t xml:space="preserve">Slutligen bör konstateras att </w:t>
      </w:r>
      <w:r w:rsidR="00813F8C">
        <w:t>d</w:t>
      </w:r>
      <w:r w:rsidR="00813F8C" w:rsidRPr="00813F8C">
        <w:t xml:space="preserve">e webbplatser och mobila applikationer som myndigheterna utnyttjar </w:t>
      </w:r>
      <w:r w:rsidR="00813F8C">
        <w:t xml:space="preserve">ofta </w:t>
      </w:r>
      <w:r w:rsidR="00813F8C" w:rsidRPr="00813F8C">
        <w:t>utgör tekniska lösningar som står under tredje parts kontroll.</w:t>
      </w:r>
      <w:r w:rsidR="00C13EB6">
        <w:t xml:space="preserve"> </w:t>
      </w:r>
      <w:r w:rsidR="00813F8C">
        <w:t xml:space="preserve">Till den del en myndighet kan kontrollera den tekniska lösningen ska tillgänglighetskraven i den föreslagna </w:t>
      </w:r>
      <w:r w:rsidR="00DB5CEE">
        <w:t>landskaps</w:t>
      </w:r>
      <w:r w:rsidR="00813F8C">
        <w:t>lagen give</w:t>
      </w:r>
      <w:r w:rsidR="00813F8C">
        <w:t>t</w:t>
      </w:r>
      <w:r w:rsidR="00813F8C">
        <w:t xml:space="preserve">vis gälla. Däremot är det </w:t>
      </w:r>
      <w:r w:rsidR="00813F8C" w:rsidRPr="00813F8C">
        <w:t xml:space="preserve">i praktiken </w:t>
      </w:r>
      <w:r w:rsidR="00813F8C">
        <w:t xml:space="preserve">inte </w:t>
      </w:r>
      <w:r w:rsidR="00813F8C" w:rsidRPr="00813F8C">
        <w:t xml:space="preserve">möjligt att kräva att </w:t>
      </w:r>
      <w:r w:rsidR="0077673E">
        <w:t>myndighete</w:t>
      </w:r>
      <w:r w:rsidR="0077673E">
        <w:t>r</w:t>
      </w:r>
      <w:r w:rsidR="0077673E">
        <w:t>na</w:t>
      </w:r>
      <w:r w:rsidR="00813F8C" w:rsidRPr="00813F8C">
        <w:t xml:space="preserve"> tillämpar kraven fullt ut för tekniska lösningar som inte står under deras kontroll. </w:t>
      </w:r>
      <w:r w:rsidR="0077673E">
        <w:t xml:space="preserve">Enligt lagförslaget ska </w:t>
      </w:r>
      <w:r w:rsidR="00813F8C">
        <w:t>i</w:t>
      </w:r>
      <w:r w:rsidR="00813F8C" w:rsidRPr="00813F8C">
        <w:t>nnehåll på webbplatser och mobila appl</w:t>
      </w:r>
      <w:r w:rsidR="00813F8C" w:rsidRPr="00813F8C">
        <w:t>i</w:t>
      </w:r>
      <w:r w:rsidR="00813F8C" w:rsidRPr="00813F8C">
        <w:t>kationer som tillhandahålls via en teknisk lösning som står under tredje parts kontroll följa tillgänglighetskraven i den</w:t>
      </w:r>
      <w:r w:rsidR="00813F8C">
        <w:t xml:space="preserve"> föreslagna</w:t>
      </w:r>
      <w:r w:rsidR="00813F8C" w:rsidRPr="00813F8C">
        <w:t xml:space="preserve"> </w:t>
      </w:r>
      <w:r w:rsidR="00DB5CEE">
        <w:t>landskaps</w:t>
      </w:r>
      <w:r w:rsidR="00813F8C" w:rsidRPr="00813F8C">
        <w:t>lag</w:t>
      </w:r>
      <w:r w:rsidR="00813F8C">
        <w:t>en</w:t>
      </w:r>
      <w:r w:rsidR="0077673E">
        <w:t xml:space="preserve"> så långt det är praktiskt möjligt</w:t>
      </w:r>
      <w:r w:rsidR="00813F8C" w:rsidRPr="00813F8C">
        <w:t>.</w:t>
      </w:r>
      <w:r w:rsidR="00813F8C">
        <w:t xml:space="preserve"> </w:t>
      </w:r>
      <w:r w:rsidR="00C13EB6" w:rsidRPr="00C13EB6">
        <w:t>Detta innebär att de krav som följer av lagen bara ska uppfyllas om det är möjligt att helt eller delvis uppfylla dem.</w:t>
      </w:r>
      <w:r w:rsidR="00C13EB6">
        <w:t xml:space="preserve"> Fr</w:t>
      </w:r>
      <w:r w:rsidR="00C13EB6">
        <w:t>å</w:t>
      </w:r>
      <w:r w:rsidR="00C13EB6">
        <w:t>gan om k</w:t>
      </w:r>
      <w:r w:rsidR="00813F8C">
        <w:t xml:space="preserve">ontroll är även väsentlig med tanke på möjligheterna att uppfylla </w:t>
      </w:r>
      <w:r w:rsidR="00C13EB6">
        <w:t>tillgänglighets</w:t>
      </w:r>
      <w:r w:rsidR="00813F8C">
        <w:t>krav gällande innehåll på webbplatser och i mobila applika</w:t>
      </w:r>
      <w:r w:rsidR="00813F8C">
        <w:t>t</w:t>
      </w:r>
      <w:r w:rsidR="00813F8C">
        <w:t>ioner</w:t>
      </w:r>
      <w:r w:rsidR="0077673E">
        <w:t>.</w:t>
      </w:r>
      <w:r w:rsidR="00813F8C">
        <w:t xml:space="preserve"> </w:t>
      </w:r>
      <w:r w:rsidR="0077673E">
        <w:t>S</w:t>
      </w:r>
      <w:r w:rsidR="00C13EB6">
        <w:t>e avsnitt 2.3.</w:t>
      </w:r>
      <w:r w:rsidR="0077673E">
        <w:t>5 om undantag för detta ändamål</w:t>
      </w:r>
      <w:r w:rsidR="00C13EB6">
        <w:t>.</w:t>
      </w:r>
    </w:p>
    <w:p w14:paraId="0E567BE7" w14:textId="26DC1680" w:rsidR="0007028F" w:rsidRDefault="0007028F" w:rsidP="00C13EB6">
      <w:pPr>
        <w:pStyle w:val="ANormal"/>
      </w:pPr>
    </w:p>
    <w:p w14:paraId="6457EE36" w14:textId="5F536F60" w:rsidR="0007028F" w:rsidRDefault="0007028F" w:rsidP="00771C32">
      <w:pPr>
        <w:pStyle w:val="RubrikD"/>
      </w:pPr>
      <w:r>
        <w:t xml:space="preserve">2.3.7 </w:t>
      </w:r>
      <w:r w:rsidR="00BA21FC">
        <w:t>Oproportione</w:t>
      </w:r>
      <w:r w:rsidR="005962F4">
        <w:t>ll</w:t>
      </w:r>
      <w:r w:rsidR="00BA21FC">
        <w:t xml:space="preserve"> börda</w:t>
      </w:r>
    </w:p>
    <w:p w14:paraId="50F518F3" w14:textId="65CAF260" w:rsidR="0007028F" w:rsidRDefault="0007028F" w:rsidP="0007028F">
      <w:pPr>
        <w:pStyle w:val="Rubrikmellanrum"/>
      </w:pPr>
    </w:p>
    <w:p w14:paraId="72D33536" w14:textId="4E6C64A3" w:rsidR="00C13EB6" w:rsidRDefault="0077673E" w:rsidP="00C13EB6">
      <w:pPr>
        <w:pStyle w:val="ANormal"/>
      </w:pPr>
      <w:r>
        <w:t>T</w:t>
      </w:r>
      <w:r w:rsidR="0007028F" w:rsidRPr="0007028F">
        <w:t xml:space="preserve">illgänglighetsdirektivet </w:t>
      </w:r>
      <w:r w:rsidR="0007028F">
        <w:t xml:space="preserve">föreskriver att </w:t>
      </w:r>
      <w:r w:rsidR="0007028F" w:rsidRPr="0007028F">
        <w:t xml:space="preserve">medlemsstaterna </w:t>
      </w:r>
      <w:r w:rsidR="0007028F">
        <w:t xml:space="preserve">ska </w:t>
      </w:r>
      <w:r w:rsidR="0007028F" w:rsidRPr="0007028F">
        <w:t>säkerställa att offentliga myndigheter tillämpar tillgänglighetskraven i den utsträckning som dessa krav inte lägger en oproportionell börda på de offentliga my</w:t>
      </w:r>
      <w:r w:rsidR="0007028F" w:rsidRPr="0007028F">
        <w:t>n</w:t>
      </w:r>
      <w:r w:rsidR="0007028F" w:rsidRPr="0007028F">
        <w:t>digheterna.</w:t>
      </w:r>
      <w:r>
        <w:t xml:space="preserve"> R</w:t>
      </w:r>
      <w:r w:rsidR="0007028F" w:rsidRPr="0007028F">
        <w:t>elevanta omständigheter i sammanhanget kan vara den b</w:t>
      </w:r>
      <w:r w:rsidR="0007028F" w:rsidRPr="0007028F">
        <w:t>e</w:t>
      </w:r>
      <w:r w:rsidR="0007028F" w:rsidRPr="0007028F">
        <w:t>rörda offentliga myndighetens storlek, art och resurser. Andra relevanta omständigheter kan vara att uppskattade kostnader och fördelar för den b</w:t>
      </w:r>
      <w:r w:rsidR="0007028F" w:rsidRPr="0007028F">
        <w:t>e</w:t>
      </w:r>
      <w:r w:rsidR="0007028F" w:rsidRPr="0007028F">
        <w:t>rörda offentliga myndigheten i förhållande till de uppskattade fördelarna för personer med funktionsnedsättning, med hänsyn tagen till hur ofta och u</w:t>
      </w:r>
      <w:r w:rsidR="0007028F" w:rsidRPr="0007028F">
        <w:t>n</w:t>
      </w:r>
      <w:r w:rsidR="0007028F" w:rsidRPr="0007028F">
        <w:t>der hur lång tid den specifika webbplatsen och mobila applikationen a</w:t>
      </w:r>
      <w:r w:rsidR="0007028F" w:rsidRPr="0007028F">
        <w:t>n</w:t>
      </w:r>
      <w:r w:rsidR="0007028F" w:rsidRPr="0007028F">
        <w:t>vänds.</w:t>
      </w:r>
      <w:r w:rsidR="006923DC">
        <w:t xml:space="preserve"> </w:t>
      </w:r>
      <w:r w:rsidR="0007028F" w:rsidRPr="0007028F">
        <w:t xml:space="preserve">I </w:t>
      </w:r>
      <w:r w:rsidR="006923DC">
        <w:t>tillgänglighets</w:t>
      </w:r>
      <w:r w:rsidR="0007028F" w:rsidRPr="0007028F">
        <w:t>direktivets ingress an</w:t>
      </w:r>
      <w:r w:rsidR="006F7432">
        <w:t xml:space="preserve">ges </w:t>
      </w:r>
      <w:r w:rsidR="0007028F" w:rsidRPr="0007028F">
        <w:t xml:space="preserve">att det i motiverade fall kanske inte är rimligt att en offentlig myndighet ska ha möjlighet att göra visst innehåll helt tillgängligt. Den offentliga myndigheten bör emellertid fortfarande göra detta innehåll så tillgängligt som möjligt och göra annat innehåll helt tillgängligt. </w:t>
      </w:r>
      <w:r w:rsidR="008F09F7">
        <w:t xml:space="preserve">Enligt lagförslaget </w:t>
      </w:r>
      <w:r w:rsidR="00BA21FC">
        <w:t xml:space="preserve">ska </w:t>
      </w:r>
      <w:r w:rsidR="008F09F7">
        <w:t>de myndigheter som är f</w:t>
      </w:r>
      <w:r w:rsidR="008F09F7">
        <w:t>ö</w:t>
      </w:r>
      <w:r w:rsidR="008F09F7">
        <w:t xml:space="preserve">remål för tillgänglighetskraven och -standarderna </w:t>
      </w:r>
      <w:r w:rsidR="00BA21FC">
        <w:t>i den föreslagna lan</w:t>
      </w:r>
      <w:r w:rsidR="00BA21FC">
        <w:t>d</w:t>
      </w:r>
      <w:r w:rsidR="00BA21FC">
        <w:t xml:space="preserve">skapslagen kunna avvika från dessa </w:t>
      </w:r>
      <w:r w:rsidR="00BA21FC" w:rsidRPr="00BA21FC">
        <w:t>om iakttagandet skulle medföra en oproportionell börda för verksamheten.</w:t>
      </w:r>
      <w:r w:rsidR="00BA21FC">
        <w:t xml:space="preserve"> </w:t>
      </w:r>
      <w:r w:rsidR="00091704">
        <w:t xml:space="preserve">I lagen </w:t>
      </w:r>
      <w:r w:rsidR="002914BB">
        <w:t>finns</w:t>
      </w:r>
      <w:r w:rsidR="00091704">
        <w:t xml:space="preserve"> närmare kriterier som ska ligga till grund för prövningen av när det rör sig om en </w:t>
      </w:r>
      <w:r w:rsidR="00BA21FC">
        <w:t xml:space="preserve">oproportionell börda. </w:t>
      </w:r>
      <w:r w:rsidR="005962F4" w:rsidRPr="005962F4">
        <w:t xml:space="preserve">Det </w:t>
      </w:r>
      <w:r w:rsidR="005962F4">
        <w:t xml:space="preserve">kan </w:t>
      </w:r>
      <w:r w:rsidR="005962F4" w:rsidRPr="005962F4">
        <w:t xml:space="preserve">här noteras att FN:s konvention om rättigheter för personer med funktionsnedsättning </w:t>
      </w:r>
      <w:r w:rsidR="00DB64CA">
        <w:t xml:space="preserve">och </w:t>
      </w:r>
      <w:r w:rsidR="00DB64CA" w:rsidRPr="00DB64CA">
        <w:t>landskapslagen om förhindrande av diskr</w:t>
      </w:r>
      <w:r w:rsidR="00DB64CA" w:rsidRPr="00DB64CA">
        <w:t>i</w:t>
      </w:r>
      <w:r w:rsidR="00DB64CA" w:rsidRPr="00DB64CA">
        <w:t xml:space="preserve">minering i landskapet Åland </w:t>
      </w:r>
      <w:r w:rsidR="005962F4" w:rsidRPr="005962F4">
        <w:t xml:space="preserve">innehåller </w:t>
      </w:r>
      <w:r w:rsidR="00DB64CA">
        <w:t xml:space="preserve">delvis </w:t>
      </w:r>
      <w:r w:rsidR="005962F4" w:rsidRPr="005962F4">
        <w:t>liknande bestämmelser om skälig anpassning</w:t>
      </w:r>
      <w:r>
        <w:t>.</w:t>
      </w:r>
    </w:p>
    <w:p w14:paraId="79849FF6" w14:textId="77777777" w:rsidR="0095566F" w:rsidRDefault="0095566F" w:rsidP="00C13EB6">
      <w:pPr>
        <w:pStyle w:val="ANormal"/>
      </w:pPr>
    </w:p>
    <w:p w14:paraId="25C46EED" w14:textId="359A8A8F" w:rsidR="00472EFF" w:rsidRDefault="00FD5572" w:rsidP="00771C32">
      <w:pPr>
        <w:pStyle w:val="RubrikD"/>
      </w:pPr>
      <w:r>
        <w:t>2.3.8 Tillgänglighetsutlåtande</w:t>
      </w:r>
    </w:p>
    <w:p w14:paraId="65AB5309" w14:textId="77777777" w:rsidR="00FD5572" w:rsidRPr="00FD5572" w:rsidRDefault="00FD5572" w:rsidP="00FD5572">
      <w:pPr>
        <w:pStyle w:val="Rubrikmellanrum"/>
      </w:pPr>
    </w:p>
    <w:p w14:paraId="400399CD" w14:textId="70755FBA" w:rsidR="005A4114" w:rsidRDefault="006E6CD2" w:rsidP="005B33B8">
      <w:pPr>
        <w:pStyle w:val="ANormal"/>
      </w:pPr>
      <w:r>
        <w:t>I artikel 7.1 i tillgänglighetsdirektivet anges att offentliga myndigheter, på den relevanta webbplatsen eller i anslutning till den information som är til</w:t>
      </w:r>
      <w:r>
        <w:t>l</w:t>
      </w:r>
      <w:r>
        <w:t>gänglig när man laddar ned en mobil applikation, ska tillhandahålla ett til</w:t>
      </w:r>
      <w:r>
        <w:t>l</w:t>
      </w:r>
      <w:r>
        <w:t xml:space="preserve">gänglighetsutlåtande. </w:t>
      </w:r>
      <w:r w:rsidR="005B33B8">
        <w:t xml:space="preserve">I den föreslagna landskapslagen </w:t>
      </w:r>
      <w:r w:rsidR="00A74171">
        <w:t xml:space="preserve">ska finnas </w:t>
      </w:r>
      <w:r w:rsidR="005B33B8">
        <w:t xml:space="preserve">en </w:t>
      </w:r>
      <w:r w:rsidR="00A74171">
        <w:t>b</w:t>
      </w:r>
      <w:r w:rsidR="00A74171">
        <w:t>e</w:t>
      </w:r>
      <w:r w:rsidR="00A74171">
        <w:t xml:space="preserve">stämmelse om vad </w:t>
      </w:r>
      <w:r w:rsidR="005B33B8">
        <w:t>tillgänglighetsutlåtandena</w:t>
      </w:r>
      <w:r w:rsidR="00F7202F">
        <w:t xml:space="preserve"> </w:t>
      </w:r>
      <w:r w:rsidR="00A74171">
        <w:t>ska innehålla.</w:t>
      </w:r>
      <w:r w:rsidR="00A74171">
        <w:rPr>
          <w:rStyle w:val="Fotnotsreferens"/>
        </w:rPr>
        <w:footnoteReference w:id="13"/>
      </w:r>
      <w:r w:rsidR="00A74171">
        <w:t xml:space="preserve"> </w:t>
      </w:r>
      <w:r w:rsidR="00F7202F" w:rsidRPr="00F7202F">
        <w:t>Varje my</w:t>
      </w:r>
      <w:r w:rsidR="00F7202F" w:rsidRPr="00F7202F">
        <w:t>n</w:t>
      </w:r>
      <w:r w:rsidR="00F7202F" w:rsidRPr="00F7202F">
        <w:t xml:space="preserve">dighet </w:t>
      </w:r>
      <w:r w:rsidR="00F7202F">
        <w:t xml:space="preserve">inom landskaps- och kommunalförvaltningen </w:t>
      </w:r>
      <w:r w:rsidR="00F7202F" w:rsidRPr="00F7202F">
        <w:t xml:space="preserve">ska </w:t>
      </w:r>
      <w:r w:rsidR="00F7202F">
        <w:t xml:space="preserve">tillhandahålla ett tillgänglighetsutlåtande </w:t>
      </w:r>
      <w:r w:rsidR="00F7202F" w:rsidRPr="00F7202F">
        <w:t>på webbplatsen eller i anslutning till den mobila applikationen</w:t>
      </w:r>
      <w:r w:rsidR="00F7202F">
        <w:t xml:space="preserve">. </w:t>
      </w:r>
      <w:r w:rsidR="005B33B8">
        <w:t xml:space="preserve">Enligt artikel 7.2 </w:t>
      </w:r>
      <w:r w:rsidR="005A4114">
        <w:t xml:space="preserve">i direktivet </w:t>
      </w:r>
      <w:r w:rsidR="005B33B8">
        <w:t>ska kommissionen senast den 23 december 2018 i en genomförandeakt fastställa en mall för tillgängli</w:t>
      </w:r>
      <w:r w:rsidR="005B33B8">
        <w:t>g</w:t>
      </w:r>
      <w:r w:rsidR="005B33B8">
        <w:t>hetsutlåtanden</w:t>
      </w:r>
      <w:r w:rsidR="005A4114">
        <w:t>a</w:t>
      </w:r>
      <w:r w:rsidR="005B33B8">
        <w:t xml:space="preserve">. </w:t>
      </w:r>
      <w:r w:rsidR="00A74171">
        <w:t>Således är det inte helt klart i dagsläget hur tillgängli</w:t>
      </w:r>
      <w:r w:rsidR="00A74171">
        <w:t>g</w:t>
      </w:r>
      <w:r w:rsidR="00A74171">
        <w:t>hetsutlåtandena ska se ut eller vad de ska innehålla.</w:t>
      </w:r>
    </w:p>
    <w:p w14:paraId="6BA89713" w14:textId="77777777" w:rsidR="00561890" w:rsidRDefault="00561890" w:rsidP="004322A0">
      <w:pPr>
        <w:pStyle w:val="ANormal"/>
      </w:pPr>
    </w:p>
    <w:p w14:paraId="349A1940" w14:textId="61E64DDE" w:rsidR="00472EFF" w:rsidRDefault="002651F7" w:rsidP="00771C32">
      <w:pPr>
        <w:pStyle w:val="RubrikD"/>
      </w:pPr>
      <w:r>
        <w:t xml:space="preserve">2.3.9 </w:t>
      </w:r>
      <w:r w:rsidR="00C86E7A" w:rsidRPr="00C86E7A">
        <w:t>Kommentarsfunktion</w:t>
      </w:r>
    </w:p>
    <w:p w14:paraId="7EF031F2" w14:textId="77777777" w:rsidR="002651F7" w:rsidRPr="002651F7" w:rsidRDefault="002651F7" w:rsidP="002651F7">
      <w:pPr>
        <w:pStyle w:val="Rubrikmellanrum"/>
      </w:pPr>
    </w:p>
    <w:p w14:paraId="38DFD0DD" w14:textId="1350AAC7" w:rsidR="00DB64CA" w:rsidRDefault="00DB64CA" w:rsidP="00097BC4">
      <w:pPr>
        <w:pStyle w:val="ANormal"/>
      </w:pPr>
      <w:r>
        <w:t>T</w:t>
      </w:r>
      <w:r w:rsidR="00673BEF">
        <w:t xml:space="preserve">illgänglighetsdirektivet </w:t>
      </w:r>
      <w:r w:rsidR="00A74171">
        <w:t>förutsätter</w:t>
      </w:r>
      <w:r w:rsidR="00673BEF">
        <w:t xml:space="preserve"> att det ska finnas en </w:t>
      </w:r>
      <w:r w:rsidR="00673BEF" w:rsidRPr="00673BEF">
        <w:t>kommentarsfunk</w:t>
      </w:r>
      <w:r w:rsidR="00673BEF" w:rsidRPr="00673BEF">
        <w:t>t</w:t>
      </w:r>
      <w:r w:rsidR="00673BEF" w:rsidRPr="00673BEF">
        <w:t xml:space="preserve">ion </w:t>
      </w:r>
      <w:r w:rsidR="00673BEF">
        <w:t>i anslutning till de webbplatser och mobila applikationer som är för</w:t>
      </w:r>
      <w:r w:rsidR="00673BEF">
        <w:t>e</w:t>
      </w:r>
      <w:r w:rsidR="00673BEF">
        <w:t xml:space="preserve">mål för tillgänglighetskraven. </w:t>
      </w:r>
      <w:r w:rsidR="00012779">
        <w:t xml:space="preserve">Enligt </w:t>
      </w:r>
      <w:r>
        <w:t xml:space="preserve">direktivet </w:t>
      </w:r>
      <w:r w:rsidR="00012779">
        <w:t>bör e</w:t>
      </w:r>
      <w:r w:rsidR="00012779" w:rsidRPr="00012779">
        <w:t>n kommentarsfunktion inrättas för att göra det möjligt för en person att underrätta den berörda o</w:t>
      </w:r>
      <w:r w:rsidR="00012779" w:rsidRPr="00012779">
        <w:t>f</w:t>
      </w:r>
      <w:r w:rsidR="00012779" w:rsidRPr="00012779">
        <w:t>fentliga myndigheten om fall där webbplatser eller mobila applikationer inte överensstämmer med tillgänglighetskrav</w:t>
      </w:r>
      <w:r>
        <w:t>en</w:t>
      </w:r>
      <w:r w:rsidR="00012779" w:rsidRPr="00012779">
        <w:t xml:space="preserve"> och att begära ut utesluten information. </w:t>
      </w:r>
      <w:r w:rsidR="00097BC4">
        <w:t>Med anledning av direktivets bestämmelse föreslår landskap</w:t>
      </w:r>
      <w:r w:rsidR="00097BC4">
        <w:t>s</w:t>
      </w:r>
      <w:r w:rsidR="00097BC4">
        <w:t>regeringen att det förs in bestämmelse</w:t>
      </w:r>
      <w:r>
        <w:t>r</w:t>
      </w:r>
      <w:r w:rsidR="00097BC4">
        <w:t xml:space="preserve"> i landskapslagen </w:t>
      </w:r>
      <w:r>
        <w:t>om att v</w:t>
      </w:r>
      <w:r w:rsidRPr="00DB64CA">
        <w:t>ar och en har en rätt att elektroniskt lämna in meddelanden till berörd myndighet om att webbplatsen eller den mobila applikationen inte anses vara förenlig med tillgänglighetskraven</w:t>
      </w:r>
      <w:r>
        <w:t xml:space="preserve">. </w:t>
      </w:r>
      <w:r w:rsidRPr="00DB64CA">
        <w:t>Myndigheten ska utan dröjsmål lämna ett svar på ett sådant meddelande.</w:t>
      </w:r>
    </w:p>
    <w:p w14:paraId="63558A80" w14:textId="54A461E1" w:rsidR="002651F7" w:rsidRDefault="002651F7" w:rsidP="00852104">
      <w:pPr>
        <w:pStyle w:val="ANormal"/>
      </w:pPr>
    </w:p>
    <w:p w14:paraId="565C0AB6" w14:textId="55DE70E5" w:rsidR="002651F7" w:rsidRDefault="00561890" w:rsidP="00771C32">
      <w:pPr>
        <w:pStyle w:val="RubrikD"/>
      </w:pPr>
      <w:r>
        <w:lastRenderedPageBreak/>
        <w:t xml:space="preserve">2.3.10 </w:t>
      </w:r>
      <w:r w:rsidR="00A66A46">
        <w:t>Rätt att få innehåll i en tillgänglig form</w:t>
      </w:r>
    </w:p>
    <w:p w14:paraId="5A54D8D2" w14:textId="77777777" w:rsidR="00561890" w:rsidRPr="00561890" w:rsidRDefault="00561890" w:rsidP="00561890">
      <w:pPr>
        <w:pStyle w:val="Rubrikmellanrum"/>
      </w:pPr>
    </w:p>
    <w:p w14:paraId="762D3355" w14:textId="519DE465" w:rsidR="00561890" w:rsidRDefault="00DB64CA" w:rsidP="00561890">
      <w:pPr>
        <w:pStyle w:val="ANormal"/>
      </w:pPr>
      <w:r>
        <w:t>T</w:t>
      </w:r>
      <w:r w:rsidR="00561890">
        <w:t xml:space="preserve">illgänglighetsdirektivet </w:t>
      </w:r>
      <w:r w:rsidR="00A74171">
        <w:t xml:space="preserve">föreskriver att </w:t>
      </w:r>
      <w:r w:rsidR="00561890">
        <w:t xml:space="preserve">det ska vara möjligt att </w:t>
      </w:r>
      <w:r w:rsidR="00561890" w:rsidRPr="00561890">
        <w:t>begära ut information som har uteslutits från tillgänglighetskraven</w:t>
      </w:r>
      <w:r w:rsidR="00561890">
        <w:t>. Av skäl 46 i d</w:t>
      </w:r>
      <w:r w:rsidR="00561890">
        <w:t>i</w:t>
      </w:r>
      <w:r w:rsidR="00561890">
        <w:t>rektivets ingress framgår att det som kan begäras ut är nödvändig informa</w:t>
      </w:r>
      <w:r w:rsidR="00561890">
        <w:t>t</w:t>
      </w:r>
      <w:r w:rsidR="00561890">
        <w:t>ion, inklusive tjänster och dokument. Av direktivet framgår att den infor</w:t>
      </w:r>
      <w:r w:rsidR="00561890">
        <w:t>m</w:t>
      </w:r>
      <w:r w:rsidR="00561890">
        <w:t xml:space="preserve">ation som efter begäran ska tillhandahållas är </w:t>
      </w:r>
      <w:r w:rsidR="00A74171">
        <w:t>sådan</w:t>
      </w:r>
      <w:r w:rsidR="00561890">
        <w:t xml:space="preserve"> som uteslutits från </w:t>
      </w:r>
      <w:r w:rsidR="00A74171">
        <w:t>til</w:t>
      </w:r>
      <w:r w:rsidR="00A74171">
        <w:t>l</w:t>
      </w:r>
      <w:r w:rsidR="00A74171">
        <w:t xml:space="preserve">gänglighetskraven </w:t>
      </w:r>
      <w:r w:rsidR="00561890">
        <w:t xml:space="preserve">för att tillgängliggörandet </w:t>
      </w:r>
      <w:r w:rsidR="00522210">
        <w:t>skulle utgöra en oproportio</w:t>
      </w:r>
      <w:r w:rsidR="00522210">
        <w:t>n</w:t>
      </w:r>
      <w:r w:rsidR="00522210">
        <w:t xml:space="preserve">ell börda </w:t>
      </w:r>
      <w:r w:rsidR="00561890">
        <w:t xml:space="preserve">eller </w:t>
      </w:r>
      <w:r w:rsidR="00522210">
        <w:t xml:space="preserve">för att informationen </w:t>
      </w:r>
      <w:r w:rsidR="00561890">
        <w:t>omfattas av undantagen i direktivet. Av skäl 46 framgår att en begäran ska vara berättigad och rimlig. Det blir tä</w:t>
      </w:r>
      <w:r w:rsidR="00561890">
        <w:t>m</w:t>
      </w:r>
      <w:r w:rsidR="00561890">
        <w:t xml:space="preserve">ligen oklart vad som avses med detta och en slutlig tolkning kan endast lämnas av EU-domstolen. </w:t>
      </w:r>
      <w:bookmarkStart w:id="21" w:name="_Hlk513554940"/>
      <w:r w:rsidR="00522210">
        <w:t>Landskapsregeringen anser att det varken är l</w:t>
      </w:r>
      <w:r w:rsidR="00522210">
        <w:t>o</w:t>
      </w:r>
      <w:r w:rsidR="00522210">
        <w:t xml:space="preserve">giskt eller rimligt att </w:t>
      </w:r>
      <w:r w:rsidR="00561890">
        <w:t>en myndighet först undantar en hel webbplats från tillgänglighetskraven</w:t>
      </w:r>
      <w:r w:rsidR="00522210">
        <w:t>,</w:t>
      </w:r>
      <w:r w:rsidR="00561890">
        <w:t xml:space="preserve"> </w:t>
      </w:r>
      <w:r w:rsidR="00522210">
        <w:t>t.ex. för att tillgängliggörandet skulle utgöra en oproportionell börda, för att s</w:t>
      </w:r>
      <w:r w:rsidR="00561890">
        <w:t xml:space="preserve">enare vara skyldig att </w:t>
      </w:r>
      <w:r w:rsidR="00576F21">
        <w:t>tillgän</w:t>
      </w:r>
      <w:r w:rsidR="00561890" w:rsidRPr="00561890">
        <w:t>gliggöra hela webbplatsen</w:t>
      </w:r>
      <w:r w:rsidR="002B5AD0">
        <w:t xml:space="preserve"> </w:t>
      </w:r>
      <w:r w:rsidR="00522210">
        <w:t>för någon som begär detta</w:t>
      </w:r>
      <w:r w:rsidR="002B5AD0">
        <w:t>.</w:t>
      </w:r>
      <w:bookmarkEnd w:id="21"/>
    </w:p>
    <w:p w14:paraId="2BEA49FB" w14:textId="314FE36A" w:rsidR="00433B11" w:rsidRDefault="00E768EA" w:rsidP="00E768EA">
      <w:pPr>
        <w:pStyle w:val="ANormal"/>
      </w:pPr>
      <w:r>
        <w:tab/>
      </w:r>
      <w:r w:rsidR="006E34BC">
        <w:t xml:space="preserve">Landskapsregeringen </w:t>
      </w:r>
      <w:r>
        <w:t>utgå</w:t>
      </w:r>
      <w:r w:rsidR="006E34BC">
        <w:t>r</w:t>
      </w:r>
      <w:r>
        <w:t xml:space="preserve"> från att </w:t>
      </w:r>
      <w:r w:rsidR="00930890">
        <w:t xml:space="preserve">en skyldighet att tillmötesgå </w:t>
      </w:r>
      <w:r>
        <w:t>en b</w:t>
      </w:r>
      <w:r>
        <w:t>e</w:t>
      </w:r>
      <w:r>
        <w:t xml:space="preserve">gäran om information bör knyta an till särskilda och konkreta behov som en enskild person har av </w:t>
      </w:r>
      <w:r w:rsidR="00522210">
        <w:t xml:space="preserve">den </w:t>
      </w:r>
      <w:r>
        <w:t xml:space="preserve">information som finns på </w:t>
      </w:r>
      <w:r w:rsidR="000A06AA">
        <w:t xml:space="preserve">en </w:t>
      </w:r>
      <w:r>
        <w:t>webbplats eller en mobil applikation</w:t>
      </w:r>
      <w:r w:rsidR="000A06AA">
        <w:t xml:space="preserve"> som uteslutits från tillgänglighetskraven</w:t>
      </w:r>
      <w:r>
        <w:t xml:space="preserve">. Det bör således handla om information som den enskilde visserligen har tillgång till, </w:t>
      </w:r>
      <w:r w:rsidR="00561890">
        <w:t xml:space="preserve">men </w:t>
      </w:r>
      <w:r>
        <w:t xml:space="preserve">som </w:t>
      </w:r>
      <w:bookmarkStart w:id="22" w:name="_Hlk513105255"/>
      <w:r>
        <w:t xml:space="preserve">personen </w:t>
      </w:r>
      <w:r w:rsidR="00561890">
        <w:t>inte kan ta del av till följd av sin funktionsnedsättning.</w:t>
      </w:r>
      <w:r w:rsidR="00D53029">
        <w:t xml:space="preserve"> </w:t>
      </w:r>
      <w:bookmarkEnd w:id="22"/>
      <w:r w:rsidR="00D53029">
        <w:t>Lan</w:t>
      </w:r>
      <w:r w:rsidR="00D53029">
        <w:t>d</w:t>
      </w:r>
      <w:r w:rsidR="00D53029">
        <w:t>skapsregeringen anser att en enskild persons rätt att få dylik information i en tillgänglig form ska vara bunden vid vilka specifika effekter informa</w:t>
      </w:r>
      <w:r w:rsidR="00D53029">
        <w:t>t</w:t>
      </w:r>
      <w:r w:rsidR="00D53029">
        <w:t xml:space="preserve">ionen får eller kan få för personen. Enligt förslaget ska rätten </w:t>
      </w:r>
      <w:r w:rsidR="00522210">
        <w:t xml:space="preserve">knytas till </w:t>
      </w:r>
      <w:r w:rsidR="00D53029">
        <w:t>det partsbegrepp som finns i annan landskaps- och rikslagstiftning</w:t>
      </w:r>
      <w:r w:rsidR="002B5AD0">
        <w:t xml:space="preserve">. </w:t>
      </w:r>
      <w:r w:rsidR="00591FB0">
        <w:t>O</w:t>
      </w:r>
      <w:r w:rsidR="00591FB0" w:rsidRPr="00591FB0">
        <w:t xml:space="preserve">m </w:t>
      </w:r>
      <w:r w:rsidR="00591FB0">
        <w:t>en e</w:t>
      </w:r>
      <w:r w:rsidR="00591FB0">
        <w:t>n</w:t>
      </w:r>
      <w:r w:rsidR="00591FB0">
        <w:t xml:space="preserve">skild </w:t>
      </w:r>
      <w:r w:rsidR="00591FB0" w:rsidRPr="00591FB0">
        <w:t xml:space="preserve">persons rätt, fördel eller skyldighet </w:t>
      </w:r>
      <w:r w:rsidR="00A66A46">
        <w:t xml:space="preserve">enligt lag </w:t>
      </w:r>
      <w:r w:rsidR="00591FB0">
        <w:t xml:space="preserve">kan </w:t>
      </w:r>
      <w:r w:rsidR="00522210">
        <w:t xml:space="preserve">direkt </w:t>
      </w:r>
      <w:r w:rsidR="00591FB0" w:rsidRPr="00591FB0">
        <w:t>påverkas av information</w:t>
      </w:r>
      <w:r w:rsidR="00522210">
        <w:t>en</w:t>
      </w:r>
      <w:r w:rsidR="00591FB0">
        <w:t xml:space="preserve"> som finns på webbplatsen eller den mobila applikationen ska </w:t>
      </w:r>
      <w:r w:rsidR="00522210">
        <w:t>denna</w:t>
      </w:r>
      <w:r w:rsidR="00591FB0">
        <w:t xml:space="preserve"> ges åt </w:t>
      </w:r>
      <w:r w:rsidR="00591FB0" w:rsidRPr="00591FB0">
        <w:t>person</w:t>
      </w:r>
      <w:r w:rsidR="00591FB0">
        <w:t>en</w:t>
      </w:r>
      <w:r w:rsidR="00591FB0" w:rsidRPr="00591FB0">
        <w:t xml:space="preserve"> i en form som uppfyller tillgänglighetskraven eller annars få innehållet på något annat </w:t>
      </w:r>
      <w:bookmarkStart w:id="23" w:name="_Hlk513555270"/>
      <w:r w:rsidR="00591FB0" w:rsidRPr="00591FB0">
        <w:t>sätt.</w:t>
      </w:r>
      <w:bookmarkEnd w:id="23"/>
    </w:p>
    <w:p w14:paraId="698CD555" w14:textId="12A476FE" w:rsidR="00433B11" w:rsidRDefault="00433B11" w:rsidP="00A66A46">
      <w:pPr>
        <w:pStyle w:val="ANormal"/>
      </w:pPr>
      <w:r>
        <w:tab/>
      </w:r>
      <w:r w:rsidR="0020575A">
        <w:t xml:space="preserve">Landskapsregeringen anser att enskilda personers rätt till information i tillgängligt format bör bindas vid en </w:t>
      </w:r>
      <w:r w:rsidR="008257E3">
        <w:t xml:space="preserve">sådan </w:t>
      </w:r>
      <w:r w:rsidR="0020575A">
        <w:t xml:space="preserve">flexibel </w:t>
      </w:r>
      <w:r>
        <w:t>n</w:t>
      </w:r>
      <w:r w:rsidR="0020575A">
        <w:t xml:space="preserve">orm eftersom </w:t>
      </w:r>
      <w:r w:rsidR="00A66A46">
        <w:t>omstä</w:t>
      </w:r>
      <w:r w:rsidR="00A66A46">
        <w:t>n</w:t>
      </w:r>
      <w:r w:rsidR="00A66A46">
        <w:t xml:space="preserve">digheterna i de enskilda fallen och enskilda personers behov av information uppvisar så stora variationer. </w:t>
      </w:r>
      <w:r w:rsidR="000325FF">
        <w:t>Till exempel kan det anses att en person direkt påverkas av de blanketter och den information som ansluter till ett til</w:t>
      </w:r>
      <w:r w:rsidR="000325FF">
        <w:t>l</w:t>
      </w:r>
      <w:r w:rsidR="000325FF">
        <w:t xml:space="preserve">ståndsförfarande som baserar sig på lag. </w:t>
      </w:r>
      <w:r w:rsidR="0020575A">
        <w:t>E</w:t>
      </w:r>
      <w:r w:rsidR="000325FF">
        <w:t>n person med funktionsnedsät</w:t>
      </w:r>
      <w:r w:rsidR="000325FF">
        <w:t>t</w:t>
      </w:r>
      <w:r w:rsidR="000325FF">
        <w:t xml:space="preserve">ning </w:t>
      </w:r>
      <w:r w:rsidR="0020575A">
        <w:t>ska</w:t>
      </w:r>
      <w:r>
        <w:t xml:space="preserve"> på begäran</w:t>
      </w:r>
      <w:r w:rsidR="0020575A">
        <w:t xml:space="preserve"> få sådana blanketter och sådan information </w:t>
      </w:r>
      <w:r w:rsidR="0020575A" w:rsidRPr="0020575A">
        <w:t>i en form som uppfyller tillgänglighetskraven eller annars få innehållet på något a</w:t>
      </w:r>
      <w:r w:rsidR="0020575A" w:rsidRPr="0020575A">
        <w:t>n</w:t>
      </w:r>
      <w:r w:rsidR="0020575A" w:rsidRPr="0020575A">
        <w:t>nat sätt</w:t>
      </w:r>
      <w:r w:rsidR="0020575A">
        <w:t>, om informationen inte finns på webbplats</w:t>
      </w:r>
      <w:r>
        <w:t>en</w:t>
      </w:r>
      <w:r w:rsidR="0020575A">
        <w:t xml:space="preserve"> eller </w:t>
      </w:r>
      <w:r>
        <w:t xml:space="preserve">den </w:t>
      </w:r>
      <w:r w:rsidR="0020575A">
        <w:t>mobil</w:t>
      </w:r>
      <w:r>
        <w:t>a</w:t>
      </w:r>
      <w:r w:rsidR="0020575A">
        <w:t xml:space="preserve"> a</w:t>
      </w:r>
      <w:r w:rsidR="0020575A">
        <w:t>p</w:t>
      </w:r>
      <w:r w:rsidR="0020575A">
        <w:t>plikation</w:t>
      </w:r>
      <w:r>
        <w:t>en</w:t>
      </w:r>
      <w:r w:rsidR="0020575A">
        <w:t xml:space="preserve"> i en tillgänglig form. </w:t>
      </w:r>
      <w:r w:rsidR="00A66A46">
        <w:t>Hänvisningen till något annat sätt innebär att myndigheten inte nödvändigtvis behöver ge informationen i en digital form.</w:t>
      </w:r>
      <w:r>
        <w:t xml:space="preserve"> </w:t>
      </w:r>
      <w:r w:rsidR="00A66A46">
        <w:t xml:space="preserve">Tillhandahållandet av informationen kan </w:t>
      </w:r>
      <w:r>
        <w:t xml:space="preserve">i vissa fall </w:t>
      </w:r>
      <w:r w:rsidR="00A66A46">
        <w:t xml:space="preserve">också ske </w:t>
      </w:r>
      <w:r w:rsidR="00A66A46" w:rsidRPr="00A66A46">
        <w:t xml:space="preserve">genom en muntlig redogörelse, om det innebär att </w:t>
      </w:r>
      <w:r w:rsidR="00A66A46">
        <w:t>personen</w:t>
      </w:r>
      <w:r w:rsidR="00A66A46" w:rsidRPr="00A66A46">
        <w:t xml:space="preserve"> kan ta del av informa</w:t>
      </w:r>
      <w:r w:rsidR="00A66A46" w:rsidRPr="00A66A46">
        <w:t>t</w:t>
      </w:r>
      <w:r w:rsidR="00A66A46" w:rsidRPr="00A66A46">
        <w:t xml:space="preserve">ionen på ett tillfredställande sätt. </w:t>
      </w:r>
      <w:r w:rsidR="007938D7">
        <w:t xml:space="preserve">Eftersom </w:t>
      </w:r>
      <w:r w:rsidR="00C939EA">
        <w:t>landskapsregeringen</w:t>
      </w:r>
      <w:r w:rsidR="007938D7">
        <w:t xml:space="preserve"> föreslå</w:t>
      </w:r>
      <w:r w:rsidR="00C939EA">
        <w:t>r</w:t>
      </w:r>
      <w:r w:rsidR="007938D7">
        <w:t xml:space="preserve"> att det i lagen ska fastställas en begränsad rätt för enskilda personer att få i</w:t>
      </w:r>
      <w:r w:rsidR="007938D7">
        <w:t>n</w:t>
      </w:r>
      <w:r w:rsidR="007938D7">
        <w:t xml:space="preserve">nehåll i en tillgänglig form ska </w:t>
      </w:r>
      <w:r>
        <w:t xml:space="preserve">myndigheten fatta ett förvaltningsbeslut om myndigheten inte </w:t>
      </w:r>
      <w:r w:rsidRPr="00433B11">
        <w:t>tillhandahåller innehållet enligt begäran.</w:t>
      </w:r>
      <w:r>
        <w:t xml:space="preserve"> Den som begärt att få innehållet ska sedan kunna överklaga detta beslut till förvaltning</w:t>
      </w:r>
      <w:r>
        <w:t>s</w:t>
      </w:r>
      <w:r>
        <w:t>domstolen.</w:t>
      </w:r>
    </w:p>
    <w:p w14:paraId="590AFF81" w14:textId="15F8DA9F" w:rsidR="007938D7" w:rsidRDefault="007938D7" w:rsidP="00A66A46">
      <w:pPr>
        <w:pStyle w:val="ANormal"/>
      </w:pPr>
    </w:p>
    <w:p w14:paraId="06E7C8AD" w14:textId="3801084A" w:rsidR="007938D7" w:rsidRDefault="00372ACE" w:rsidP="00771C32">
      <w:pPr>
        <w:pStyle w:val="RubrikD"/>
      </w:pPr>
      <w:r>
        <w:t>2.3.11 Tillsynen av tillgänglighetskraven</w:t>
      </w:r>
    </w:p>
    <w:p w14:paraId="0F008670" w14:textId="77777777" w:rsidR="00372ACE" w:rsidRPr="00372ACE" w:rsidRDefault="00372ACE" w:rsidP="00372ACE">
      <w:pPr>
        <w:pStyle w:val="Rubrikmellanrum"/>
      </w:pPr>
    </w:p>
    <w:p w14:paraId="35027560" w14:textId="453BEC1A" w:rsidR="00DD0A63" w:rsidRDefault="00516AD7" w:rsidP="00516AD7">
      <w:pPr>
        <w:pStyle w:val="ANormal"/>
      </w:pPr>
      <w:r>
        <w:t>T</w:t>
      </w:r>
      <w:r w:rsidR="00372ACE">
        <w:t xml:space="preserve">illgänglighetsdirektivet </w:t>
      </w:r>
      <w:r>
        <w:t xml:space="preserve">förutsätter att </w:t>
      </w:r>
      <w:r w:rsidR="00372ACE">
        <w:t xml:space="preserve">medlemsstaterna </w:t>
      </w:r>
      <w:r>
        <w:t xml:space="preserve">ska </w:t>
      </w:r>
      <w:r w:rsidR="00372ACE">
        <w:t>regelbundet övervaka att offentliga myndigheters webbplatser och mobila applikationer uppfyller tillgänglighetskraven. Enligt direktivet ska den exakta metoden för övervakning tas fram av kommissionen och presenteras i en genomf</w:t>
      </w:r>
      <w:r w:rsidR="00372ACE">
        <w:t>ö</w:t>
      </w:r>
      <w:r w:rsidR="00372ACE">
        <w:t xml:space="preserve">randeakt senast den 23 december 2018. </w:t>
      </w:r>
      <w:r w:rsidR="006A5DC5">
        <w:t xml:space="preserve">Därför </w:t>
      </w:r>
      <w:r>
        <w:t xml:space="preserve">är det i dagsläget inte klart </w:t>
      </w:r>
      <w:r w:rsidR="00372ACE">
        <w:t xml:space="preserve">hur övervakningen ska gå till </w:t>
      </w:r>
      <w:r w:rsidR="00DD0A63">
        <w:t xml:space="preserve">och </w:t>
      </w:r>
      <w:r>
        <w:t>övervaknings</w:t>
      </w:r>
      <w:r w:rsidR="00372ACE">
        <w:t>metode</w:t>
      </w:r>
      <w:r>
        <w:t>r</w:t>
      </w:r>
      <w:r w:rsidR="00372ACE">
        <w:t>n</w:t>
      </w:r>
      <w:r>
        <w:t>a</w:t>
      </w:r>
      <w:r w:rsidR="00372ACE">
        <w:t xml:space="preserve"> </w:t>
      </w:r>
      <w:r w:rsidR="00DD0A63">
        <w:t xml:space="preserve">kan </w:t>
      </w:r>
      <w:r w:rsidR="00372ACE">
        <w:t xml:space="preserve">komma att </w:t>
      </w:r>
      <w:r w:rsidR="00372ACE">
        <w:lastRenderedPageBreak/>
        <w:t xml:space="preserve">ändras i takt med teknikutvecklingen. </w:t>
      </w:r>
      <w:r w:rsidR="00DD0A63" w:rsidRPr="00DD0A63">
        <w:t>Enligt direktivet ska medlemsstaterna säkerställa att det finns ett effektivt och tillfredsställande uppföljningsförf</w:t>
      </w:r>
      <w:r w:rsidR="00DD0A63" w:rsidRPr="00DD0A63">
        <w:t>a</w:t>
      </w:r>
      <w:r w:rsidR="00DD0A63" w:rsidRPr="00DD0A63">
        <w:t xml:space="preserve">rande för att säkerställa </w:t>
      </w:r>
      <w:proofErr w:type="gramStart"/>
      <w:r w:rsidR="00DD0A63" w:rsidRPr="00DD0A63">
        <w:t>efterlevnaden</w:t>
      </w:r>
      <w:proofErr w:type="gramEnd"/>
      <w:r w:rsidR="00DD0A63" w:rsidRPr="00DD0A63">
        <w:t xml:space="preserve"> av tillgänglighetskraven. Enligt art</w:t>
      </w:r>
      <w:r w:rsidR="00DD0A63" w:rsidRPr="00DD0A63">
        <w:t>i</w:t>
      </w:r>
      <w:r w:rsidR="00DD0A63" w:rsidRPr="00DD0A63">
        <w:t xml:space="preserve">kel 9 </w:t>
      </w:r>
      <w:r>
        <w:t xml:space="preserve">i direktivet </w:t>
      </w:r>
      <w:r w:rsidR="00DD0A63" w:rsidRPr="00DD0A63">
        <w:t>ska medlemsstaterna genom nationella uppföljningsförf</w:t>
      </w:r>
      <w:r w:rsidR="00DD0A63" w:rsidRPr="00DD0A63">
        <w:t>a</w:t>
      </w:r>
      <w:r w:rsidR="00DD0A63" w:rsidRPr="00DD0A63">
        <w:t>randen säkerställa att var och en har möjlighet att kontakta en ombudsman.</w:t>
      </w:r>
    </w:p>
    <w:p w14:paraId="791B23D7" w14:textId="26DD815B" w:rsidR="00372ACE" w:rsidRDefault="00DD0A63" w:rsidP="00E768EA">
      <w:pPr>
        <w:pStyle w:val="ANormal"/>
      </w:pPr>
      <w:r>
        <w:tab/>
      </w:r>
      <w:r w:rsidR="00516AD7">
        <w:t>Lagförslaget utgår från att e</w:t>
      </w:r>
      <w:r w:rsidR="00516AD7" w:rsidRPr="00516AD7">
        <w:t xml:space="preserve">nskilda personer </w:t>
      </w:r>
      <w:r w:rsidR="00516AD7">
        <w:t>i</w:t>
      </w:r>
      <w:r w:rsidR="00516AD7" w:rsidRPr="00516AD7">
        <w:t xml:space="preserve"> första hand </w:t>
      </w:r>
      <w:r w:rsidR="00516AD7">
        <w:t>vänder sig till den myndighet som anses ha brister i webbplatsens eller den mobila appl</w:t>
      </w:r>
      <w:r w:rsidR="00516AD7">
        <w:t>i</w:t>
      </w:r>
      <w:r w:rsidR="00516AD7">
        <w:t xml:space="preserve">kationens tillgänglighet. Personen ska då kunna framföra </w:t>
      </w:r>
      <w:r w:rsidR="00516AD7" w:rsidRPr="00516AD7">
        <w:t>meddelanden eller klagomål elektroniskt till den berörda myndigheten om att tillgänglighet</w:t>
      </w:r>
      <w:r w:rsidR="00516AD7" w:rsidRPr="00516AD7">
        <w:t>s</w:t>
      </w:r>
      <w:r w:rsidR="00516AD7" w:rsidRPr="00516AD7">
        <w:t xml:space="preserve">kraven inte </w:t>
      </w:r>
      <w:proofErr w:type="gramStart"/>
      <w:r w:rsidR="00516AD7" w:rsidRPr="00516AD7">
        <w:t>efterlevs</w:t>
      </w:r>
      <w:proofErr w:type="gramEnd"/>
      <w:r w:rsidR="00516AD7" w:rsidRPr="00516AD7">
        <w:t>.</w:t>
      </w:r>
      <w:r w:rsidR="00516AD7">
        <w:t xml:space="preserve"> </w:t>
      </w:r>
      <w:r>
        <w:t>Enligt lagförslag</w:t>
      </w:r>
      <w:r w:rsidR="00900B75">
        <w:t>et</w:t>
      </w:r>
      <w:r>
        <w:t xml:space="preserve"> ska Ålands landskapsregering fu</w:t>
      </w:r>
      <w:r>
        <w:t>n</w:t>
      </w:r>
      <w:r>
        <w:t xml:space="preserve">gera som tillsynsmyndighet. </w:t>
      </w:r>
      <w:r w:rsidR="00516AD7">
        <w:t>V</w:t>
      </w:r>
      <w:r>
        <w:t xml:space="preserve">ar och en </w:t>
      </w:r>
      <w:r w:rsidR="00516AD7">
        <w:t xml:space="preserve">ska </w:t>
      </w:r>
      <w:r>
        <w:t xml:space="preserve">kunna </w:t>
      </w:r>
      <w:r w:rsidRPr="00DD0A63">
        <w:t>anföra klagomål hos landskapsregeringen om att myndigheternas webbplatser eller mobil</w:t>
      </w:r>
      <w:r w:rsidR="00C86BA1">
        <w:t xml:space="preserve">a </w:t>
      </w:r>
      <w:r w:rsidRPr="00DD0A63">
        <w:t>a</w:t>
      </w:r>
      <w:r w:rsidRPr="00DD0A63">
        <w:t>p</w:t>
      </w:r>
      <w:r w:rsidRPr="00DD0A63">
        <w:t xml:space="preserve">plikationer inte uppfyller </w:t>
      </w:r>
      <w:r>
        <w:t>tillgänglighets</w:t>
      </w:r>
      <w:r w:rsidRPr="00DD0A63">
        <w:t>kraven</w:t>
      </w:r>
      <w:r>
        <w:t>. I den föreslagna landskap</w:t>
      </w:r>
      <w:r>
        <w:t>s</w:t>
      </w:r>
      <w:r>
        <w:t xml:space="preserve">lagen </w:t>
      </w:r>
      <w:r w:rsidR="00563EA6">
        <w:t>ska n</w:t>
      </w:r>
      <w:r>
        <w:t xml:space="preserve">ärmare </w:t>
      </w:r>
      <w:r w:rsidR="00563EA6">
        <w:t xml:space="preserve">framgå </w:t>
      </w:r>
      <w:r>
        <w:t>vilka uppgifter och befogenheter landskapsreg</w:t>
      </w:r>
      <w:r>
        <w:t>e</w:t>
      </w:r>
      <w:r>
        <w:t xml:space="preserve">ringen har i samband med tillsynen. </w:t>
      </w:r>
      <w:r w:rsidR="00900B75">
        <w:t>I sista hand ska landskapsregeringen kunna ålägga</w:t>
      </w:r>
      <w:r w:rsidR="00563EA6">
        <w:t xml:space="preserve"> </w:t>
      </w:r>
      <w:r w:rsidR="00900B75">
        <w:t>myndigheter att uppfylla tillgänglighetskraven</w:t>
      </w:r>
      <w:r w:rsidR="00563EA6">
        <w:t xml:space="preserve"> och ett sådant</w:t>
      </w:r>
      <w:r w:rsidR="00900B75">
        <w:t xml:space="preserve"> </w:t>
      </w:r>
      <w:r w:rsidR="00563EA6">
        <w:t>åläggande ska kunna kombineras med vite.</w:t>
      </w:r>
    </w:p>
    <w:p w14:paraId="6D62F6CA" w14:textId="77777777" w:rsidR="00372ACE" w:rsidRDefault="00372ACE" w:rsidP="00E768EA">
      <w:pPr>
        <w:pStyle w:val="ANormal"/>
      </w:pPr>
    </w:p>
    <w:p w14:paraId="5FBFB9B0" w14:textId="1EF1B6EA" w:rsidR="009B567F" w:rsidRDefault="009B567F" w:rsidP="00771C32">
      <w:pPr>
        <w:pStyle w:val="RubrikD"/>
      </w:pPr>
      <w:r>
        <w:t>2.3.12. Övergångsbestämmelser</w:t>
      </w:r>
    </w:p>
    <w:p w14:paraId="3A02F79D" w14:textId="77777777" w:rsidR="00B109B1" w:rsidRPr="00B109B1" w:rsidRDefault="00B109B1" w:rsidP="00B109B1">
      <w:pPr>
        <w:pStyle w:val="Rubrikmellanrum"/>
      </w:pPr>
    </w:p>
    <w:p w14:paraId="387E5C17" w14:textId="2302EC57" w:rsidR="009B567F" w:rsidRDefault="009B567F" w:rsidP="009B567F">
      <w:pPr>
        <w:pStyle w:val="ANormal"/>
      </w:pPr>
      <w:r>
        <w:t>Tillgänglighetsdirektivet innehåller övergångsbestämmelser med olika grunder för genomförandet av tillgänglighetskraven. Enligt artikel 12.3 i d</w:t>
      </w:r>
      <w:r>
        <w:t>i</w:t>
      </w:r>
      <w:r>
        <w:t>rektivet ska medlemsstaterna tillämpa direktivets bestämmelser enligt fö</w:t>
      </w:r>
      <w:r>
        <w:t>l</w:t>
      </w:r>
      <w:r>
        <w:t>jande:</w:t>
      </w:r>
    </w:p>
    <w:p w14:paraId="629FB9EB" w14:textId="715EDE0E" w:rsidR="009B567F" w:rsidRDefault="009B567F" w:rsidP="009B567F">
      <w:pPr>
        <w:pStyle w:val="ANormal"/>
      </w:pPr>
      <w:r>
        <w:tab/>
        <w:t>a) För offentliga myndigheters webbplatser som inte offentliggjorts före den 23 september 2018 från och med den 23 september 2019.</w:t>
      </w:r>
    </w:p>
    <w:p w14:paraId="2685B4AD" w14:textId="77777777" w:rsidR="002A4664" w:rsidRDefault="009B567F" w:rsidP="009B567F">
      <w:pPr>
        <w:pStyle w:val="ANormal"/>
      </w:pPr>
      <w:r>
        <w:tab/>
        <w:t xml:space="preserve">b) För alla offentliga myndigheters webbplatser som inte omfattas av </w:t>
      </w:r>
      <w:r w:rsidR="002A4664">
        <w:t>punkt</w:t>
      </w:r>
      <w:r>
        <w:t xml:space="preserve"> a från och med den 23 september 2020.</w:t>
      </w:r>
    </w:p>
    <w:p w14:paraId="18302D9F" w14:textId="4C52C639" w:rsidR="009B567F" w:rsidRDefault="002A4664" w:rsidP="009B567F">
      <w:pPr>
        <w:pStyle w:val="ANormal"/>
      </w:pPr>
      <w:r>
        <w:tab/>
      </w:r>
      <w:r w:rsidR="009B567F">
        <w:t>c) För offentliga myndigheters mobila</w:t>
      </w:r>
      <w:r w:rsidR="00C86BA1">
        <w:t xml:space="preserve"> a</w:t>
      </w:r>
      <w:r w:rsidR="009B567F">
        <w:t>pplikationer från och med den 23 juni 2021.</w:t>
      </w:r>
    </w:p>
    <w:p w14:paraId="2C0002E2" w14:textId="6356CB44" w:rsidR="007E385C" w:rsidRDefault="002A4664" w:rsidP="009B567F">
      <w:pPr>
        <w:pStyle w:val="ANormal"/>
      </w:pPr>
      <w:r>
        <w:tab/>
      </w:r>
      <w:r w:rsidR="00301B37">
        <w:t xml:space="preserve">I landskapslagen förs in övergångsbestämmelser som motsvarar </w:t>
      </w:r>
      <w:r w:rsidR="00044FF6">
        <w:t>artikel 12.3 och t</w:t>
      </w:r>
      <w:r>
        <w:t xml:space="preserve">illgänglighetskraven </w:t>
      </w:r>
      <w:r w:rsidR="002B5AD0">
        <w:t xml:space="preserve">behöver </w:t>
      </w:r>
      <w:r>
        <w:t>inte tillämpas före det aktuella d</w:t>
      </w:r>
      <w:r>
        <w:t>a</w:t>
      </w:r>
      <w:r>
        <w:t xml:space="preserve">tumet infaller. I lagens övergångsbestämmelser </w:t>
      </w:r>
      <w:r w:rsidR="00301B37">
        <w:t xml:space="preserve">ska också </w:t>
      </w:r>
      <w:r>
        <w:t>föreskriv</w:t>
      </w:r>
      <w:r w:rsidR="00301B37">
        <w:t>a</w:t>
      </w:r>
      <w:r>
        <w:t xml:space="preserve">s om </w:t>
      </w:r>
      <w:r w:rsidR="00301B37">
        <w:t>sådana</w:t>
      </w:r>
      <w:r>
        <w:t xml:space="preserve"> tidsbegränsade undantag som ingår i </w:t>
      </w:r>
      <w:r w:rsidR="009B567F">
        <w:t>artikel 1.4</w:t>
      </w:r>
      <w:r w:rsidR="00C9052C">
        <w:t> </w:t>
      </w:r>
      <w:r w:rsidR="009B567F">
        <w:t>a, b, g och h i til</w:t>
      </w:r>
      <w:r w:rsidR="009B567F">
        <w:t>l</w:t>
      </w:r>
      <w:r w:rsidR="009B567F">
        <w:t>gänglighetsdirektivet</w:t>
      </w:r>
      <w:r>
        <w:t xml:space="preserve">. </w:t>
      </w:r>
      <w:r w:rsidR="00E576B1">
        <w:t xml:space="preserve">Dessa tidsbegränsade undantag gäller </w:t>
      </w:r>
      <w:r w:rsidR="00E576B1" w:rsidRPr="00E576B1">
        <w:t>filformat för dokument som offentliggjorts före den 23 september 2018</w:t>
      </w:r>
      <w:r w:rsidR="00E576B1">
        <w:t xml:space="preserve">, </w:t>
      </w:r>
      <w:r w:rsidR="00E576B1" w:rsidRPr="00E576B1">
        <w:t>förinspelade tidsberoende media</w:t>
      </w:r>
      <w:r w:rsidR="00E576B1">
        <w:t xml:space="preserve">, </w:t>
      </w:r>
      <w:r w:rsidR="00E576B1" w:rsidRPr="00E576B1">
        <w:t>webbplatser på intranät och extranät som har offen</w:t>
      </w:r>
      <w:r w:rsidR="00E576B1" w:rsidRPr="00E576B1">
        <w:t>t</w:t>
      </w:r>
      <w:r w:rsidR="00E576B1" w:rsidRPr="00E576B1">
        <w:t>liggjorts före den 23 september 2019</w:t>
      </w:r>
      <w:r w:rsidR="00E576B1">
        <w:t xml:space="preserve"> samt </w:t>
      </w:r>
      <w:r w:rsidR="00E576B1" w:rsidRPr="00E576B1">
        <w:t>webbplatser</w:t>
      </w:r>
      <w:r w:rsidR="00E576B1">
        <w:t xml:space="preserve"> och</w:t>
      </w:r>
      <w:r w:rsidR="00E576B1" w:rsidRPr="00E576B1">
        <w:t xml:space="preserve"> mobil</w:t>
      </w:r>
      <w:r w:rsidR="00E576B1">
        <w:t xml:space="preserve">a </w:t>
      </w:r>
      <w:r w:rsidR="00E576B1" w:rsidRPr="00E576B1">
        <w:t>appl</w:t>
      </w:r>
      <w:r w:rsidR="00E576B1" w:rsidRPr="00E576B1">
        <w:t>i</w:t>
      </w:r>
      <w:r w:rsidR="00E576B1" w:rsidRPr="00E576B1">
        <w:t>kationer som har arkiverats före den 23 september 2019</w:t>
      </w:r>
      <w:r w:rsidR="00E576B1">
        <w:t xml:space="preserve">. </w:t>
      </w:r>
      <w:r w:rsidR="007E385C" w:rsidRPr="007E385C">
        <w:t>Landskapsreg</w:t>
      </w:r>
      <w:r w:rsidR="007E385C" w:rsidRPr="007E385C">
        <w:t>e</w:t>
      </w:r>
      <w:r w:rsidR="007E385C" w:rsidRPr="007E385C">
        <w:t xml:space="preserve">ringen konstaterar </w:t>
      </w:r>
      <w:r w:rsidR="007E385C">
        <w:t xml:space="preserve">att </w:t>
      </w:r>
      <w:r w:rsidR="007E385C" w:rsidRPr="007E385C">
        <w:t>undantagen enligt artikel 1.4</w:t>
      </w:r>
      <w:r w:rsidR="00C9052C">
        <w:t> </w:t>
      </w:r>
      <w:r w:rsidR="007E385C" w:rsidRPr="007E385C">
        <w:t>a, b, g och h är tidsb</w:t>
      </w:r>
      <w:r w:rsidR="007E385C" w:rsidRPr="007E385C">
        <w:t>e</w:t>
      </w:r>
      <w:r w:rsidR="007E385C" w:rsidRPr="007E385C">
        <w:t>gränsade och därför är det mera ändamålsenligt att det föreskrivs om dessa undantag i anslutning till den föreslagna lagens övergångsbestämmelser</w:t>
      </w:r>
      <w:r w:rsidR="002B5AD0">
        <w:t>.</w:t>
      </w:r>
    </w:p>
    <w:p w14:paraId="1BD60CD6" w14:textId="2A7DBF56" w:rsidR="00935646" w:rsidRDefault="00935646" w:rsidP="00E258B0">
      <w:pPr>
        <w:pStyle w:val="ANormal"/>
      </w:pPr>
    </w:p>
    <w:p w14:paraId="60D2C665" w14:textId="35220C73" w:rsidR="001A3D02" w:rsidRDefault="007070F5" w:rsidP="00771C32">
      <w:pPr>
        <w:pStyle w:val="RubrikB"/>
      </w:pPr>
      <w:bookmarkStart w:id="24" w:name="_Toc524530394"/>
      <w:r>
        <w:t>3</w:t>
      </w:r>
      <w:r w:rsidR="00497BD4">
        <w:t>. Lagstiftningsbehörighet</w:t>
      </w:r>
      <w:bookmarkEnd w:id="24"/>
    </w:p>
    <w:p w14:paraId="768C246A" w14:textId="77777777" w:rsidR="00EE5AE7" w:rsidRPr="00EE5AE7" w:rsidRDefault="00EE5AE7" w:rsidP="00EE5AE7">
      <w:pPr>
        <w:pStyle w:val="Rubrikmellanrum"/>
      </w:pPr>
    </w:p>
    <w:p w14:paraId="1F82E5F9" w14:textId="13C0EA70" w:rsidR="00B60647" w:rsidRDefault="00C52661" w:rsidP="00053A21">
      <w:pPr>
        <w:pStyle w:val="ANormal"/>
      </w:pPr>
      <w:r>
        <w:t xml:space="preserve">Den föreslagna lagstiftningen gäller myndigheterna inom landskaps- och kommunalförvaltningen, närmare bestämt vilka </w:t>
      </w:r>
      <w:r w:rsidR="00B22EA6">
        <w:t>tillgänglighets</w:t>
      </w:r>
      <w:r>
        <w:t>krav deras webbplatser och mobila applikationer ska uppfylla. Enligt 18</w:t>
      </w:r>
      <w:r w:rsidR="000C71DD">
        <w:t> §</w:t>
      </w:r>
      <w:r>
        <w:t xml:space="preserve"> 1, 2 och 4</w:t>
      </w:r>
      <w:r w:rsidR="002F030A">
        <w:t> punkt</w:t>
      </w:r>
      <w:r>
        <w:t>erna i självstyrelselagen för Åland har landskapet lagstiftningsbeh</w:t>
      </w:r>
      <w:r>
        <w:t>ö</w:t>
      </w:r>
      <w:r>
        <w:t xml:space="preserve">righeten gällande </w:t>
      </w:r>
      <w:r w:rsidR="00053A21">
        <w:t>lagtingets organisation och uppgifter, landskapsregerin</w:t>
      </w:r>
      <w:r w:rsidR="00053A21">
        <w:t>g</w:t>
      </w:r>
      <w:r w:rsidR="00053A21">
        <w:t>en och under denna lydande myndigheter och inrättningar, landskapets tjänstemän samt kommunernas förvaltning och kommunernas tjänsteinn</w:t>
      </w:r>
      <w:r w:rsidR="00053A21">
        <w:t>e</w:t>
      </w:r>
      <w:r w:rsidR="00053A21">
        <w:t>havare</w:t>
      </w:r>
      <w:r>
        <w:t xml:space="preserve">. </w:t>
      </w:r>
      <w:r w:rsidR="00B60647">
        <w:t xml:space="preserve">Krav som ställs på webbplatser och mobila applikationer </w:t>
      </w:r>
      <w:r w:rsidR="005C22EE">
        <w:t xml:space="preserve">inom landskaps- och kommunalförvaltningen </w:t>
      </w:r>
      <w:r w:rsidR="002B5AD0">
        <w:t xml:space="preserve">gäller hur </w:t>
      </w:r>
      <w:r w:rsidR="00B60647">
        <w:t>myndigheterna</w:t>
      </w:r>
      <w:r w:rsidR="002B5AD0">
        <w:t xml:space="preserve"> </w:t>
      </w:r>
      <w:r w:rsidR="006D37B7">
        <w:t>bestä</w:t>
      </w:r>
      <w:r w:rsidR="006D37B7">
        <w:t>m</w:t>
      </w:r>
      <w:r w:rsidR="006D37B7">
        <w:t xml:space="preserve">mer </w:t>
      </w:r>
      <w:r w:rsidR="00E91270">
        <w:t>om</w:t>
      </w:r>
      <w:r w:rsidR="002B5AD0">
        <w:t xml:space="preserve"> </w:t>
      </w:r>
      <w:r w:rsidR="00E91270">
        <w:t xml:space="preserve">sina förvaltningsförfaranden och sin organisation. </w:t>
      </w:r>
      <w:r w:rsidR="00B60647">
        <w:t>Nyligen har a</w:t>
      </w:r>
      <w:r w:rsidR="00B60647">
        <w:t>n</w:t>
      </w:r>
      <w:r w:rsidR="00B60647">
        <w:t xml:space="preserve">tagits </w:t>
      </w:r>
      <w:r w:rsidR="005C22EE">
        <w:t xml:space="preserve">landskapslagstiftning om </w:t>
      </w:r>
      <w:r w:rsidR="00D85477">
        <w:t>elektronisk förvaltning som bl.a. föruts</w:t>
      </w:r>
      <w:r w:rsidR="00203F24">
        <w:t>ätter</w:t>
      </w:r>
      <w:r w:rsidR="00D85477">
        <w:t xml:space="preserve"> </w:t>
      </w:r>
      <w:r w:rsidR="00D85477">
        <w:lastRenderedPageBreak/>
        <w:t xml:space="preserve">att myndigheterna har </w:t>
      </w:r>
      <w:r w:rsidR="005C22EE">
        <w:t>elektronisk</w:t>
      </w:r>
      <w:r w:rsidR="00D85477">
        <w:t>a</w:t>
      </w:r>
      <w:r w:rsidR="005C22EE">
        <w:t xml:space="preserve"> anslagstavl</w:t>
      </w:r>
      <w:r w:rsidR="00D85477">
        <w:t>or</w:t>
      </w:r>
      <w:r w:rsidR="005C22EE">
        <w:t xml:space="preserve"> på </w:t>
      </w:r>
      <w:r w:rsidR="00D85477">
        <w:t xml:space="preserve">sina </w:t>
      </w:r>
      <w:r w:rsidR="005C22EE">
        <w:t>webbplatser</w:t>
      </w:r>
      <w:r w:rsidR="00E576B1">
        <w:t>.</w:t>
      </w:r>
      <w:r w:rsidR="00E576B1">
        <w:rPr>
          <w:rStyle w:val="Fotnotsreferens"/>
        </w:rPr>
        <w:footnoteReference w:id="14"/>
      </w:r>
      <w:r w:rsidR="00A009E1">
        <w:t xml:space="preserve"> Landskapsregeringen bedömer att det också faller inom ramen för lan</w:t>
      </w:r>
      <w:r w:rsidR="00A009E1">
        <w:t>d</w:t>
      </w:r>
      <w:r w:rsidR="00A009E1">
        <w:t>skapets lagstiftningsbehörighet att utsträcka tillgänglighetskraven till de o</w:t>
      </w:r>
      <w:r w:rsidR="00A009E1">
        <w:t>f</w:t>
      </w:r>
      <w:r w:rsidR="00A009E1">
        <w:t>fentligrättsliga organ som avses i den föreslagna lagens 3</w:t>
      </w:r>
      <w:r w:rsidR="000C71DD">
        <w:t> §</w:t>
      </w:r>
      <w:r w:rsidR="00A009E1">
        <w:t>.</w:t>
      </w:r>
    </w:p>
    <w:p w14:paraId="15932ADD" w14:textId="27125DE1" w:rsidR="005C22EE" w:rsidRDefault="005C22EE" w:rsidP="00053A21">
      <w:pPr>
        <w:pStyle w:val="ANormal"/>
      </w:pPr>
      <w:r>
        <w:tab/>
        <w:t xml:space="preserve">Vissa av de föreslagna bestämmelserna är av rikslagstiftningsnatur eller anknyter till riksbehörigheten. </w:t>
      </w:r>
      <w:r w:rsidR="00E91270">
        <w:t xml:space="preserve">Tillgänglighetsdirektivet och den föreslagna lagen </w:t>
      </w:r>
      <w:r w:rsidR="00CA0C7E">
        <w:t>hänvisar till tillgänglighetsstandarder som ska gälla för webbplatse</w:t>
      </w:r>
      <w:r w:rsidR="00CA0C7E">
        <w:t>r</w:t>
      </w:r>
      <w:r w:rsidR="00CA0C7E">
        <w:t>na och de mobila applikationerna. Standardisering hör till rikets lagstif</w:t>
      </w:r>
      <w:r w:rsidR="00CA0C7E">
        <w:t>t</w:t>
      </w:r>
      <w:r w:rsidR="00CA0C7E">
        <w:t>ningsbehörighet enligt 27</w:t>
      </w:r>
      <w:r w:rsidR="000C71DD">
        <w:t> §</w:t>
      </w:r>
      <w:r w:rsidR="00CA0C7E">
        <w:t xml:space="preserve"> 19</w:t>
      </w:r>
      <w:r w:rsidR="002F030A">
        <w:t> punkt</w:t>
      </w:r>
      <w:r w:rsidR="00CA0C7E">
        <w:t>en i självstyrelselagen. De föreslagna bestämmelserna om ändringssökande gäller rättsområdet rättskipning enligt 27</w:t>
      </w:r>
      <w:r w:rsidR="000C71DD">
        <w:t> §</w:t>
      </w:r>
      <w:r w:rsidR="00CA0C7E">
        <w:t xml:space="preserve"> 23</w:t>
      </w:r>
      <w:r w:rsidR="002F030A">
        <w:t> punkt</w:t>
      </w:r>
      <w:r w:rsidR="00CA0C7E">
        <w:t xml:space="preserve">en i självstyrelselagen. </w:t>
      </w:r>
      <w:r w:rsidR="00E91270" w:rsidRPr="00E91270">
        <w:t>Enligt 19</w:t>
      </w:r>
      <w:r w:rsidR="000C71DD">
        <w:t> §</w:t>
      </w:r>
      <w:r w:rsidR="00E91270" w:rsidRPr="00E91270">
        <w:t xml:space="preserve"> 3</w:t>
      </w:r>
      <w:r w:rsidR="000C71DD">
        <w:t> mom.</w:t>
      </w:r>
      <w:r w:rsidR="00E91270" w:rsidRPr="00E91270">
        <w:t xml:space="preserve"> i självstyrelsel</w:t>
      </w:r>
      <w:r w:rsidR="00E91270" w:rsidRPr="00E91270">
        <w:t>a</w:t>
      </w:r>
      <w:r w:rsidR="00E91270" w:rsidRPr="00E91270">
        <w:t>gen kan i en landskapslag för vinnande av enhetlighet och överskådlighet upptas stadganden av rikslagstiftningsnatur som i sak överensstämmer med motsvarande stadganden i rikslag.</w:t>
      </w:r>
      <w:r w:rsidR="00E91270">
        <w:t xml:space="preserve"> </w:t>
      </w:r>
      <w:r w:rsidR="00CF06D9" w:rsidRPr="00CF06D9">
        <w:t xml:space="preserve">Användningen och utformningen av de webbplatser och mobila applikationer som den föreslagna lagstiftningen gäller kan aktualisera tillämpning av annan rikslagstiftning. </w:t>
      </w:r>
      <w:r w:rsidR="0053673D">
        <w:t xml:space="preserve">Till exempel </w:t>
      </w:r>
      <w:r w:rsidR="00AD4B0C">
        <w:t>kan vissa tjänster på myndigheternas webbplatser förutsätta sådan identifi</w:t>
      </w:r>
      <w:r w:rsidR="00AD4B0C">
        <w:t>e</w:t>
      </w:r>
      <w:r w:rsidR="00AD4B0C">
        <w:t>ring eller autentisering som avses i</w:t>
      </w:r>
      <w:r w:rsidR="00CF06D9" w:rsidRPr="00CF06D9">
        <w:t xml:space="preserve"> lagen om stark autentisering och b</w:t>
      </w:r>
      <w:r w:rsidR="00CF06D9" w:rsidRPr="00CF06D9">
        <w:t>e</w:t>
      </w:r>
      <w:r w:rsidR="00CF06D9" w:rsidRPr="00CF06D9">
        <w:t>trodda elektroniska tjänster (FFS 617/2009)</w:t>
      </w:r>
      <w:r w:rsidR="00AD4B0C">
        <w:t>.</w:t>
      </w:r>
    </w:p>
    <w:p w14:paraId="3A4ACC53" w14:textId="0E709A36" w:rsidR="00323E17" w:rsidRDefault="00C52661" w:rsidP="00053A21">
      <w:pPr>
        <w:pStyle w:val="ANormal"/>
      </w:pPr>
      <w:r>
        <w:tab/>
        <w:t>Det huvudsakliga s</w:t>
      </w:r>
      <w:r w:rsidRPr="00C52661">
        <w:t>yftet med lagförslaget är att främja möjligheterna att använda myndigheternas webbplatser och mobila applikationer på lika vil</w:t>
      </w:r>
      <w:r w:rsidRPr="00C52661">
        <w:t>l</w:t>
      </w:r>
      <w:r w:rsidRPr="00C52661">
        <w:t>kor.</w:t>
      </w:r>
      <w:r>
        <w:t xml:space="preserve"> Framförallt ska lagstiftningen förhindra diskriminering på grund av funktionshinder. </w:t>
      </w:r>
      <w:r w:rsidRPr="00C52661">
        <w:t>Motverkande av diskriminering</w:t>
      </w:r>
      <w:r>
        <w:t xml:space="preserve"> eller </w:t>
      </w:r>
      <w:r w:rsidRPr="00C52661">
        <w:t>främjande av princ</w:t>
      </w:r>
      <w:r w:rsidRPr="00C52661">
        <w:t>i</w:t>
      </w:r>
      <w:r w:rsidRPr="00C52661">
        <w:t>pen om likabehandling berör olika rättsområden inom såväl landskapets som rikets behörighetsområden. Diskriminering omnämns inte som ett rättsområde i behörighetsförteckningarna i 18</w:t>
      </w:r>
      <w:r w:rsidR="000C71DD">
        <w:t> §</w:t>
      </w:r>
      <w:r w:rsidRPr="00C52661">
        <w:t>, 27</w:t>
      </w:r>
      <w:r w:rsidR="000C71DD">
        <w:t> §</w:t>
      </w:r>
      <w:r w:rsidRPr="00C52661">
        <w:t xml:space="preserve"> eller 29</w:t>
      </w:r>
      <w:r w:rsidR="000C71DD">
        <w:t> §</w:t>
      </w:r>
      <w:r w:rsidRPr="00C52661">
        <w:t xml:space="preserve"> i självst</w:t>
      </w:r>
      <w:r w:rsidRPr="00C52661">
        <w:t>y</w:t>
      </w:r>
      <w:r w:rsidRPr="00C52661">
        <w:t xml:space="preserve">relselagen. Bedömningen av frågan </w:t>
      </w:r>
      <w:r w:rsidR="00CA0C7E">
        <w:t xml:space="preserve">om </w:t>
      </w:r>
      <w:r w:rsidRPr="00C52661">
        <w:t xml:space="preserve">lagstiftningsbehörigheten inom detta rättsområde ankommer på landskapet eller riket blir därför beroende av innehållet i den konkreta regleringen. </w:t>
      </w:r>
      <w:r w:rsidR="00CA0C7E">
        <w:t xml:space="preserve">Enligt redovisningen ovan </w:t>
      </w:r>
      <w:r w:rsidR="00B60647">
        <w:t xml:space="preserve">ska olika krav som ställs på </w:t>
      </w:r>
      <w:r w:rsidR="00B61C87">
        <w:t>webbplatser och mobila applikationer inom lan</w:t>
      </w:r>
      <w:r w:rsidR="00B61C87">
        <w:t>d</w:t>
      </w:r>
      <w:r w:rsidR="00B61C87">
        <w:t>skaps- och kommunalförvaltningen anses falla inom landskapets behöri</w:t>
      </w:r>
      <w:r w:rsidR="00B61C87">
        <w:t>g</w:t>
      </w:r>
      <w:r w:rsidR="00B61C87">
        <w:t xml:space="preserve">het. </w:t>
      </w:r>
      <w:r w:rsidR="000C0309">
        <w:t>Det hör även till landskapets behörighet att m</w:t>
      </w:r>
      <w:r w:rsidR="000C0309" w:rsidRPr="000C0309">
        <w:t>otverka diskriminering e</w:t>
      </w:r>
      <w:r w:rsidR="000C0309" w:rsidRPr="000C0309">
        <w:t>l</w:t>
      </w:r>
      <w:r w:rsidR="000C0309" w:rsidRPr="000C0309">
        <w:t>ler främja likabehandling</w:t>
      </w:r>
      <w:r w:rsidR="000C0309">
        <w:t xml:space="preserve"> inom detta område. </w:t>
      </w:r>
      <w:r w:rsidRPr="00C52661">
        <w:t>Stadganden om diskrimin</w:t>
      </w:r>
      <w:r w:rsidRPr="00C52661">
        <w:t>e</w:t>
      </w:r>
      <w:r w:rsidRPr="00C52661">
        <w:t xml:space="preserve">ring blir </w:t>
      </w:r>
      <w:r w:rsidR="000C0309">
        <w:t xml:space="preserve">således </w:t>
      </w:r>
      <w:r w:rsidRPr="00C52661">
        <w:t xml:space="preserve">en integrerad del av de rättsregler som tillämpas </w:t>
      </w:r>
      <w:r w:rsidR="000C0309">
        <w:t xml:space="preserve">inom ett visst </w:t>
      </w:r>
      <w:r w:rsidRPr="00C52661">
        <w:t>område</w:t>
      </w:r>
      <w:r w:rsidR="006D37B7">
        <w:t>.</w:t>
      </w:r>
      <w:r w:rsidR="006D37B7">
        <w:rPr>
          <w:rStyle w:val="Fotnotsreferens"/>
        </w:rPr>
        <w:footnoteReference w:id="15"/>
      </w:r>
    </w:p>
    <w:p w14:paraId="165CFB5E" w14:textId="01350DA2" w:rsidR="00E04061" w:rsidRPr="001C2920" w:rsidRDefault="00CF06D9" w:rsidP="00705E1D">
      <w:pPr>
        <w:pStyle w:val="ANormal"/>
      </w:pPr>
      <w:r>
        <w:tab/>
      </w:r>
      <w:r w:rsidRPr="00CF06D9">
        <w:t>Riket har enligt 27</w:t>
      </w:r>
      <w:r w:rsidR="000C71DD">
        <w:t> §</w:t>
      </w:r>
      <w:r w:rsidRPr="00CF06D9">
        <w:t xml:space="preserve"> 1</w:t>
      </w:r>
      <w:r w:rsidR="002F030A">
        <w:t> punkt</w:t>
      </w:r>
      <w:r w:rsidRPr="00CF06D9">
        <w:t>en i självstyrelselagen lagstiftningsbehöri</w:t>
      </w:r>
      <w:r w:rsidRPr="00CF06D9">
        <w:t>g</w:t>
      </w:r>
      <w:r w:rsidRPr="00CF06D9">
        <w:t>het i fråga om stiftande, ändring och upphävande av grundlag samt avv</w:t>
      </w:r>
      <w:r w:rsidRPr="00CF06D9">
        <w:t>i</w:t>
      </w:r>
      <w:r w:rsidRPr="00CF06D9">
        <w:t>kelse från grundlag.</w:t>
      </w:r>
      <w:r>
        <w:t xml:space="preserve"> L</w:t>
      </w:r>
      <w:r w:rsidR="00705E1D">
        <w:t xml:space="preserve">agförslaget </w:t>
      </w:r>
      <w:r>
        <w:t xml:space="preserve">ska </w:t>
      </w:r>
      <w:r w:rsidR="00705E1D" w:rsidRPr="00705E1D">
        <w:t xml:space="preserve">främja </w:t>
      </w:r>
      <w:r w:rsidR="00705E1D">
        <w:t>m</w:t>
      </w:r>
      <w:r w:rsidR="00705E1D" w:rsidRPr="00705E1D">
        <w:t>öjligheter</w:t>
      </w:r>
      <w:r w:rsidR="00705E1D">
        <w:t>na</w:t>
      </w:r>
      <w:r w:rsidR="00705E1D" w:rsidRPr="00705E1D">
        <w:t xml:space="preserve"> att använda </w:t>
      </w:r>
      <w:r w:rsidR="00705E1D">
        <w:t xml:space="preserve">myndigheternas webbplatser och mobila applikationer </w:t>
      </w:r>
      <w:r w:rsidR="00705E1D" w:rsidRPr="00705E1D">
        <w:t>på lika villkor.</w:t>
      </w:r>
      <w:r w:rsidR="00705E1D">
        <w:t xml:space="preserve"> Denna målsättning knyter nära an till </w:t>
      </w:r>
      <w:r w:rsidR="00705E1D" w:rsidRPr="00705E1D">
        <w:t>6</w:t>
      </w:r>
      <w:r w:rsidR="000C71DD">
        <w:t> §</w:t>
      </w:r>
      <w:r w:rsidR="00705E1D" w:rsidRPr="00705E1D">
        <w:t xml:space="preserve"> i grundlagen </w:t>
      </w:r>
      <w:r w:rsidR="00705E1D">
        <w:t xml:space="preserve">som föreskriver att </w:t>
      </w:r>
      <w:r w:rsidR="00705E1D" w:rsidRPr="00705E1D">
        <w:t xml:space="preserve">alla </w:t>
      </w:r>
      <w:r w:rsidR="00705E1D">
        <w:t xml:space="preserve">är </w:t>
      </w:r>
      <w:r w:rsidR="00705E1D" w:rsidRPr="00705E1D">
        <w:t>lika inför lagen.</w:t>
      </w:r>
      <w:r w:rsidR="00705E1D">
        <w:t xml:space="preserve"> </w:t>
      </w:r>
      <w:r w:rsidR="00792860">
        <w:t>Enligt 6</w:t>
      </w:r>
      <w:r w:rsidR="000C71DD">
        <w:t> §</w:t>
      </w:r>
      <w:r w:rsidR="00792860">
        <w:t xml:space="preserve"> 2</w:t>
      </w:r>
      <w:r w:rsidR="000C71DD">
        <w:t> mom.</w:t>
      </w:r>
      <w:r w:rsidR="00792860">
        <w:t xml:space="preserve"> får i</w:t>
      </w:r>
      <w:r w:rsidR="00705E1D">
        <w:t xml:space="preserve">ngen utan godtagbart skäl särbehandlas på grund av kön, ålder, ursprung, språk, religion, övertygelse, åsikt, hälsotillstånd eller handikapp eller av någon annan orsak som gäller hans eller hennes person. </w:t>
      </w:r>
      <w:r w:rsidR="00792860" w:rsidRPr="00792860">
        <w:t>Icke-diskrimineringsbestämmelsen förbjuder inte all särbehandling av människor, inte ens när den beror på något av de krit</w:t>
      </w:r>
      <w:r w:rsidR="00792860" w:rsidRPr="00792860">
        <w:t>e</w:t>
      </w:r>
      <w:r w:rsidR="00792860" w:rsidRPr="00792860">
        <w:t xml:space="preserve">rier som nämns i momentet. Kraven på hur man motiverar särbehandling är emellertid höga särskilt i fråga om de förbjudna särbehandlingsgrunder som nämns i lagrummet, bland annat </w:t>
      </w:r>
      <w:r w:rsidR="00F21903">
        <w:t>handikapp</w:t>
      </w:r>
      <w:r>
        <w:t>.</w:t>
      </w:r>
      <w:r w:rsidR="00792860" w:rsidRPr="00792860">
        <w:t xml:space="preserve"> </w:t>
      </w:r>
      <w:r w:rsidR="00FD342F">
        <w:t>Grundlagens 6</w:t>
      </w:r>
      <w:r w:rsidR="000C71DD">
        <w:t> §</w:t>
      </w:r>
      <w:r w:rsidR="00FD342F">
        <w:t xml:space="preserve"> utgör inget hinder för nödvändig positiv särbehandling för att trygga den faktiska jä</w:t>
      </w:r>
      <w:r w:rsidR="00FD342F">
        <w:t>m</w:t>
      </w:r>
      <w:r w:rsidR="00FD342F">
        <w:t>likheten, det vill säga åtgärder som förbättrar ställningen och förhållandena för en viss grupp.</w:t>
      </w:r>
      <w:r w:rsidR="005660CC">
        <w:rPr>
          <w:rStyle w:val="Fotnotsreferens"/>
        </w:rPr>
        <w:footnoteReference w:id="16"/>
      </w:r>
      <w:r w:rsidR="001C2920">
        <w:t xml:space="preserve"> </w:t>
      </w:r>
      <w:r w:rsidR="00705E1D" w:rsidRPr="00705E1D">
        <w:t xml:space="preserve">De tillgänglighetskrav som </w:t>
      </w:r>
      <w:r w:rsidR="00705E1D">
        <w:t xml:space="preserve">föreslås </w:t>
      </w:r>
      <w:r w:rsidR="00705E1D" w:rsidRPr="00705E1D">
        <w:t>i lagen främjar fö</w:t>
      </w:r>
      <w:r w:rsidR="00705E1D" w:rsidRPr="00705E1D">
        <w:t>r</w:t>
      </w:r>
      <w:r w:rsidR="00705E1D" w:rsidRPr="00705E1D">
        <w:t>verkligandet av den i grundlagen avsedda jämlikheten</w:t>
      </w:r>
      <w:r w:rsidR="00E04061">
        <w:t>.</w:t>
      </w:r>
    </w:p>
    <w:p w14:paraId="5287B987" w14:textId="066B926B" w:rsidR="00166AFD" w:rsidRDefault="00C26431" w:rsidP="00705E1D">
      <w:pPr>
        <w:pStyle w:val="ANormal"/>
      </w:pPr>
      <w:r>
        <w:lastRenderedPageBreak/>
        <w:tab/>
        <w:t xml:space="preserve">Den föreslagna lagen ska också tillämpas i förhållande till kommunerna och de kommunala myndigheterna. </w:t>
      </w:r>
      <w:r w:rsidRPr="00C26431">
        <w:t>I 121</w:t>
      </w:r>
      <w:r w:rsidR="000C71DD">
        <w:t> §</w:t>
      </w:r>
      <w:r w:rsidRPr="00C26431">
        <w:t xml:space="preserve"> i grundlagen finns bestämme</w:t>
      </w:r>
      <w:r w:rsidRPr="00C26431">
        <w:t>l</w:t>
      </w:r>
      <w:r w:rsidRPr="00C26431">
        <w:t xml:space="preserve">ser om det kommunala självstyret, och enligt </w:t>
      </w:r>
      <w:r w:rsidR="005660CC">
        <w:t xml:space="preserve">paragrafens </w:t>
      </w:r>
      <w:r w:rsidRPr="00C26431">
        <w:t>2</w:t>
      </w:r>
      <w:r w:rsidR="000C71DD">
        <w:t> mom.</w:t>
      </w:r>
      <w:r w:rsidRPr="00C26431">
        <w:t xml:space="preserve"> utfärdas de allmänna grunderna för kommunernas förvaltning och de uppgifter som åläggs kommunerna genom lag. Enligt grundlagsutskottets ställningstaga</w:t>
      </w:r>
      <w:r w:rsidRPr="00C26431">
        <w:t>n</w:t>
      </w:r>
      <w:r w:rsidRPr="00C26431">
        <w:t>den kan man med vanlig lag inte ingripa i självstyrelsens mest centrala sä</w:t>
      </w:r>
      <w:r w:rsidRPr="00C26431">
        <w:t>r</w:t>
      </w:r>
      <w:r w:rsidRPr="00C26431">
        <w:t>drag på ett sådant sätt att den urholkas i sak</w:t>
      </w:r>
      <w:r w:rsidR="00E576B1">
        <w:t>.</w:t>
      </w:r>
      <w:r w:rsidR="005660CC">
        <w:rPr>
          <w:rStyle w:val="Fotnotsreferens"/>
        </w:rPr>
        <w:footnoteReference w:id="17"/>
      </w:r>
      <w:r w:rsidR="00E576B1">
        <w:t xml:space="preserve"> </w:t>
      </w:r>
      <w:r w:rsidRPr="00C26431">
        <w:t>De</w:t>
      </w:r>
      <w:r>
        <w:t>n föreslagna lagen inn</w:t>
      </w:r>
      <w:r>
        <w:t>e</w:t>
      </w:r>
      <w:r>
        <w:t xml:space="preserve">håller </w:t>
      </w:r>
      <w:r w:rsidRPr="00C26431">
        <w:t xml:space="preserve">nya skyldigheter </w:t>
      </w:r>
      <w:r>
        <w:t xml:space="preserve">för kommunerna och dessa </w:t>
      </w:r>
      <w:r w:rsidRPr="00C26431">
        <w:t xml:space="preserve">skyldigheter </w:t>
      </w:r>
      <w:r>
        <w:t xml:space="preserve">gäller </w:t>
      </w:r>
      <w:r w:rsidRPr="00C26431">
        <w:t>til</w:t>
      </w:r>
      <w:r w:rsidRPr="00C26431">
        <w:t>l</w:t>
      </w:r>
      <w:r w:rsidRPr="00C26431">
        <w:t xml:space="preserve">gänglighet </w:t>
      </w:r>
      <w:r>
        <w:t xml:space="preserve">till kommunernas webbplatser och mobila applikationer. </w:t>
      </w:r>
      <w:r w:rsidRPr="00C26431">
        <w:t>Grun</w:t>
      </w:r>
      <w:r w:rsidRPr="00C26431">
        <w:t>d</w:t>
      </w:r>
      <w:r w:rsidRPr="00C26431">
        <w:t>lagsutskottet har i sin praxis betonat att när kommunerna åläggs uppgifter ska det i enlighet med finansieringsprincipen också ses till att kommunerna har faktiska förutsättningar att klara av dem</w:t>
      </w:r>
      <w:r w:rsidR="00E576B1">
        <w:t xml:space="preserve">. </w:t>
      </w:r>
      <w:r w:rsidRPr="00C26431">
        <w:t>Skyldigheterna enligt den f</w:t>
      </w:r>
      <w:r w:rsidRPr="00C26431">
        <w:t>ö</w:t>
      </w:r>
      <w:r w:rsidRPr="00C26431">
        <w:t xml:space="preserve">reslagna lagen medför </w:t>
      </w:r>
      <w:r>
        <w:t xml:space="preserve">visserligen </w:t>
      </w:r>
      <w:r w:rsidRPr="00C26431">
        <w:t>i övergångsskedet utgifter för komm</w:t>
      </w:r>
      <w:r w:rsidRPr="00C26431">
        <w:t>u</w:t>
      </w:r>
      <w:r w:rsidRPr="00C26431">
        <w:t xml:space="preserve">nerna när </w:t>
      </w:r>
      <w:r>
        <w:t>webbplatser och mobila applikationer ska ut</w:t>
      </w:r>
      <w:r w:rsidRPr="00C26431">
        <w:t>formas enligt til</w:t>
      </w:r>
      <w:r w:rsidRPr="00C26431">
        <w:t>l</w:t>
      </w:r>
      <w:r w:rsidRPr="00C26431">
        <w:t xml:space="preserve">gänglighetskraven. </w:t>
      </w:r>
      <w:r w:rsidR="00166AFD">
        <w:t>Landskapsregeringen bedömer att det rör sig om sådant k</w:t>
      </w:r>
      <w:r w:rsidR="00166AFD" w:rsidRPr="00166AFD">
        <w:t xml:space="preserve">ontinuerligt underhåll av </w:t>
      </w:r>
      <w:r w:rsidR="00166AFD">
        <w:t xml:space="preserve">myndigheternas </w:t>
      </w:r>
      <w:r w:rsidR="00166AFD" w:rsidRPr="00166AFD">
        <w:t xml:space="preserve">digitala tjänster </w:t>
      </w:r>
      <w:r w:rsidR="00166AFD">
        <w:t>som hör till en myndighets normala verksamhet</w:t>
      </w:r>
      <w:r w:rsidR="001C2920">
        <w:t xml:space="preserve"> och att förslaget är förenligt med det ko</w:t>
      </w:r>
      <w:r w:rsidR="001C2920">
        <w:t>n</w:t>
      </w:r>
      <w:r w:rsidR="001C2920">
        <w:t>stitutionella skyddet för det kommunala självstyret</w:t>
      </w:r>
      <w:r w:rsidR="00166AFD">
        <w:t>.</w:t>
      </w:r>
    </w:p>
    <w:p w14:paraId="23563BA6" w14:textId="77777777" w:rsidR="00EE5AE7" w:rsidRPr="007070F5" w:rsidRDefault="00EE5AE7" w:rsidP="007070F5">
      <w:pPr>
        <w:pStyle w:val="ANormal"/>
      </w:pPr>
    </w:p>
    <w:p w14:paraId="6CAEADB2" w14:textId="77777777" w:rsidR="00840979" w:rsidRPr="00840979" w:rsidRDefault="0004279A" w:rsidP="00771C32">
      <w:pPr>
        <w:pStyle w:val="RubrikB"/>
      </w:pPr>
      <w:bookmarkStart w:id="25" w:name="_Toc524530395"/>
      <w:r>
        <w:t>4</w:t>
      </w:r>
      <w:r w:rsidR="00840979" w:rsidRPr="00840979">
        <w:t>. Landskapsregeringens förslag</w:t>
      </w:r>
      <w:bookmarkEnd w:id="25"/>
    </w:p>
    <w:p w14:paraId="044A6D5E" w14:textId="77777777" w:rsidR="009A400F" w:rsidRDefault="009A400F" w:rsidP="00E21687">
      <w:pPr>
        <w:pStyle w:val="Rubrikmellanrum"/>
      </w:pPr>
    </w:p>
    <w:p w14:paraId="5B8D0C4E" w14:textId="1FD44C55" w:rsidR="00016754" w:rsidRDefault="00667601" w:rsidP="00317B76">
      <w:pPr>
        <w:pStyle w:val="ANormal"/>
        <w:rPr>
          <w:szCs w:val="22"/>
        </w:rPr>
      </w:pPr>
      <w:r>
        <w:rPr>
          <w:szCs w:val="22"/>
        </w:rPr>
        <w:t xml:space="preserve">För att </w:t>
      </w:r>
      <w:r w:rsidR="00BD313B">
        <w:rPr>
          <w:szCs w:val="22"/>
        </w:rPr>
        <w:t xml:space="preserve">genomföra </w:t>
      </w:r>
      <w:r w:rsidR="00317B76">
        <w:rPr>
          <w:szCs w:val="22"/>
        </w:rPr>
        <w:t xml:space="preserve">tillgänglighetsdirektivet föreslår landskapsregeringen att </w:t>
      </w:r>
      <w:r w:rsidR="00317B76" w:rsidRPr="00317B76">
        <w:rPr>
          <w:szCs w:val="22"/>
        </w:rPr>
        <w:t>lagtinget antar en landskapslag om webbplatsers och mobil</w:t>
      </w:r>
      <w:r w:rsidR="00C86BA1">
        <w:rPr>
          <w:szCs w:val="22"/>
        </w:rPr>
        <w:t xml:space="preserve">a </w:t>
      </w:r>
      <w:r w:rsidR="00317B76" w:rsidRPr="00317B76">
        <w:rPr>
          <w:szCs w:val="22"/>
        </w:rPr>
        <w:t xml:space="preserve">applikationers tillgänglighet inom förvaltningen. </w:t>
      </w:r>
      <w:r w:rsidR="00C57714">
        <w:rPr>
          <w:szCs w:val="22"/>
        </w:rPr>
        <w:t xml:space="preserve">Den föreslagna lagens </w:t>
      </w:r>
      <w:r w:rsidR="00054C6C">
        <w:rPr>
          <w:szCs w:val="22"/>
        </w:rPr>
        <w:t>första kapitel</w:t>
      </w:r>
      <w:r w:rsidR="00C57714">
        <w:rPr>
          <w:szCs w:val="22"/>
        </w:rPr>
        <w:t xml:space="preserve"> i</w:t>
      </w:r>
      <w:r w:rsidR="00C57714">
        <w:rPr>
          <w:szCs w:val="22"/>
        </w:rPr>
        <w:t>n</w:t>
      </w:r>
      <w:r w:rsidR="00C57714">
        <w:rPr>
          <w:szCs w:val="22"/>
        </w:rPr>
        <w:t>nehåller allmänna bestämmelser om lagens syfte, tillämpningsområde, ce</w:t>
      </w:r>
      <w:r w:rsidR="00C57714">
        <w:rPr>
          <w:szCs w:val="22"/>
        </w:rPr>
        <w:t>n</w:t>
      </w:r>
      <w:r w:rsidR="00C57714">
        <w:rPr>
          <w:szCs w:val="22"/>
        </w:rPr>
        <w:t xml:space="preserve">trala definitioner och de myndigheter som är föremål för lagen. </w:t>
      </w:r>
      <w:r w:rsidR="00BD313B">
        <w:rPr>
          <w:szCs w:val="22"/>
        </w:rPr>
        <w:t>L</w:t>
      </w:r>
      <w:r w:rsidR="00317B76" w:rsidRPr="00317B76">
        <w:rPr>
          <w:szCs w:val="22"/>
        </w:rPr>
        <w:t>agens syfte är att var och en ska kunna använda webbplatser och mobila</w:t>
      </w:r>
      <w:r w:rsidR="00C86BA1">
        <w:rPr>
          <w:szCs w:val="22"/>
        </w:rPr>
        <w:t xml:space="preserve"> a</w:t>
      </w:r>
      <w:r w:rsidR="00317B76" w:rsidRPr="00317B76">
        <w:rPr>
          <w:szCs w:val="22"/>
        </w:rPr>
        <w:t>pplika</w:t>
      </w:r>
      <w:r w:rsidR="00317B76" w:rsidRPr="00317B76">
        <w:rPr>
          <w:szCs w:val="22"/>
        </w:rPr>
        <w:t>t</w:t>
      </w:r>
      <w:r w:rsidR="00317B76" w:rsidRPr="00317B76">
        <w:rPr>
          <w:szCs w:val="22"/>
        </w:rPr>
        <w:t>ioner som tillhandahålls av myndigheter inom landskaps- och kommuna</w:t>
      </w:r>
      <w:r w:rsidR="00317B76" w:rsidRPr="00317B76">
        <w:rPr>
          <w:szCs w:val="22"/>
        </w:rPr>
        <w:t>l</w:t>
      </w:r>
      <w:r w:rsidR="00317B76" w:rsidRPr="00317B76">
        <w:rPr>
          <w:szCs w:val="22"/>
        </w:rPr>
        <w:t>förvaltningen på lika villkor.</w:t>
      </w:r>
    </w:p>
    <w:p w14:paraId="31C99AE4" w14:textId="4D1DE892" w:rsidR="00317B76" w:rsidRDefault="00016754" w:rsidP="00317B76">
      <w:pPr>
        <w:pStyle w:val="ANormal"/>
        <w:rPr>
          <w:szCs w:val="22"/>
        </w:rPr>
      </w:pPr>
      <w:r>
        <w:rPr>
          <w:szCs w:val="22"/>
        </w:rPr>
        <w:tab/>
      </w:r>
      <w:r w:rsidR="00317B76">
        <w:rPr>
          <w:szCs w:val="22"/>
        </w:rPr>
        <w:t xml:space="preserve">Lagen </w:t>
      </w:r>
      <w:r w:rsidR="00BD313B">
        <w:rPr>
          <w:szCs w:val="22"/>
        </w:rPr>
        <w:t xml:space="preserve">gäller </w:t>
      </w:r>
      <w:r w:rsidR="00317B76" w:rsidRPr="00317B76">
        <w:rPr>
          <w:szCs w:val="22"/>
        </w:rPr>
        <w:t>webbplatser och mobila applikationer som tillhandhålls av myndigheter inom landskaps- och kommunalförvaltningen.</w:t>
      </w:r>
      <w:r w:rsidR="00317B76">
        <w:rPr>
          <w:szCs w:val="22"/>
        </w:rPr>
        <w:t xml:space="preserve"> De myndighe</w:t>
      </w:r>
      <w:r w:rsidR="00317B76">
        <w:rPr>
          <w:szCs w:val="22"/>
        </w:rPr>
        <w:t>t</w:t>
      </w:r>
      <w:r w:rsidR="00317B76">
        <w:rPr>
          <w:szCs w:val="22"/>
        </w:rPr>
        <w:t xml:space="preserve">er som avses är </w:t>
      </w:r>
      <w:r w:rsidR="00317B76" w:rsidRPr="00317B76">
        <w:rPr>
          <w:szCs w:val="22"/>
        </w:rPr>
        <w:t>landskapsregeringen, myndigheter och inrättningar som l</w:t>
      </w:r>
      <w:r w:rsidR="00317B76" w:rsidRPr="00317B76">
        <w:rPr>
          <w:szCs w:val="22"/>
        </w:rPr>
        <w:t>y</w:t>
      </w:r>
      <w:r w:rsidR="00317B76" w:rsidRPr="00317B76">
        <w:rPr>
          <w:szCs w:val="22"/>
        </w:rPr>
        <w:t>der under landskapsregeringen, förvaltning som är ansluten till Ålands la</w:t>
      </w:r>
      <w:r w:rsidR="00317B76" w:rsidRPr="00317B76">
        <w:rPr>
          <w:szCs w:val="22"/>
        </w:rPr>
        <w:t>g</w:t>
      </w:r>
      <w:r w:rsidR="00317B76" w:rsidRPr="00317B76">
        <w:rPr>
          <w:szCs w:val="22"/>
        </w:rPr>
        <w:t>ting, kommunala myndigheter, landskapets affärsverk samt juridiska och fysiska personer då de utför ett offentligt uppdrag med stöd av landskap</w:t>
      </w:r>
      <w:r w:rsidR="00317B76" w:rsidRPr="00317B76">
        <w:rPr>
          <w:szCs w:val="22"/>
        </w:rPr>
        <w:t>s</w:t>
      </w:r>
      <w:r w:rsidR="00317B76" w:rsidRPr="00317B76">
        <w:rPr>
          <w:szCs w:val="22"/>
        </w:rPr>
        <w:t>lag.</w:t>
      </w:r>
      <w:r w:rsidR="00317B76">
        <w:rPr>
          <w:szCs w:val="22"/>
        </w:rPr>
        <w:t xml:space="preserve"> Därtill ska lagen också tillämpas i förhållande till </w:t>
      </w:r>
      <w:r w:rsidR="00BD313B">
        <w:rPr>
          <w:szCs w:val="22"/>
        </w:rPr>
        <w:t>s.k.</w:t>
      </w:r>
      <w:r w:rsidR="00317B76">
        <w:rPr>
          <w:szCs w:val="22"/>
        </w:rPr>
        <w:t xml:space="preserve"> offentligrättsliga organ</w:t>
      </w:r>
      <w:r w:rsidR="00BD313B">
        <w:rPr>
          <w:szCs w:val="22"/>
        </w:rPr>
        <w:t xml:space="preserve">. </w:t>
      </w:r>
      <w:r w:rsidR="00317B76">
        <w:rPr>
          <w:szCs w:val="22"/>
        </w:rPr>
        <w:t>Vissa juridiska personer och visst innehåll på webbplatserna och de mobila applikationerna är inte föremål för lagens bestämmelser. Dessa u</w:t>
      </w:r>
      <w:r w:rsidR="00317B76">
        <w:rPr>
          <w:szCs w:val="22"/>
        </w:rPr>
        <w:t>n</w:t>
      </w:r>
      <w:r w:rsidR="00317B76">
        <w:rPr>
          <w:szCs w:val="22"/>
        </w:rPr>
        <w:t>dantag följer undantagen från tillgänglighetsdirektivets tillämpningso</w:t>
      </w:r>
      <w:r w:rsidR="00317B76">
        <w:rPr>
          <w:szCs w:val="22"/>
        </w:rPr>
        <w:t>m</w:t>
      </w:r>
      <w:r w:rsidR="00317B76">
        <w:rPr>
          <w:szCs w:val="22"/>
        </w:rPr>
        <w:t xml:space="preserve">råde. </w:t>
      </w:r>
      <w:r w:rsidR="00BD313B">
        <w:rPr>
          <w:szCs w:val="22"/>
        </w:rPr>
        <w:t>E</w:t>
      </w:r>
      <w:r w:rsidR="00317B76">
        <w:rPr>
          <w:szCs w:val="22"/>
        </w:rPr>
        <w:t xml:space="preserve">tt antal tidsbestämda undantag </w:t>
      </w:r>
      <w:r w:rsidR="00BD313B">
        <w:rPr>
          <w:szCs w:val="22"/>
        </w:rPr>
        <w:t xml:space="preserve">föreslås ingå i </w:t>
      </w:r>
      <w:r w:rsidR="00317B76">
        <w:rPr>
          <w:szCs w:val="22"/>
        </w:rPr>
        <w:t>lagens övergångsb</w:t>
      </w:r>
      <w:r w:rsidR="00317B76">
        <w:rPr>
          <w:szCs w:val="22"/>
        </w:rPr>
        <w:t>e</w:t>
      </w:r>
      <w:r w:rsidR="00317B76">
        <w:rPr>
          <w:szCs w:val="22"/>
        </w:rPr>
        <w:t>stämmelser. Även dessa undantag följer motsvarande temporära undantag i direktivet.</w:t>
      </w:r>
    </w:p>
    <w:p w14:paraId="077480F0" w14:textId="3B3D1B2C" w:rsidR="00BD313B" w:rsidRDefault="00317B76" w:rsidP="00317B76">
      <w:pPr>
        <w:pStyle w:val="ANormal"/>
        <w:rPr>
          <w:szCs w:val="22"/>
        </w:rPr>
      </w:pPr>
      <w:r>
        <w:rPr>
          <w:szCs w:val="22"/>
        </w:rPr>
        <w:tab/>
      </w:r>
      <w:r w:rsidR="00C57714">
        <w:rPr>
          <w:szCs w:val="22"/>
        </w:rPr>
        <w:t xml:space="preserve">I den föreslagna lagens </w:t>
      </w:r>
      <w:r w:rsidR="00054C6C">
        <w:rPr>
          <w:szCs w:val="22"/>
        </w:rPr>
        <w:t>andra kapitel</w:t>
      </w:r>
      <w:r w:rsidR="00C57714">
        <w:rPr>
          <w:szCs w:val="22"/>
        </w:rPr>
        <w:t xml:space="preserve"> finns bestämmelser </w:t>
      </w:r>
      <w:r w:rsidR="00C57714" w:rsidRPr="00C57714">
        <w:rPr>
          <w:szCs w:val="22"/>
        </w:rPr>
        <w:t xml:space="preserve">om </w:t>
      </w:r>
      <w:r w:rsidR="00BD313B">
        <w:rPr>
          <w:szCs w:val="22"/>
        </w:rPr>
        <w:t xml:space="preserve">de </w:t>
      </w:r>
      <w:r w:rsidR="00C57714" w:rsidRPr="00C57714">
        <w:rPr>
          <w:szCs w:val="22"/>
        </w:rPr>
        <w:t>tillgän</w:t>
      </w:r>
      <w:r w:rsidR="00C57714" w:rsidRPr="00C57714">
        <w:rPr>
          <w:szCs w:val="22"/>
        </w:rPr>
        <w:t>g</w:t>
      </w:r>
      <w:r w:rsidR="00C57714" w:rsidRPr="00C57714">
        <w:rPr>
          <w:szCs w:val="22"/>
        </w:rPr>
        <w:t>lighetskrav som grundar sig på</w:t>
      </w:r>
      <w:r w:rsidR="00C57714">
        <w:rPr>
          <w:szCs w:val="22"/>
        </w:rPr>
        <w:t xml:space="preserve"> </w:t>
      </w:r>
      <w:r w:rsidR="00C57714" w:rsidRPr="00C57714">
        <w:rPr>
          <w:szCs w:val="22"/>
        </w:rPr>
        <w:t xml:space="preserve">harmoniserade standarder eller delar av dem till vilka hänvisningar </w:t>
      </w:r>
      <w:r w:rsidR="00BD313B">
        <w:rPr>
          <w:szCs w:val="22"/>
        </w:rPr>
        <w:t xml:space="preserve">ska </w:t>
      </w:r>
      <w:r w:rsidR="00C57714" w:rsidRPr="00C57714">
        <w:rPr>
          <w:szCs w:val="22"/>
        </w:rPr>
        <w:t>offentligg</w:t>
      </w:r>
      <w:r w:rsidR="00BD313B">
        <w:rPr>
          <w:szCs w:val="22"/>
        </w:rPr>
        <w:t xml:space="preserve">öras </w:t>
      </w:r>
      <w:r w:rsidR="00C57714" w:rsidRPr="00C57714">
        <w:rPr>
          <w:szCs w:val="22"/>
        </w:rPr>
        <w:t>av</w:t>
      </w:r>
      <w:r w:rsidR="00C57714">
        <w:rPr>
          <w:szCs w:val="22"/>
        </w:rPr>
        <w:t xml:space="preserve"> </w:t>
      </w:r>
      <w:r w:rsidR="00C57714" w:rsidRPr="00C57714">
        <w:rPr>
          <w:szCs w:val="22"/>
        </w:rPr>
        <w:t>kommissionen i Europeiska u</w:t>
      </w:r>
      <w:r w:rsidR="00C57714" w:rsidRPr="00C57714">
        <w:rPr>
          <w:szCs w:val="22"/>
        </w:rPr>
        <w:t>n</w:t>
      </w:r>
      <w:r w:rsidR="00C57714" w:rsidRPr="00C57714">
        <w:rPr>
          <w:szCs w:val="22"/>
        </w:rPr>
        <w:t xml:space="preserve">ionens officiella tidning. </w:t>
      </w:r>
      <w:r w:rsidR="00C57714">
        <w:rPr>
          <w:szCs w:val="22"/>
        </w:rPr>
        <w:t xml:space="preserve">För att </w:t>
      </w:r>
      <w:r w:rsidR="00BD313B">
        <w:rPr>
          <w:szCs w:val="22"/>
        </w:rPr>
        <w:t xml:space="preserve">myndigheterna ska kunna </w:t>
      </w:r>
      <w:r w:rsidR="00C57714">
        <w:rPr>
          <w:szCs w:val="22"/>
        </w:rPr>
        <w:t>avvika från til</w:t>
      </w:r>
      <w:r w:rsidR="00C57714">
        <w:rPr>
          <w:szCs w:val="22"/>
        </w:rPr>
        <w:t>l</w:t>
      </w:r>
      <w:r w:rsidR="00C57714">
        <w:rPr>
          <w:szCs w:val="22"/>
        </w:rPr>
        <w:t xml:space="preserve">gänglighetskraven ska </w:t>
      </w:r>
      <w:r w:rsidR="00BD313B">
        <w:rPr>
          <w:szCs w:val="22"/>
        </w:rPr>
        <w:t>de</w:t>
      </w:r>
      <w:r w:rsidR="00C57714">
        <w:rPr>
          <w:szCs w:val="22"/>
        </w:rPr>
        <w:t xml:space="preserve"> göra en förhandsbedömning om att </w:t>
      </w:r>
      <w:r w:rsidR="00C57714" w:rsidRPr="00C57714">
        <w:rPr>
          <w:szCs w:val="22"/>
        </w:rPr>
        <w:t>de</w:t>
      </w:r>
      <w:r w:rsidR="00BD313B">
        <w:rPr>
          <w:szCs w:val="22"/>
        </w:rPr>
        <w:t>t skulle i</w:t>
      </w:r>
      <w:r w:rsidR="00BD313B">
        <w:rPr>
          <w:szCs w:val="22"/>
        </w:rPr>
        <w:t>n</w:t>
      </w:r>
      <w:r w:rsidR="00BD313B">
        <w:rPr>
          <w:szCs w:val="22"/>
        </w:rPr>
        <w:t xml:space="preserve">nebära en oproportionell börda att </w:t>
      </w:r>
      <w:r w:rsidR="00C57714" w:rsidRPr="00C57714">
        <w:rPr>
          <w:szCs w:val="22"/>
        </w:rPr>
        <w:t>iaktta tillgänglighetskraven</w:t>
      </w:r>
      <w:r w:rsidR="00BD313B">
        <w:rPr>
          <w:szCs w:val="22"/>
        </w:rPr>
        <w:t>. Landskap</w:t>
      </w:r>
      <w:r w:rsidR="00BD313B">
        <w:rPr>
          <w:szCs w:val="22"/>
        </w:rPr>
        <w:t>s</w:t>
      </w:r>
      <w:r w:rsidR="00BD313B">
        <w:rPr>
          <w:szCs w:val="22"/>
        </w:rPr>
        <w:t xml:space="preserve">regeringen </w:t>
      </w:r>
      <w:r w:rsidR="00C57714" w:rsidRPr="00C57714">
        <w:rPr>
          <w:szCs w:val="22"/>
        </w:rPr>
        <w:t>föreslå</w:t>
      </w:r>
      <w:r w:rsidR="00BD313B">
        <w:rPr>
          <w:szCs w:val="22"/>
        </w:rPr>
        <w:t>r</w:t>
      </w:r>
      <w:r w:rsidR="00C57714" w:rsidRPr="00C57714">
        <w:rPr>
          <w:szCs w:val="22"/>
        </w:rPr>
        <w:t xml:space="preserve"> också</w:t>
      </w:r>
      <w:r w:rsidR="00C57714">
        <w:rPr>
          <w:szCs w:val="22"/>
        </w:rPr>
        <w:t xml:space="preserve"> </w:t>
      </w:r>
      <w:r w:rsidR="00C57714" w:rsidRPr="00C57714">
        <w:rPr>
          <w:szCs w:val="22"/>
        </w:rPr>
        <w:t>en bestämmelse om tillgänglighetsutlåtanden</w:t>
      </w:r>
      <w:r w:rsidR="00BD313B">
        <w:rPr>
          <w:szCs w:val="22"/>
        </w:rPr>
        <w:t>. N</w:t>
      </w:r>
      <w:r w:rsidR="00C57714" w:rsidRPr="00C57714">
        <w:rPr>
          <w:szCs w:val="22"/>
        </w:rPr>
        <w:t xml:space="preserve">ärmare bestämmelser om innehållet i tillgänglighetsutlåtandena </w:t>
      </w:r>
      <w:r w:rsidR="00C57714">
        <w:rPr>
          <w:szCs w:val="22"/>
        </w:rPr>
        <w:t xml:space="preserve">ska </w:t>
      </w:r>
      <w:r w:rsidR="00C57714" w:rsidRPr="00C57714">
        <w:rPr>
          <w:szCs w:val="22"/>
        </w:rPr>
        <w:t>antas genom kommissionens</w:t>
      </w:r>
      <w:r w:rsidR="00C57714">
        <w:rPr>
          <w:szCs w:val="22"/>
        </w:rPr>
        <w:t xml:space="preserve"> </w:t>
      </w:r>
      <w:r w:rsidR="00C57714" w:rsidRPr="00C57714">
        <w:rPr>
          <w:szCs w:val="22"/>
        </w:rPr>
        <w:t>genomförandeakter</w:t>
      </w:r>
      <w:r w:rsidR="00C57714">
        <w:rPr>
          <w:szCs w:val="22"/>
        </w:rPr>
        <w:t xml:space="preserve">. </w:t>
      </w:r>
      <w:r w:rsidR="00BD313B">
        <w:rPr>
          <w:szCs w:val="22"/>
        </w:rPr>
        <w:t xml:space="preserve">Det ska finnas </w:t>
      </w:r>
      <w:r w:rsidR="00C57714">
        <w:rPr>
          <w:szCs w:val="22"/>
        </w:rPr>
        <w:t xml:space="preserve">en begränsad rätt för enskilda personer att </w:t>
      </w:r>
      <w:r w:rsidR="00C57714" w:rsidRPr="00C57714">
        <w:rPr>
          <w:szCs w:val="22"/>
        </w:rPr>
        <w:t>få innehåll i en form som uppfyller tillgängli</w:t>
      </w:r>
      <w:r w:rsidR="00C57714" w:rsidRPr="00C57714">
        <w:rPr>
          <w:szCs w:val="22"/>
        </w:rPr>
        <w:t>g</w:t>
      </w:r>
      <w:r w:rsidR="00C57714" w:rsidRPr="00C57714">
        <w:rPr>
          <w:szCs w:val="22"/>
        </w:rPr>
        <w:t>hetskraven eller på något annat sätt</w:t>
      </w:r>
      <w:r w:rsidR="00BD313B">
        <w:rPr>
          <w:szCs w:val="22"/>
        </w:rPr>
        <w:t>. Rätten ska gälla</w:t>
      </w:r>
      <w:r w:rsidR="00C57714">
        <w:rPr>
          <w:szCs w:val="22"/>
        </w:rPr>
        <w:t xml:space="preserve"> trots att </w:t>
      </w:r>
      <w:r w:rsidR="00DF5E3D">
        <w:rPr>
          <w:szCs w:val="22"/>
        </w:rPr>
        <w:t>myndigheten har uteslutit innehåll</w:t>
      </w:r>
      <w:r w:rsidR="00BD313B">
        <w:rPr>
          <w:szCs w:val="22"/>
        </w:rPr>
        <w:t>et</w:t>
      </w:r>
      <w:r w:rsidR="00DF5E3D">
        <w:rPr>
          <w:szCs w:val="22"/>
        </w:rPr>
        <w:t xml:space="preserve"> </w:t>
      </w:r>
      <w:r w:rsidR="00DF5E3D" w:rsidRPr="00DF5E3D">
        <w:rPr>
          <w:szCs w:val="22"/>
        </w:rPr>
        <w:t>från tillgänglighetskraven</w:t>
      </w:r>
      <w:r w:rsidR="00DF5E3D">
        <w:rPr>
          <w:szCs w:val="22"/>
        </w:rPr>
        <w:t>.</w:t>
      </w:r>
    </w:p>
    <w:p w14:paraId="7346CF9E" w14:textId="28FA3280" w:rsidR="00DF5E3D" w:rsidRDefault="00BD313B" w:rsidP="00DF5E3D">
      <w:pPr>
        <w:pStyle w:val="ANormal"/>
        <w:rPr>
          <w:szCs w:val="22"/>
        </w:rPr>
      </w:pPr>
      <w:r>
        <w:rPr>
          <w:szCs w:val="22"/>
        </w:rPr>
        <w:lastRenderedPageBreak/>
        <w:tab/>
      </w:r>
      <w:r w:rsidR="00DF5E3D">
        <w:rPr>
          <w:szCs w:val="22"/>
        </w:rPr>
        <w:t xml:space="preserve">I den föreslagna lagens </w:t>
      </w:r>
      <w:r w:rsidR="00054C6C">
        <w:rPr>
          <w:szCs w:val="22"/>
        </w:rPr>
        <w:t>tredje kapitel</w:t>
      </w:r>
      <w:r w:rsidR="00DF5E3D">
        <w:rPr>
          <w:szCs w:val="22"/>
        </w:rPr>
        <w:t xml:space="preserve"> ingår bestämmelser om tillsyn</w:t>
      </w:r>
      <w:r>
        <w:rPr>
          <w:szCs w:val="22"/>
        </w:rPr>
        <w:t xml:space="preserve"> och l</w:t>
      </w:r>
      <w:r w:rsidR="00DF5E3D" w:rsidRPr="00DF5E3D">
        <w:rPr>
          <w:szCs w:val="22"/>
        </w:rPr>
        <w:t>andskapsregering</w:t>
      </w:r>
      <w:r>
        <w:rPr>
          <w:szCs w:val="22"/>
        </w:rPr>
        <w:t>en</w:t>
      </w:r>
      <w:r w:rsidR="00DF5E3D" w:rsidRPr="00DF5E3D">
        <w:rPr>
          <w:szCs w:val="22"/>
        </w:rPr>
        <w:t xml:space="preserve"> </w:t>
      </w:r>
      <w:r>
        <w:rPr>
          <w:szCs w:val="22"/>
        </w:rPr>
        <w:t>föreslås vara t</w:t>
      </w:r>
      <w:r w:rsidR="00DF5E3D" w:rsidRPr="00DF5E3D">
        <w:rPr>
          <w:szCs w:val="22"/>
        </w:rPr>
        <w:t>illsynsmyndighet</w:t>
      </w:r>
      <w:r w:rsidR="00DF5E3D">
        <w:rPr>
          <w:szCs w:val="22"/>
        </w:rPr>
        <w:t xml:space="preserve">. </w:t>
      </w:r>
      <w:r w:rsidR="00DF5E3D" w:rsidRPr="00DF5E3D">
        <w:rPr>
          <w:szCs w:val="22"/>
        </w:rPr>
        <w:t xml:space="preserve">I den föreslagna lagen </w:t>
      </w:r>
      <w:r w:rsidR="00DF5E3D">
        <w:rPr>
          <w:szCs w:val="22"/>
        </w:rPr>
        <w:t xml:space="preserve">föreskrivs om de </w:t>
      </w:r>
      <w:r w:rsidR="00DF5E3D" w:rsidRPr="00DF5E3D">
        <w:rPr>
          <w:szCs w:val="22"/>
        </w:rPr>
        <w:t>uppgifter och befogenheter landskapsregeringen har i samband med tillsynen. I sista hand ska landskapsregeringen kunna ålägga, förstärkt med vite, myndigheter</w:t>
      </w:r>
      <w:r w:rsidR="00DF5E3D">
        <w:rPr>
          <w:szCs w:val="22"/>
        </w:rPr>
        <w:t>na</w:t>
      </w:r>
      <w:r w:rsidR="00DF5E3D" w:rsidRPr="00DF5E3D">
        <w:rPr>
          <w:szCs w:val="22"/>
        </w:rPr>
        <w:t xml:space="preserve"> att uppfylla tillgänglighetskraven.</w:t>
      </w:r>
      <w:r>
        <w:rPr>
          <w:szCs w:val="22"/>
        </w:rPr>
        <w:t xml:space="preserve"> </w:t>
      </w:r>
      <w:r w:rsidR="00DF5E3D">
        <w:rPr>
          <w:szCs w:val="22"/>
        </w:rPr>
        <w:t xml:space="preserve">I </w:t>
      </w:r>
      <w:r w:rsidR="003D719F">
        <w:rPr>
          <w:szCs w:val="22"/>
        </w:rPr>
        <w:t>fjärde kapitlet</w:t>
      </w:r>
      <w:r w:rsidR="00DF5E3D">
        <w:rPr>
          <w:szCs w:val="22"/>
        </w:rPr>
        <w:t xml:space="preserve"> föreslå</w:t>
      </w:r>
      <w:r>
        <w:rPr>
          <w:szCs w:val="22"/>
        </w:rPr>
        <w:t>r landskapsregeringen</w:t>
      </w:r>
      <w:r w:rsidR="00DF5E3D">
        <w:rPr>
          <w:szCs w:val="22"/>
        </w:rPr>
        <w:t xml:space="preserve"> bestämmelser om ändringss</w:t>
      </w:r>
      <w:r w:rsidR="00DF5E3D">
        <w:rPr>
          <w:szCs w:val="22"/>
        </w:rPr>
        <w:t>ö</w:t>
      </w:r>
      <w:r w:rsidR="00DF5E3D">
        <w:rPr>
          <w:szCs w:val="22"/>
        </w:rPr>
        <w:t>kande, ikraftträdande och övergångsbestämmelser. Ö</w:t>
      </w:r>
      <w:r w:rsidR="00DF5E3D" w:rsidRPr="00DF5E3D">
        <w:rPr>
          <w:szCs w:val="22"/>
        </w:rPr>
        <w:t>vergångsbestämme</w:t>
      </w:r>
      <w:r w:rsidR="00DF5E3D" w:rsidRPr="00DF5E3D">
        <w:rPr>
          <w:szCs w:val="22"/>
        </w:rPr>
        <w:t>l</w:t>
      </w:r>
      <w:r w:rsidR="00DF5E3D" w:rsidRPr="00DF5E3D">
        <w:rPr>
          <w:szCs w:val="22"/>
        </w:rPr>
        <w:t>ser</w:t>
      </w:r>
      <w:r w:rsidR="00DF5E3D">
        <w:rPr>
          <w:szCs w:val="22"/>
        </w:rPr>
        <w:t xml:space="preserve">na grundar sig </w:t>
      </w:r>
      <w:r w:rsidR="00DF5E3D" w:rsidRPr="00DF5E3D">
        <w:rPr>
          <w:szCs w:val="22"/>
        </w:rPr>
        <w:t>i huvudsak på övergångstiderna i tillgänglighetsdirekt</w:t>
      </w:r>
      <w:r w:rsidR="00DF5E3D" w:rsidRPr="00DF5E3D">
        <w:rPr>
          <w:szCs w:val="22"/>
        </w:rPr>
        <w:t>i</w:t>
      </w:r>
      <w:r w:rsidR="00DF5E3D" w:rsidRPr="00DF5E3D">
        <w:rPr>
          <w:szCs w:val="22"/>
        </w:rPr>
        <w:t>vet.</w:t>
      </w:r>
      <w:r w:rsidR="00DF5E3D">
        <w:rPr>
          <w:szCs w:val="22"/>
        </w:rPr>
        <w:t xml:space="preserve"> I lagen föreslås inte ett exakt datum för när lagen ska träda i kraft utan </w:t>
      </w:r>
      <w:r w:rsidR="00DF5E3D" w:rsidRPr="00DF5E3D">
        <w:rPr>
          <w:szCs w:val="22"/>
        </w:rPr>
        <w:t xml:space="preserve">datum för ikraftträdande </w:t>
      </w:r>
      <w:r w:rsidR="00DF5E3D">
        <w:rPr>
          <w:szCs w:val="22"/>
        </w:rPr>
        <w:t xml:space="preserve">lämnas </w:t>
      </w:r>
      <w:r w:rsidR="00DF5E3D" w:rsidRPr="00DF5E3D">
        <w:rPr>
          <w:szCs w:val="22"/>
        </w:rPr>
        <w:t>öppet för landskapsregeringen att fatta b</w:t>
      </w:r>
      <w:r w:rsidR="00DF5E3D" w:rsidRPr="00DF5E3D">
        <w:rPr>
          <w:szCs w:val="22"/>
        </w:rPr>
        <w:t>e</w:t>
      </w:r>
      <w:r w:rsidR="00DF5E3D" w:rsidRPr="00DF5E3D">
        <w:rPr>
          <w:szCs w:val="22"/>
        </w:rPr>
        <w:t>slut om i enlighet med 20</w:t>
      </w:r>
      <w:r w:rsidR="000C71DD">
        <w:rPr>
          <w:szCs w:val="22"/>
        </w:rPr>
        <w:t> §</w:t>
      </w:r>
      <w:r w:rsidR="00DF5E3D" w:rsidRPr="00DF5E3D">
        <w:rPr>
          <w:szCs w:val="22"/>
        </w:rPr>
        <w:t xml:space="preserve"> 2</w:t>
      </w:r>
      <w:r w:rsidR="000C71DD">
        <w:rPr>
          <w:szCs w:val="22"/>
        </w:rPr>
        <w:t> mom.</w:t>
      </w:r>
      <w:r w:rsidR="00DF5E3D" w:rsidRPr="00DF5E3D">
        <w:rPr>
          <w:szCs w:val="22"/>
        </w:rPr>
        <w:t xml:space="preserve"> i självstyrelselagen. Avsikten är att l</w:t>
      </w:r>
      <w:r w:rsidR="00DF5E3D" w:rsidRPr="00DF5E3D">
        <w:rPr>
          <w:szCs w:val="22"/>
        </w:rPr>
        <w:t>a</w:t>
      </w:r>
      <w:r w:rsidR="00DF5E3D" w:rsidRPr="00DF5E3D">
        <w:rPr>
          <w:szCs w:val="22"/>
        </w:rPr>
        <w:t>gen ska träda i kraft så snart som möjligt</w:t>
      </w:r>
      <w:r w:rsidR="00CB0C63">
        <w:rPr>
          <w:szCs w:val="22"/>
        </w:rPr>
        <w:t xml:space="preserve"> med tanke på att </w:t>
      </w:r>
      <w:r w:rsidR="00DF5E3D" w:rsidRPr="00DF5E3D">
        <w:rPr>
          <w:szCs w:val="22"/>
        </w:rPr>
        <w:t xml:space="preserve">direktivet </w:t>
      </w:r>
      <w:r w:rsidR="00DF5E3D">
        <w:rPr>
          <w:szCs w:val="22"/>
        </w:rPr>
        <w:t>föru</w:t>
      </w:r>
      <w:r w:rsidR="00DF5E3D">
        <w:rPr>
          <w:szCs w:val="22"/>
        </w:rPr>
        <w:t>t</w:t>
      </w:r>
      <w:r w:rsidR="00DF5E3D">
        <w:rPr>
          <w:szCs w:val="22"/>
        </w:rPr>
        <w:t>sätt</w:t>
      </w:r>
      <w:r w:rsidR="003F6303">
        <w:rPr>
          <w:szCs w:val="22"/>
        </w:rPr>
        <w:t>s</w:t>
      </w:r>
      <w:r w:rsidR="00DF5E3D">
        <w:rPr>
          <w:szCs w:val="22"/>
        </w:rPr>
        <w:t xml:space="preserve"> </w:t>
      </w:r>
      <w:r w:rsidR="00DF5E3D" w:rsidRPr="00DF5E3D">
        <w:rPr>
          <w:szCs w:val="22"/>
        </w:rPr>
        <w:t xml:space="preserve">vara genomfört </w:t>
      </w:r>
      <w:r w:rsidR="00DF5E3D">
        <w:rPr>
          <w:szCs w:val="22"/>
        </w:rPr>
        <w:t>på Åland</w:t>
      </w:r>
      <w:r w:rsidR="00CB0C63">
        <w:rPr>
          <w:szCs w:val="22"/>
        </w:rPr>
        <w:t xml:space="preserve"> före </w:t>
      </w:r>
      <w:r w:rsidR="00CB0C63" w:rsidRPr="00CB0C63">
        <w:rPr>
          <w:szCs w:val="22"/>
        </w:rPr>
        <w:t>den 23 september 2018</w:t>
      </w:r>
      <w:r w:rsidR="00DF5E3D">
        <w:rPr>
          <w:szCs w:val="22"/>
        </w:rPr>
        <w:t>.</w:t>
      </w:r>
    </w:p>
    <w:p w14:paraId="16993D95" w14:textId="77777777" w:rsidR="00016754" w:rsidRPr="0015505D" w:rsidRDefault="00016754">
      <w:pPr>
        <w:pStyle w:val="ANormal"/>
        <w:rPr>
          <w:szCs w:val="22"/>
        </w:rPr>
      </w:pPr>
    </w:p>
    <w:p w14:paraId="60B3086B" w14:textId="77777777" w:rsidR="00B67AC2" w:rsidRPr="00702E79" w:rsidRDefault="00840979" w:rsidP="00771C32">
      <w:pPr>
        <w:pStyle w:val="RubrikB"/>
        <w:rPr>
          <w:b/>
          <w:i/>
        </w:rPr>
      </w:pPr>
      <w:bookmarkStart w:id="26" w:name="_Toc524530396"/>
      <w:r>
        <w:t>5</w:t>
      </w:r>
      <w:r w:rsidR="00B67AC2" w:rsidRPr="00702E79">
        <w:t>. Förslagets verkningar</w:t>
      </w:r>
      <w:bookmarkEnd w:id="26"/>
    </w:p>
    <w:p w14:paraId="4F56C8E9" w14:textId="77777777" w:rsidR="001545A8" w:rsidRPr="001545A8" w:rsidRDefault="001545A8" w:rsidP="002C78D3">
      <w:pPr>
        <w:pStyle w:val="Rubrikmellanrum"/>
      </w:pPr>
    </w:p>
    <w:p w14:paraId="6E110FCE" w14:textId="12245AFA" w:rsidR="00F60147" w:rsidRDefault="00F60147" w:rsidP="00F60147">
      <w:pPr>
        <w:pStyle w:val="ANormal"/>
        <w:rPr>
          <w:szCs w:val="22"/>
        </w:rPr>
      </w:pPr>
      <w:r>
        <w:rPr>
          <w:szCs w:val="22"/>
        </w:rPr>
        <w:t xml:space="preserve">Tillgänglighetsdirektivet och den föreslagna lagen förutsätter att varje myndighet bl.a. </w:t>
      </w:r>
      <w:r w:rsidRPr="00F60147">
        <w:rPr>
          <w:szCs w:val="22"/>
        </w:rPr>
        <w:t>tillhandahåll</w:t>
      </w:r>
      <w:r w:rsidR="003D719F">
        <w:rPr>
          <w:szCs w:val="22"/>
        </w:rPr>
        <w:t>er</w:t>
      </w:r>
      <w:r w:rsidRPr="00F60147">
        <w:rPr>
          <w:szCs w:val="22"/>
        </w:rPr>
        <w:t xml:space="preserve"> tillgänglighetsutlåtande</w:t>
      </w:r>
      <w:r>
        <w:rPr>
          <w:szCs w:val="22"/>
        </w:rPr>
        <w:t>n och uppdatera</w:t>
      </w:r>
      <w:r w:rsidR="003D719F">
        <w:rPr>
          <w:szCs w:val="22"/>
        </w:rPr>
        <w:t>r</w:t>
      </w:r>
      <w:r>
        <w:rPr>
          <w:szCs w:val="22"/>
        </w:rPr>
        <w:t xml:space="preserve"> sina webbplatser och mobila applikationer så att de uppfyller tillgängli</w:t>
      </w:r>
      <w:r>
        <w:rPr>
          <w:szCs w:val="22"/>
        </w:rPr>
        <w:t>g</w:t>
      </w:r>
      <w:r>
        <w:rPr>
          <w:szCs w:val="22"/>
        </w:rPr>
        <w:t>hetskraven. Myndigheterna ska också hantera och besvara inkomna sy</w:t>
      </w:r>
      <w:r>
        <w:rPr>
          <w:szCs w:val="22"/>
        </w:rPr>
        <w:t>n</w:t>
      </w:r>
      <w:r>
        <w:rPr>
          <w:szCs w:val="22"/>
        </w:rPr>
        <w:t>punkter gällande webbplatsernas och de mobila applikationernas tillgän</w:t>
      </w:r>
      <w:r>
        <w:rPr>
          <w:szCs w:val="22"/>
        </w:rPr>
        <w:t>g</w:t>
      </w:r>
      <w:r>
        <w:rPr>
          <w:szCs w:val="22"/>
        </w:rPr>
        <w:t xml:space="preserve">lighet. </w:t>
      </w:r>
      <w:r w:rsidRPr="00F60147">
        <w:rPr>
          <w:szCs w:val="22"/>
        </w:rPr>
        <w:t>Kunskap samt resurser för att hantera detta måste således finnas hos varje enskild myndighet. Beträffande tillgänglighetsutlåtandet kan ett alte</w:t>
      </w:r>
      <w:r w:rsidRPr="00F60147">
        <w:rPr>
          <w:szCs w:val="22"/>
        </w:rPr>
        <w:t>r</w:t>
      </w:r>
      <w:r w:rsidRPr="00F60147">
        <w:rPr>
          <w:szCs w:val="22"/>
        </w:rPr>
        <w:t>nativ vara att detta köps som tjänst</w:t>
      </w:r>
      <w:r w:rsidR="003D719F">
        <w:rPr>
          <w:szCs w:val="22"/>
        </w:rPr>
        <w:t xml:space="preserve">, t.ex. så att </w:t>
      </w:r>
      <w:r w:rsidRPr="00F60147">
        <w:rPr>
          <w:szCs w:val="22"/>
        </w:rPr>
        <w:t xml:space="preserve">Åda Ab </w:t>
      </w:r>
      <w:r w:rsidR="003D719F">
        <w:rPr>
          <w:szCs w:val="22"/>
        </w:rPr>
        <w:t>upphandlar en lev</w:t>
      </w:r>
      <w:r w:rsidR="003D719F">
        <w:rPr>
          <w:szCs w:val="22"/>
        </w:rPr>
        <w:t>e</w:t>
      </w:r>
      <w:r w:rsidR="003D719F">
        <w:rPr>
          <w:szCs w:val="22"/>
        </w:rPr>
        <w:t xml:space="preserve">rantör som </w:t>
      </w:r>
      <w:r w:rsidRPr="00F60147">
        <w:rPr>
          <w:szCs w:val="22"/>
        </w:rPr>
        <w:t xml:space="preserve">tillhandahåller </w:t>
      </w:r>
      <w:r w:rsidR="003D719F">
        <w:rPr>
          <w:szCs w:val="22"/>
        </w:rPr>
        <w:t xml:space="preserve">en sådan </w:t>
      </w:r>
      <w:r w:rsidRPr="00F60147">
        <w:rPr>
          <w:szCs w:val="22"/>
        </w:rPr>
        <w:t>tjänst</w:t>
      </w:r>
      <w:r w:rsidR="003D719F">
        <w:rPr>
          <w:szCs w:val="22"/>
        </w:rPr>
        <w:t xml:space="preserve">. </w:t>
      </w:r>
      <w:r w:rsidRPr="00F60147">
        <w:rPr>
          <w:szCs w:val="22"/>
        </w:rPr>
        <w:t>Viktigt att notera är att det krävs kunskap om såväl den tekniska plattformen som innehållet för att utarbeta ett tillgänglighetsutlåtande.</w:t>
      </w:r>
    </w:p>
    <w:p w14:paraId="66F09D98" w14:textId="68424589" w:rsidR="006F0E56" w:rsidRPr="00DB378C" w:rsidRDefault="00F60147" w:rsidP="00DB378C">
      <w:pPr>
        <w:pStyle w:val="ANormal"/>
      </w:pPr>
      <w:r>
        <w:rPr>
          <w:szCs w:val="22"/>
        </w:rPr>
        <w:tab/>
      </w:r>
      <w:r w:rsidR="00624F55">
        <w:rPr>
          <w:szCs w:val="22"/>
        </w:rPr>
        <w:t xml:space="preserve">Det finns en </w:t>
      </w:r>
      <w:r w:rsidR="003D719F">
        <w:rPr>
          <w:szCs w:val="22"/>
        </w:rPr>
        <w:t>viss</w:t>
      </w:r>
      <w:r w:rsidR="00624F55">
        <w:rPr>
          <w:szCs w:val="22"/>
        </w:rPr>
        <w:t xml:space="preserve"> osäkerhet vad gäller de slutliga konsekvenserna för myndigheterna eftersom de slutliga </w:t>
      </w:r>
      <w:r w:rsidR="00786C53">
        <w:rPr>
          <w:szCs w:val="22"/>
        </w:rPr>
        <w:t xml:space="preserve">krav som tillgänglighetsdirektivet gör gällande inte finns i </w:t>
      </w:r>
      <w:r w:rsidR="00624F55">
        <w:rPr>
          <w:szCs w:val="22"/>
        </w:rPr>
        <w:t>dagsläget. Tillgänglighetsdirektivet baserar sig näml</w:t>
      </w:r>
      <w:r w:rsidR="00624F55">
        <w:rPr>
          <w:szCs w:val="22"/>
        </w:rPr>
        <w:t>i</w:t>
      </w:r>
      <w:r w:rsidR="00624F55">
        <w:rPr>
          <w:szCs w:val="22"/>
        </w:rPr>
        <w:t>gen på att de harmoniserade standarderna ska uppdateras och kommissio</w:t>
      </w:r>
      <w:r w:rsidR="00624F55">
        <w:rPr>
          <w:szCs w:val="22"/>
        </w:rPr>
        <w:t>n</w:t>
      </w:r>
      <w:r w:rsidR="00624F55">
        <w:rPr>
          <w:szCs w:val="22"/>
        </w:rPr>
        <w:t xml:space="preserve">en ska anta närmare bestämmelser gällande </w:t>
      </w:r>
      <w:r w:rsidR="00624F55" w:rsidRPr="00624F55">
        <w:rPr>
          <w:szCs w:val="22"/>
        </w:rPr>
        <w:t>tillsyn</w:t>
      </w:r>
      <w:r w:rsidR="00786C53">
        <w:rPr>
          <w:szCs w:val="22"/>
        </w:rPr>
        <w:t xml:space="preserve">, </w:t>
      </w:r>
      <w:r w:rsidR="00624F55" w:rsidRPr="00624F55">
        <w:rPr>
          <w:szCs w:val="22"/>
        </w:rPr>
        <w:t>rapportering</w:t>
      </w:r>
      <w:r w:rsidR="00786C53">
        <w:rPr>
          <w:szCs w:val="22"/>
        </w:rPr>
        <w:t xml:space="preserve"> och til</w:t>
      </w:r>
      <w:r w:rsidR="00786C53">
        <w:rPr>
          <w:szCs w:val="22"/>
        </w:rPr>
        <w:t>l</w:t>
      </w:r>
      <w:r w:rsidR="00786C53">
        <w:rPr>
          <w:szCs w:val="22"/>
        </w:rPr>
        <w:t xml:space="preserve">gänglighetsutlåtanden. </w:t>
      </w:r>
      <w:r w:rsidR="00624F55" w:rsidRPr="00624F55">
        <w:rPr>
          <w:szCs w:val="22"/>
        </w:rPr>
        <w:t>De viktigaste ekonomiska konsekvenserna av fö</w:t>
      </w:r>
      <w:r w:rsidR="00624F55" w:rsidRPr="00624F55">
        <w:rPr>
          <w:szCs w:val="22"/>
        </w:rPr>
        <w:t>r</w:t>
      </w:r>
      <w:r w:rsidR="00624F55" w:rsidRPr="00624F55">
        <w:rPr>
          <w:szCs w:val="22"/>
        </w:rPr>
        <w:t>slaget orsakas</w:t>
      </w:r>
      <w:r w:rsidR="00786C53">
        <w:rPr>
          <w:szCs w:val="22"/>
        </w:rPr>
        <w:t xml:space="preserve"> emellertid </w:t>
      </w:r>
      <w:r w:rsidR="00624F55" w:rsidRPr="00624F55">
        <w:rPr>
          <w:szCs w:val="22"/>
        </w:rPr>
        <w:t xml:space="preserve">av de i </w:t>
      </w:r>
      <w:r w:rsidR="00786C53">
        <w:rPr>
          <w:szCs w:val="22"/>
        </w:rPr>
        <w:t xml:space="preserve">lagens </w:t>
      </w:r>
      <w:r w:rsidR="003D719F">
        <w:rPr>
          <w:szCs w:val="22"/>
        </w:rPr>
        <w:t>andra kapitel</w:t>
      </w:r>
      <w:r w:rsidR="00624F55" w:rsidRPr="00624F55">
        <w:rPr>
          <w:szCs w:val="22"/>
        </w:rPr>
        <w:t xml:space="preserve"> ställda kraven</w:t>
      </w:r>
      <w:r w:rsidR="00786C53">
        <w:rPr>
          <w:szCs w:val="22"/>
        </w:rPr>
        <w:t xml:space="preserve">, särskilt av de </w:t>
      </w:r>
      <w:r w:rsidR="00786C53" w:rsidRPr="00786C53">
        <w:rPr>
          <w:szCs w:val="22"/>
        </w:rPr>
        <w:t xml:space="preserve">harmoniserade standarder eller delar av dem </w:t>
      </w:r>
      <w:r w:rsidR="00786C53">
        <w:rPr>
          <w:szCs w:val="22"/>
        </w:rPr>
        <w:t>som 5</w:t>
      </w:r>
      <w:r w:rsidR="000C71DD">
        <w:rPr>
          <w:szCs w:val="22"/>
        </w:rPr>
        <w:t> §</w:t>
      </w:r>
      <w:r w:rsidR="00786C53">
        <w:rPr>
          <w:szCs w:val="22"/>
        </w:rPr>
        <w:t xml:space="preserve"> 2</w:t>
      </w:r>
      <w:r w:rsidR="000C71DD">
        <w:rPr>
          <w:szCs w:val="22"/>
        </w:rPr>
        <w:t> mom.</w:t>
      </w:r>
      <w:r w:rsidR="00786C53">
        <w:rPr>
          <w:szCs w:val="22"/>
        </w:rPr>
        <w:t xml:space="preserve"> hänv</w:t>
      </w:r>
      <w:r w:rsidR="00786C53">
        <w:rPr>
          <w:szCs w:val="22"/>
        </w:rPr>
        <w:t>i</w:t>
      </w:r>
      <w:r w:rsidR="00786C53">
        <w:rPr>
          <w:szCs w:val="22"/>
        </w:rPr>
        <w:t xml:space="preserve">sar till. Enligt direktivet ska kommissionen offentliggöra </w:t>
      </w:r>
      <w:r w:rsidR="00786C53" w:rsidRPr="00786C53">
        <w:rPr>
          <w:szCs w:val="22"/>
        </w:rPr>
        <w:t xml:space="preserve">hänvisningar </w:t>
      </w:r>
      <w:r w:rsidR="00786C53">
        <w:rPr>
          <w:szCs w:val="22"/>
        </w:rPr>
        <w:t xml:space="preserve">till uppdaterade standarder </w:t>
      </w:r>
      <w:r w:rsidR="00786C53" w:rsidRPr="00786C53">
        <w:rPr>
          <w:szCs w:val="22"/>
        </w:rPr>
        <w:t>i Europeiska unionens officiella tidning</w:t>
      </w:r>
      <w:r w:rsidR="00786C53">
        <w:rPr>
          <w:szCs w:val="22"/>
        </w:rPr>
        <w:t>, både vad gäller standarder för webbplatser och mobila applikationer.</w:t>
      </w:r>
      <w:r w:rsidR="00793BFA">
        <w:rPr>
          <w:szCs w:val="22"/>
        </w:rPr>
        <w:t xml:space="preserve"> </w:t>
      </w:r>
      <w:r w:rsidR="006F0E56">
        <w:rPr>
          <w:szCs w:val="22"/>
        </w:rPr>
        <w:t xml:space="preserve">Det är också svårt att allmänt förutse vilka ekonomiska konsekvenser standarderna kan få eftersom </w:t>
      </w:r>
      <w:r w:rsidR="00786C53" w:rsidRPr="00786C53">
        <w:rPr>
          <w:szCs w:val="22"/>
        </w:rPr>
        <w:t>konsekvenser</w:t>
      </w:r>
      <w:r w:rsidR="006F0E56">
        <w:rPr>
          <w:szCs w:val="22"/>
        </w:rPr>
        <w:t>na</w:t>
      </w:r>
      <w:r w:rsidR="00786C53" w:rsidRPr="00786C53">
        <w:rPr>
          <w:szCs w:val="22"/>
        </w:rPr>
        <w:t xml:space="preserve"> för olika myndigheters verksamhet kan variera kraftigt.</w:t>
      </w:r>
      <w:r w:rsidR="006F0E56" w:rsidRPr="006F0E56">
        <w:t xml:space="preserve"> </w:t>
      </w:r>
      <w:r w:rsidR="006F0E56">
        <w:t>Som en jämförelse kan tas en beräkning som har gjorts i Sverige av de ekonomiska konsekvenserna av genomförandet av tillgänglighetsd</w:t>
      </w:r>
      <w:r w:rsidR="006F0E56">
        <w:t>i</w:t>
      </w:r>
      <w:r w:rsidR="006F0E56">
        <w:t>rektivet. I Sverige uppskattades direktivets ekonomiska konsekvenser för de berörda organisationerna till ca 15</w:t>
      </w:r>
      <w:proofErr w:type="gramStart"/>
      <w:r w:rsidR="006F0E56">
        <w:t>—</w:t>
      </w:r>
      <w:proofErr w:type="gramEnd"/>
      <w:r w:rsidR="006F0E56">
        <w:t>18 miljoner euro per år under åren 2018—2020.</w:t>
      </w:r>
      <w:r w:rsidR="00DB378C" w:rsidRPr="00DB378C">
        <w:t xml:space="preserve"> </w:t>
      </w:r>
      <w:r w:rsidR="00DB378C">
        <w:t xml:space="preserve">I riket har </w:t>
      </w:r>
      <w:r w:rsidR="00DB378C" w:rsidRPr="00DB378C">
        <w:t>konsekvenser</w:t>
      </w:r>
      <w:r w:rsidR="00DB378C">
        <w:t>na</w:t>
      </w:r>
      <w:r w:rsidR="00DB378C" w:rsidRPr="00DB378C">
        <w:t xml:space="preserve"> för statsfinanserna uppskatt</w:t>
      </w:r>
      <w:r w:rsidR="00DB378C">
        <w:t>ats till</w:t>
      </w:r>
      <w:r w:rsidR="00DB378C" w:rsidRPr="00DB378C">
        <w:t xml:space="preserve"> 25</w:t>
      </w:r>
      <w:proofErr w:type="gramStart"/>
      <w:r w:rsidR="00DB378C" w:rsidRPr="00DB378C">
        <w:t>—</w:t>
      </w:r>
      <w:proofErr w:type="gramEnd"/>
      <w:r w:rsidR="00DB378C" w:rsidRPr="00DB378C">
        <w:t xml:space="preserve">45 miljoner euro. </w:t>
      </w:r>
      <w:r w:rsidR="00DB378C">
        <w:t>Konsekvenserna för kommunernas och kommunfö</w:t>
      </w:r>
      <w:r w:rsidR="00DB378C">
        <w:t>r</w:t>
      </w:r>
      <w:r w:rsidR="00DB378C">
        <w:t>bundens ekonomi i riket har uppskattats till 45</w:t>
      </w:r>
      <w:proofErr w:type="gramStart"/>
      <w:r w:rsidR="00DB378C">
        <w:t>—</w:t>
      </w:r>
      <w:proofErr w:type="gramEnd"/>
      <w:r w:rsidR="00DB378C">
        <w:t>65 miljoner euro</w:t>
      </w:r>
      <w:r w:rsidR="0086553F" w:rsidRPr="0086553F">
        <w:t xml:space="preserve"> </w:t>
      </w:r>
      <w:r w:rsidR="0086553F">
        <w:t>(</w:t>
      </w:r>
      <w:r w:rsidR="0086553F" w:rsidRPr="0086553F">
        <w:t xml:space="preserve">RP 60/2018 </w:t>
      </w:r>
      <w:proofErr w:type="spellStart"/>
      <w:r w:rsidR="0086553F" w:rsidRPr="0086553F">
        <w:t>rd</w:t>
      </w:r>
      <w:proofErr w:type="spellEnd"/>
      <w:r w:rsidR="0086553F" w:rsidRPr="0086553F">
        <w:t>, s. 31–32</w:t>
      </w:r>
      <w:r w:rsidR="0086553F">
        <w:t>)</w:t>
      </w:r>
      <w:r w:rsidR="00DB378C">
        <w:t>.</w:t>
      </w:r>
    </w:p>
    <w:p w14:paraId="51E23BED" w14:textId="5F6DD3EB" w:rsidR="006F0E56" w:rsidRDefault="006F0E56" w:rsidP="00786C53">
      <w:pPr>
        <w:pStyle w:val="ANormal"/>
        <w:rPr>
          <w:szCs w:val="22"/>
        </w:rPr>
      </w:pPr>
      <w:r>
        <w:rPr>
          <w:szCs w:val="22"/>
        </w:rPr>
        <w:tab/>
      </w:r>
      <w:r w:rsidRPr="006F0E56">
        <w:rPr>
          <w:szCs w:val="22"/>
        </w:rPr>
        <w:t>Det har veterligen aldrig gjorts någon heltäckande utredning om anor</w:t>
      </w:r>
      <w:r w:rsidRPr="006F0E56">
        <w:rPr>
          <w:szCs w:val="22"/>
        </w:rPr>
        <w:t>d</w:t>
      </w:r>
      <w:r w:rsidRPr="006F0E56">
        <w:rPr>
          <w:szCs w:val="22"/>
        </w:rPr>
        <w:t>nande, utveckling och upprätthållande av digitala lösningar inom lan</w:t>
      </w:r>
      <w:r w:rsidRPr="006F0E56">
        <w:rPr>
          <w:szCs w:val="22"/>
        </w:rPr>
        <w:t>d</w:t>
      </w:r>
      <w:r w:rsidRPr="006F0E56">
        <w:rPr>
          <w:szCs w:val="22"/>
        </w:rPr>
        <w:t>skaps- och kommunalförvaltningen på Åland. En del av myndigheterna kan redan ha förberett sig på de tillgänglighetskrav som följer av den föreslagna lagen. För de myndigheter som inte alls har förberett sig kan konsekvense</w:t>
      </w:r>
      <w:r w:rsidRPr="006F0E56">
        <w:rPr>
          <w:szCs w:val="22"/>
        </w:rPr>
        <w:t>r</w:t>
      </w:r>
      <w:r w:rsidRPr="006F0E56">
        <w:rPr>
          <w:szCs w:val="22"/>
        </w:rPr>
        <w:t>na vara betydande. Därför är det viktigt att tillgänglighetskraven för web</w:t>
      </w:r>
      <w:r w:rsidRPr="006F0E56">
        <w:rPr>
          <w:szCs w:val="22"/>
        </w:rPr>
        <w:t>b</w:t>
      </w:r>
      <w:r w:rsidRPr="006F0E56">
        <w:rPr>
          <w:szCs w:val="22"/>
        </w:rPr>
        <w:t>platser och mobila applikationer beaktas inom ramen för den gemensamma utveckling av digitala lösningar som sker inom ramen för Åda Ab.</w:t>
      </w:r>
      <w:r>
        <w:rPr>
          <w:szCs w:val="22"/>
        </w:rPr>
        <w:t xml:space="preserve"> Dock är det klart att alla myndigheter orsakas </w:t>
      </w:r>
      <w:r w:rsidR="00786C53" w:rsidRPr="00786C53">
        <w:rPr>
          <w:szCs w:val="22"/>
        </w:rPr>
        <w:t xml:space="preserve">ekonomiska konsekvenser av </w:t>
      </w:r>
      <w:r>
        <w:rPr>
          <w:szCs w:val="22"/>
        </w:rPr>
        <w:t>de a</w:t>
      </w:r>
      <w:r>
        <w:rPr>
          <w:szCs w:val="22"/>
        </w:rPr>
        <w:t>d</w:t>
      </w:r>
      <w:r>
        <w:rPr>
          <w:szCs w:val="22"/>
        </w:rPr>
        <w:lastRenderedPageBreak/>
        <w:t>ministrativa rutiner och förfaranden som tillgänglighetsdirektivet och den föreslagna lagen förutsätter att ska finnas hos myndigheterna. Med detta avses bl.a. tillhandahållandet av tillgänglighetsutlåtanden på webbplatsen och i anslutning till de mobila applikationerna. De ekonomiska konsekve</w:t>
      </w:r>
      <w:r>
        <w:rPr>
          <w:szCs w:val="22"/>
        </w:rPr>
        <w:t>n</w:t>
      </w:r>
      <w:r>
        <w:rPr>
          <w:szCs w:val="22"/>
        </w:rPr>
        <w:t>serna är också beroende av i vilken mån myndigheterna avviker från til</w:t>
      </w:r>
      <w:r>
        <w:rPr>
          <w:szCs w:val="22"/>
        </w:rPr>
        <w:t>l</w:t>
      </w:r>
      <w:r>
        <w:rPr>
          <w:szCs w:val="22"/>
        </w:rPr>
        <w:t xml:space="preserve">gänglighetskrav för </w:t>
      </w:r>
      <w:r w:rsidRPr="006F0E56">
        <w:rPr>
          <w:szCs w:val="22"/>
        </w:rPr>
        <w:t>iakttagandet av kraven skulle lägga en oproportionell börda på</w:t>
      </w:r>
      <w:r>
        <w:rPr>
          <w:szCs w:val="22"/>
        </w:rPr>
        <w:t xml:space="preserve"> </w:t>
      </w:r>
      <w:r w:rsidRPr="006F0E56">
        <w:rPr>
          <w:szCs w:val="22"/>
        </w:rPr>
        <w:t>myndigheten.</w:t>
      </w:r>
    </w:p>
    <w:p w14:paraId="0C57A29E" w14:textId="4BE4C3A5" w:rsidR="00A64490" w:rsidRDefault="00A64490" w:rsidP="00786C53">
      <w:pPr>
        <w:pStyle w:val="ANormal"/>
        <w:rPr>
          <w:szCs w:val="22"/>
        </w:rPr>
      </w:pPr>
      <w:r>
        <w:rPr>
          <w:szCs w:val="22"/>
        </w:rPr>
        <w:tab/>
      </w:r>
      <w:r w:rsidRPr="00A64490">
        <w:rPr>
          <w:szCs w:val="22"/>
        </w:rPr>
        <w:t>Enlig lagförslaget föreslås landskapsregering</w:t>
      </w:r>
      <w:r>
        <w:rPr>
          <w:szCs w:val="22"/>
        </w:rPr>
        <w:t>en</w:t>
      </w:r>
      <w:r w:rsidRPr="00A64490">
        <w:rPr>
          <w:szCs w:val="22"/>
        </w:rPr>
        <w:t xml:space="preserve"> fungera som tillsyn</w:t>
      </w:r>
      <w:r w:rsidRPr="00A64490">
        <w:rPr>
          <w:szCs w:val="22"/>
        </w:rPr>
        <w:t>s</w:t>
      </w:r>
      <w:r w:rsidRPr="00A64490">
        <w:rPr>
          <w:szCs w:val="22"/>
        </w:rPr>
        <w:t xml:space="preserve">myndighet. På tillsynsmyndigheten ankommer </w:t>
      </w:r>
      <w:r>
        <w:rPr>
          <w:szCs w:val="22"/>
        </w:rPr>
        <w:t xml:space="preserve">ett antal uppgifter, bl.a. </w:t>
      </w:r>
      <w:r w:rsidRPr="00A64490">
        <w:rPr>
          <w:szCs w:val="22"/>
        </w:rPr>
        <w:t>att ge myndigheterna samt användarna allmänna anvisningar och rådgivning</w:t>
      </w:r>
      <w:r w:rsidR="00F60147">
        <w:rPr>
          <w:szCs w:val="22"/>
        </w:rPr>
        <w:t xml:space="preserve">. Landskapsregeringen ska också </w:t>
      </w:r>
      <w:r w:rsidRPr="00A64490">
        <w:rPr>
          <w:szCs w:val="22"/>
        </w:rPr>
        <w:t>övervaka och kontrollera att tillgängli</w:t>
      </w:r>
      <w:r w:rsidRPr="00A64490">
        <w:rPr>
          <w:szCs w:val="22"/>
        </w:rPr>
        <w:t>g</w:t>
      </w:r>
      <w:r w:rsidRPr="00A64490">
        <w:rPr>
          <w:szCs w:val="22"/>
        </w:rPr>
        <w:t>hetskraven iakttas</w:t>
      </w:r>
      <w:r w:rsidR="00F60147">
        <w:rPr>
          <w:szCs w:val="22"/>
        </w:rPr>
        <w:t xml:space="preserve"> samt behandla de </w:t>
      </w:r>
      <w:r w:rsidRPr="00A64490">
        <w:rPr>
          <w:szCs w:val="22"/>
        </w:rPr>
        <w:t>klagomål gällande tillgänglighet</w:t>
      </w:r>
      <w:r w:rsidR="00F60147">
        <w:rPr>
          <w:szCs w:val="22"/>
        </w:rPr>
        <w:t xml:space="preserve"> som görs. </w:t>
      </w:r>
      <w:r w:rsidRPr="00A64490">
        <w:rPr>
          <w:szCs w:val="22"/>
        </w:rPr>
        <w:t>Total</w:t>
      </w:r>
      <w:r w:rsidR="00E3501C">
        <w:rPr>
          <w:szCs w:val="22"/>
        </w:rPr>
        <w:t>t</w:t>
      </w:r>
      <w:r w:rsidRPr="00A64490">
        <w:rPr>
          <w:szCs w:val="22"/>
        </w:rPr>
        <w:t xml:space="preserve"> omfattar direktivet över trettio myndigheter</w:t>
      </w:r>
      <w:r w:rsidR="00F60147">
        <w:rPr>
          <w:szCs w:val="22"/>
        </w:rPr>
        <w:t xml:space="preserve"> och</w:t>
      </w:r>
      <w:r w:rsidRPr="00A64490">
        <w:rPr>
          <w:szCs w:val="22"/>
        </w:rPr>
        <w:t xml:space="preserve"> vissa myndi</w:t>
      </w:r>
      <w:r w:rsidRPr="00A64490">
        <w:rPr>
          <w:szCs w:val="22"/>
        </w:rPr>
        <w:t>g</w:t>
      </w:r>
      <w:r w:rsidRPr="00A64490">
        <w:rPr>
          <w:szCs w:val="22"/>
        </w:rPr>
        <w:t>heter kan ha flera webbplatser och mobila</w:t>
      </w:r>
      <w:r w:rsidR="00F60147">
        <w:rPr>
          <w:szCs w:val="22"/>
        </w:rPr>
        <w:t xml:space="preserve"> a</w:t>
      </w:r>
      <w:r w:rsidRPr="00A64490">
        <w:rPr>
          <w:szCs w:val="22"/>
        </w:rPr>
        <w:t xml:space="preserve">pplikationer. </w:t>
      </w:r>
      <w:r w:rsidR="00F60147" w:rsidRPr="00F60147">
        <w:rPr>
          <w:szCs w:val="22"/>
        </w:rPr>
        <w:t>Enligt lagförslaget bör den eller de tjänstemän inom landskapsregeringen som ansvarar för til</w:t>
      </w:r>
      <w:r w:rsidR="00F60147" w:rsidRPr="00F60147">
        <w:rPr>
          <w:szCs w:val="22"/>
        </w:rPr>
        <w:t>l</w:t>
      </w:r>
      <w:r w:rsidR="00F60147" w:rsidRPr="00F60147">
        <w:rPr>
          <w:szCs w:val="22"/>
        </w:rPr>
        <w:t xml:space="preserve">synen inte samtidigt ansvara för utvecklandet av landskapsregeringens webbplats samt mobila applikationer. </w:t>
      </w:r>
      <w:r w:rsidR="00F60147">
        <w:rPr>
          <w:szCs w:val="22"/>
        </w:rPr>
        <w:t>Sammantaget kommer t</w:t>
      </w:r>
      <w:r w:rsidR="00F60147" w:rsidRPr="00F60147">
        <w:rPr>
          <w:szCs w:val="22"/>
        </w:rPr>
        <w:t>illämpningen av den lagstiftning som implementerar direktivet att kräva utökade resurser hos landskapsregeringen.</w:t>
      </w:r>
    </w:p>
    <w:p w14:paraId="5203F690" w14:textId="206C7313" w:rsidR="0095566F" w:rsidRDefault="00DB378C" w:rsidP="00E403D6">
      <w:pPr>
        <w:pStyle w:val="ANormal"/>
        <w:rPr>
          <w:szCs w:val="22"/>
        </w:rPr>
      </w:pPr>
      <w:r>
        <w:rPr>
          <w:szCs w:val="22"/>
        </w:rPr>
        <w:tab/>
      </w:r>
      <w:r w:rsidRPr="00DB378C">
        <w:rPr>
          <w:szCs w:val="22"/>
        </w:rPr>
        <w:t xml:space="preserve">Förslaget har positiva konsekvenser </w:t>
      </w:r>
      <w:r>
        <w:rPr>
          <w:szCs w:val="22"/>
        </w:rPr>
        <w:t xml:space="preserve">för </w:t>
      </w:r>
      <w:r w:rsidRPr="00DB378C">
        <w:rPr>
          <w:szCs w:val="22"/>
        </w:rPr>
        <w:t>kunderna inom förvaltningen</w:t>
      </w:r>
      <w:r>
        <w:rPr>
          <w:szCs w:val="22"/>
        </w:rPr>
        <w:t xml:space="preserve"> </w:t>
      </w:r>
      <w:r w:rsidRPr="00DB378C">
        <w:rPr>
          <w:szCs w:val="22"/>
        </w:rPr>
        <w:t>och särskilt när det gäller möjligheterna för personer med funktionsnedsät</w:t>
      </w:r>
      <w:r w:rsidRPr="00DB378C">
        <w:rPr>
          <w:szCs w:val="22"/>
        </w:rPr>
        <w:t>t</w:t>
      </w:r>
      <w:r w:rsidRPr="00DB378C">
        <w:rPr>
          <w:szCs w:val="22"/>
        </w:rPr>
        <w:t>ning att sköta ärenden</w:t>
      </w:r>
      <w:r>
        <w:rPr>
          <w:szCs w:val="22"/>
        </w:rPr>
        <w:t xml:space="preserve"> digitalt</w:t>
      </w:r>
      <w:r w:rsidRPr="00DB378C">
        <w:rPr>
          <w:szCs w:val="22"/>
        </w:rPr>
        <w:t xml:space="preserve"> hos myndigheterna</w:t>
      </w:r>
      <w:r>
        <w:rPr>
          <w:szCs w:val="22"/>
        </w:rPr>
        <w:t xml:space="preserve">. </w:t>
      </w:r>
      <w:r w:rsidRPr="00DB378C">
        <w:rPr>
          <w:szCs w:val="22"/>
        </w:rPr>
        <w:t>Tillgängligheten gör det möjligt för en större grupp än nu att använda</w:t>
      </w:r>
      <w:r>
        <w:rPr>
          <w:szCs w:val="22"/>
        </w:rPr>
        <w:t xml:space="preserve"> webbplatser och mobila a</w:t>
      </w:r>
      <w:r>
        <w:rPr>
          <w:szCs w:val="22"/>
        </w:rPr>
        <w:t>p</w:t>
      </w:r>
      <w:r>
        <w:rPr>
          <w:szCs w:val="22"/>
        </w:rPr>
        <w:t>plikationer,</w:t>
      </w:r>
      <w:r w:rsidRPr="00DB378C">
        <w:rPr>
          <w:szCs w:val="22"/>
        </w:rPr>
        <w:t xml:space="preserve"> särskilt de användargrupper som lider av nuvarande tjänsters tekniska</w:t>
      </w:r>
      <w:r>
        <w:rPr>
          <w:szCs w:val="22"/>
        </w:rPr>
        <w:t xml:space="preserve"> </w:t>
      </w:r>
      <w:r w:rsidRPr="00DB378C">
        <w:rPr>
          <w:szCs w:val="22"/>
        </w:rPr>
        <w:t>begränsningar</w:t>
      </w:r>
      <w:r>
        <w:rPr>
          <w:szCs w:val="22"/>
        </w:rPr>
        <w:t xml:space="preserve">. </w:t>
      </w:r>
      <w:r w:rsidRPr="00DB378C">
        <w:rPr>
          <w:szCs w:val="22"/>
        </w:rPr>
        <w:t>Förslaget bedöms avsevärt öka möjligheterna för personer med funktionsnedsättning</w:t>
      </w:r>
      <w:r>
        <w:rPr>
          <w:szCs w:val="22"/>
        </w:rPr>
        <w:t xml:space="preserve"> </w:t>
      </w:r>
      <w:r w:rsidRPr="00DB378C">
        <w:rPr>
          <w:szCs w:val="22"/>
        </w:rPr>
        <w:t>att självständigt klara av att använda d</w:t>
      </w:r>
      <w:r w:rsidRPr="00DB378C">
        <w:rPr>
          <w:szCs w:val="22"/>
        </w:rPr>
        <w:t>i</w:t>
      </w:r>
      <w:r w:rsidRPr="00DB378C">
        <w:rPr>
          <w:szCs w:val="22"/>
        </w:rPr>
        <w:t>gitala tjänster och utöva sin självbestämmanderätt.</w:t>
      </w:r>
    </w:p>
    <w:p w14:paraId="71630627" w14:textId="77777777" w:rsidR="0095566F" w:rsidRDefault="0095566F" w:rsidP="00E403D6">
      <w:pPr>
        <w:pStyle w:val="ANormal"/>
        <w:rPr>
          <w:szCs w:val="22"/>
        </w:rPr>
      </w:pPr>
    </w:p>
    <w:p w14:paraId="7E17DC49" w14:textId="77777777" w:rsidR="00702E79" w:rsidRPr="00FE7091" w:rsidRDefault="00840979" w:rsidP="00771C32">
      <w:pPr>
        <w:pStyle w:val="RubrikB"/>
        <w:rPr>
          <w:b/>
          <w:i/>
          <w:lang w:val="sv-FI"/>
        </w:rPr>
      </w:pPr>
      <w:bookmarkStart w:id="27" w:name="_Toc524530397"/>
      <w:r>
        <w:rPr>
          <w:lang w:val="sv-FI"/>
        </w:rPr>
        <w:t>6</w:t>
      </w:r>
      <w:r w:rsidR="00A12480" w:rsidRPr="00FE7091">
        <w:rPr>
          <w:lang w:val="sv-FI"/>
        </w:rPr>
        <w:t>. Ärendets beredning</w:t>
      </w:r>
      <w:bookmarkEnd w:id="27"/>
    </w:p>
    <w:p w14:paraId="746AD66D" w14:textId="77777777" w:rsidR="00702E79" w:rsidRPr="00FE7091" w:rsidRDefault="00702E79" w:rsidP="002C78D3">
      <w:pPr>
        <w:pStyle w:val="Rubrikmellanrum"/>
        <w:rPr>
          <w:lang w:val="sv-FI"/>
        </w:rPr>
      </w:pPr>
    </w:p>
    <w:p w14:paraId="55DEF4DD" w14:textId="2686B71C" w:rsidR="003F6303" w:rsidRDefault="00344384">
      <w:pPr>
        <w:pStyle w:val="ANormal"/>
        <w:rPr>
          <w:szCs w:val="22"/>
          <w:lang w:val="sv-FI"/>
        </w:rPr>
      </w:pPr>
      <w:r>
        <w:rPr>
          <w:szCs w:val="22"/>
          <w:lang w:val="sv-FI"/>
        </w:rPr>
        <w:t>Lagförslaget har</w:t>
      </w:r>
      <w:r w:rsidR="00593D65">
        <w:rPr>
          <w:szCs w:val="22"/>
          <w:lang w:val="sv-FI"/>
        </w:rPr>
        <w:t xml:space="preserve"> </w:t>
      </w:r>
      <w:r w:rsidRPr="00344384">
        <w:rPr>
          <w:szCs w:val="22"/>
          <w:lang w:val="sv-FI"/>
        </w:rPr>
        <w:t xml:space="preserve">beretts som tjänstemannauppdrag vid lagberedningen i samarbete med </w:t>
      </w:r>
      <w:r>
        <w:rPr>
          <w:szCs w:val="22"/>
          <w:lang w:val="sv-FI"/>
        </w:rPr>
        <w:t xml:space="preserve">tjänstemän från regeringskansliet och </w:t>
      </w:r>
      <w:r w:rsidR="003F6303" w:rsidRPr="003F6303">
        <w:rPr>
          <w:szCs w:val="22"/>
          <w:lang w:val="sv-FI"/>
        </w:rPr>
        <w:t>finansavdelningen.</w:t>
      </w:r>
      <w:r w:rsidR="003D719F" w:rsidRPr="003D719F">
        <w:t xml:space="preserve"> </w:t>
      </w:r>
      <w:r w:rsidR="003D719F" w:rsidRPr="003D719F">
        <w:rPr>
          <w:szCs w:val="22"/>
          <w:lang w:val="sv-FI"/>
        </w:rPr>
        <w:t>Inför beredningen av lagförslaget ordnades den 20 mars 2018 ett diskus</w:t>
      </w:r>
      <w:r w:rsidR="003D719F" w:rsidRPr="003D719F">
        <w:rPr>
          <w:szCs w:val="22"/>
          <w:lang w:val="sv-FI"/>
        </w:rPr>
        <w:t>s</w:t>
      </w:r>
      <w:r w:rsidR="003D719F" w:rsidRPr="003D719F">
        <w:rPr>
          <w:szCs w:val="22"/>
          <w:lang w:val="sv-FI"/>
        </w:rPr>
        <w:t>ions- och informationstillfälle om genomförandet av tillgänglighetsdirekt</w:t>
      </w:r>
      <w:r w:rsidR="003D719F" w:rsidRPr="003D719F">
        <w:rPr>
          <w:szCs w:val="22"/>
          <w:lang w:val="sv-FI"/>
        </w:rPr>
        <w:t>i</w:t>
      </w:r>
      <w:r w:rsidR="003D719F" w:rsidRPr="003D719F">
        <w:rPr>
          <w:szCs w:val="22"/>
          <w:lang w:val="sv-FI"/>
        </w:rPr>
        <w:t>vet. Tillfället ordnades av landskapsregeringen och Åda Ab.</w:t>
      </w:r>
    </w:p>
    <w:p w14:paraId="256348FA" w14:textId="369A878C" w:rsidR="00126976" w:rsidRPr="00126976" w:rsidRDefault="00126976" w:rsidP="00126976">
      <w:pPr>
        <w:pStyle w:val="ANormal"/>
        <w:rPr>
          <w:szCs w:val="22"/>
          <w:lang w:val="sv-FI"/>
        </w:rPr>
      </w:pPr>
      <w:r>
        <w:rPr>
          <w:szCs w:val="22"/>
          <w:lang w:val="sv-FI"/>
        </w:rPr>
        <w:tab/>
        <w:t>L</w:t>
      </w:r>
      <w:r w:rsidRPr="00126976">
        <w:rPr>
          <w:szCs w:val="22"/>
          <w:lang w:val="sv-FI"/>
        </w:rPr>
        <w:t xml:space="preserve">agförslaget </w:t>
      </w:r>
      <w:r>
        <w:rPr>
          <w:szCs w:val="22"/>
          <w:lang w:val="sv-FI"/>
        </w:rPr>
        <w:t xml:space="preserve">skickades </w:t>
      </w:r>
      <w:r w:rsidRPr="00126976">
        <w:rPr>
          <w:szCs w:val="22"/>
          <w:lang w:val="sv-FI"/>
        </w:rPr>
        <w:t xml:space="preserve">på remiss till </w:t>
      </w:r>
      <w:r w:rsidR="00E6308C">
        <w:rPr>
          <w:szCs w:val="22"/>
          <w:lang w:val="sv-FI"/>
        </w:rPr>
        <w:t>50</w:t>
      </w:r>
      <w:r w:rsidRPr="00126976">
        <w:rPr>
          <w:szCs w:val="22"/>
          <w:lang w:val="sv-FI"/>
        </w:rPr>
        <w:t xml:space="preserve"> stycken remissinstanser. </w:t>
      </w:r>
      <w:r w:rsidR="00E6308C">
        <w:rPr>
          <w:szCs w:val="22"/>
          <w:lang w:val="sv-FI"/>
        </w:rPr>
        <w:t>La</w:t>
      </w:r>
      <w:r w:rsidR="00E6308C">
        <w:rPr>
          <w:szCs w:val="22"/>
          <w:lang w:val="sv-FI"/>
        </w:rPr>
        <w:t>g</w:t>
      </w:r>
      <w:r w:rsidR="00E6308C">
        <w:rPr>
          <w:szCs w:val="22"/>
          <w:lang w:val="sv-FI"/>
        </w:rPr>
        <w:t>förslaget skickades till a</w:t>
      </w:r>
      <w:r w:rsidRPr="00126976">
        <w:rPr>
          <w:szCs w:val="22"/>
          <w:lang w:val="sv-FI"/>
        </w:rPr>
        <w:t>vdelningarna vid landskapsregeringens allmänna förvaltning</w:t>
      </w:r>
      <w:r w:rsidR="00E6308C">
        <w:rPr>
          <w:szCs w:val="22"/>
          <w:lang w:val="sv-FI"/>
        </w:rPr>
        <w:t xml:space="preserve">, </w:t>
      </w:r>
      <w:r w:rsidR="00EF5417" w:rsidRPr="00EF5417">
        <w:rPr>
          <w:szCs w:val="22"/>
          <w:lang w:val="sv-FI"/>
        </w:rPr>
        <w:t>Brändö kommun, Datainspektionen, Eckerö kommun, Fi</w:t>
      </w:r>
      <w:r w:rsidR="00EF5417" w:rsidRPr="00EF5417">
        <w:rPr>
          <w:szCs w:val="22"/>
          <w:lang w:val="sv-FI"/>
        </w:rPr>
        <w:t>n</w:t>
      </w:r>
      <w:r w:rsidR="00EF5417" w:rsidRPr="00EF5417">
        <w:rPr>
          <w:szCs w:val="22"/>
          <w:lang w:val="sv-FI"/>
        </w:rPr>
        <w:t xml:space="preserve">ströms kommun, </w:t>
      </w:r>
      <w:r w:rsidR="00FD0320" w:rsidRPr="00FD0320">
        <w:rPr>
          <w:szCs w:val="22"/>
          <w:lang w:val="sv-FI"/>
        </w:rPr>
        <w:t xml:space="preserve">Fordonsmyndigheten, </w:t>
      </w:r>
      <w:r w:rsidR="00EF5417" w:rsidRPr="00EF5417">
        <w:rPr>
          <w:szCs w:val="22"/>
          <w:lang w:val="sv-FI"/>
        </w:rPr>
        <w:t>Föglö kommun, Geta kommun, Hammarlands kommun, Högskolan på Åland, Jomala kommun, Kumlinge kommun, Kökars kommun, Lemlands kommun, Lotteriinspektionen, Lu</w:t>
      </w:r>
      <w:r w:rsidR="00EF5417" w:rsidRPr="00EF5417">
        <w:rPr>
          <w:szCs w:val="22"/>
          <w:lang w:val="sv-FI"/>
        </w:rPr>
        <w:t>m</w:t>
      </w:r>
      <w:r w:rsidR="00EF5417" w:rsidRPr="00EF5417">
        <w:rPr>
          <w:szCs w:val="22"/>
          <w:lang w:val="sv-FI"/>
        </w:rPr>
        <w:t>parlands kommun, Mariehamns stad, Norra Ålands högstadiedistrikt, Oasen boende- och vårdcenter, Saltviks kommun, Sottunga kommun, Statens ä</w:t>
      </w:r>
      <w:r w:rsidR="00EF5417" w:rsidRPr="00EF5417">
        <w:rPr>
          <w:szCs w:val="22"/>
          <w:lang w:val="sv-FI"/>
        </w:rPr>
        <w:t>m</w:t>
      </w:r>
      <w:r w:rsidR="00EF5417" w:rsidRPr="00EF5417">
        <w:rPr>
          <w:szCs w:val="22"/>
          <w:lang w:val="sv-FI"/>
        </w:rPr>
        <w:t>betsverk på Åland</w:t>
      </w:r>
      <w:r w:rsidR="00EF5417">
        <w:rPr>
          <w:szCs w:val="22"/>
          <w:lang w:val="sv-FI"/>
        </w:rPr>
        <w:t>,</w:t>
      </w:r>
      <w:r w:rsidR="00EF5417" w:rsidRPr="00EF5417">
        <w:rPr>
          <w:szCs w:val="22"/>
          <w:lang w:val="sv-FI"/>
        </w:rPr>
        <w:t xml:space="preserve"> Sunds kommun, Södra Ålands högstadiedistrikt, Vårdö kommun,</w:t>
      </w:r>
      <w:r w:rsidR="00EF5417">
        <w:rPr>
          <w:szCs w:val="22"/>
          <w:lang w:val="sv-FI"/>
        </w:rPr>
        <w:t xml:space="preserve"> </w:t>
      </w:r>
      <w:r w:rsidR="00EF5417" w:rsidRPr="00EF5417">
        <w:rPr>
          <w:szCs w:val="22"/>
          <w:lang w:val="sv-FI"/>
        </w:rPr>
        <w:t>Åda Ab, Ålands arbetsmarknads- och studieservicemyndighet (AMS),</w:t>
      </w:r>
      <w:r w:rsidR="00FD0320" w:rsidRPr="00FD0320">
        <w:t xml:space="preserve"> </w:t>
      </w:r>
      <w:r w:rsidR="00FD0320" w:rsidRPr="00FD0320">
        <w:rPr>
          <w:szCs w:val="22"/>
          <w:lang w:val="sv-FI"/>
        </w:rPr>
        <w:t xml:space="preserve">Ålands </w:t>
      </w:r>
      <w:proofErr w:type="gramStart"/>
      <w:r w:rsidR="00FD0320" w:rsidRPr="00FD0320">
        <w:rPr>
          <w:szCs w:val="22"/>
          <w:lang w:val="sv-FI"/>
        </w:rPr>
        <w:t xml:space="preserve">energimyndighet, </w:t>
      </w:r>
      <w:r w:rsidR="00EF5417" w:rsidRPr="00EF5417">
        <w:rPr>
          <w:szCs w:val="22"/>
          <w:lang w:val="sv-FI"/>
        </w:rPr>
        <w:t xml:space="preserve"> </w:t>
      </w:r>
      <w:r w:rsidR="00FD0320" w:rsidRPr="00FD0320">
        <w:rPr>
          <w:szCs w:val="22"/>
          <w:lang w:val="sv-FI"/>
        </w:rPr>
        <w:t>Ålands</w:t>
      </w:r>
      <w:proofErr w:type="gramEnd"/>
      <w:r w:rsidR="00FD0320" w:rsidRPr="00FD0320">
        <w:rPr>
          <w:szCs w:val="22"/>
          <w:lang w:val="sv-FI"/>
        </w:rPr>
        <w:t xml:space="preserve"> folkhögskola, Ålands förval</w:t>
      </w:r>
      <w:r w:rsidR="00FD0320" w:rsidRPr="00FD0320">
        <w:rPr>
          <w:szCs w:val="22"/>
          <w:lang w:val="sv-FI"/>
        </w:rPr>
        <w:t>t</w:t>
      </w:r>
      <w:r w:rsidR="00FD0320" w:rsidRPr="00FD0320">
        <w:rPr>
          <w:szCs w:val="22"/>
          <w:lang w:val="sv-FI"/>
        </w:rPr>
        <w:t xml:space="preserve">ningsdomstol, </w:t>
      </w:r>
      <w:r w:rsidR="00EF5417" w:rsidRPr="00EF5417">
        <w:rPr>
          <w:szCs w:val="22"/>
          <w:lang w:val="sv-FI"/>
        </w:rPr>
        <w:t xml:space="preserve">Ålands gymnasium, </w:t>
      </w:r>
      <w:r w:rsidR="00FD0320" w:rsidRPr="00FD0320">
        <w:rPr>
          <w:szCs w:val="22"/>
          <w:lang w:val="sv-FI"/>
        </w:rPr>
        <w:t>Ålands handikappförbund</w:t>
      </w:r>
      <w:r w:rsidR="00FD0320">
        <w:rPr>
          <w:szCs w:val="22"/>
          <w:lang w:val="sv-FI"/>
        </w:rPr>
        <w:t>,</w:t>
      </w:r>
      <w:r w:rsidR="00FD0320" w:rsidRPr="00FD0320">
        <w:rPr>
          <w:szCs w:val="22"/>
          <w:lang w:val="sv-FI"/>
        </w:rPr>
        <w:t xml:space="preserve"> </w:t>
      </w:r>
      <w:r w:rsidR="00EF5417" w:rsidRPr="00EF5417">
        <w:rPr>
          <w:szCs w:val="22"/>
          <w:lang w:val="sv-FI"/>
        </w:rPr>
        <w:t xml:space="preserve">Ålands hälso- och sjukvård (ÅHS), </w:t>
      </w:r>
      <w:r w:rsidR="00FD0320" w:rsidRPr="00FD0320">
        <w:rPr>
          <w:szCs w:val="22"/>
          <w:lang w:val="sv-FI"/>
        </w:rPr>
        <w:t>Ålands kommunförbund, Ålands kulturdelega</w:t>
      </w:r>
      <w:r w:rsidR="00FD0320" w:rsidRPr="00FD0320">
        <w:rPr>
          <w:szCs w:val="22"/>
          <w:lang w:val="sv-FI"/>
        </w:rPr>
        <w:t>t</w:t>
      </w:r>
      <w:r w:rsidR="00FD0320" w:rsidRPr="00FD0320">
        <w:rPr>
          <w:szCs w:val="22"/>
          <w:lang w:val="sv-FI"/>
        </w:rPr>
        <w:t>ion, Ålands lagtings kansli, Ålands miljö- och hälsoskyddsmyndighet (ÅMHM), Ålands miljöservice (</w:t>
      </w:r>
      <w:proofErr w:type="spellStart"/>
      <w:r w:rsidR="00FD0320" w:rsidRPr="00FD0320">
        <w:rPr>
          <w:szCs w:val="22"/>
          <w:lang w:val="sv-FI"/>
        </w:rPr>
        <w:t>Mise</w:t>
      </w:r>
      <w:proofErr w:type="spellEnd"/>
      <w:r w:rsidR="00FD0320" w:rsidRPr="00FD0320">
        <w:rPr>
          <w:szCs w:val="22"/>
          <w:lang w:val="sv-FI"/>
        </w:rPr>
        <w:t>), Ålands musikinstitut, Ålands o</w:t>
      </w:r>
      <w:r w:rsidR="00FD0320" w:rsidRPr="00FD0320">
        <w:rPr>
          <w:szCs w:val="22"/>
          <w:lang w:val="sv-FI"/>
        </w:rPr>
        <w:t>m</w:t>
      </w:r>
      <w:r w:rsidR="00FD0320" w:rsidRPr="00FD0320">
        <w:rPr>
          <w:szCs w:val="22"/>
          <w:lang w:val="sv-FI"/>
        </w:rPr>
        <w:t>budsmannamyndighet, Ålands omsorgsförbund, Ålands penningautoma</w:t>
      </w:r>
      <w:r w:rsidR="00FD0320" w:rsidRPr="00FD0320">
        <w:rPr>
          <w:szCs w:val="22"/>
          <w:lang w:val="sv-FI"/>
        </w:rPr>
        <w:t>t</w:t>
      </w:r>
      <w:r w:rsidR="00FD0320" w:rsidRPr="00FD0320">
        <w:rPr>
          <w:szCs w:val="22"/>
          <w:lang w:val="sv-FI"/>
        </w:rPr>
        <w:t xml:space="preserve">förening, </w:t>
      </w:r>
      <w:r w:rsidR="00EF5417" w:rsidRPr="00EF5417">
        <w:rPr>
          <w:szCs w:val="22"/>
          <w:lang w:val="sv-FI"/>
        </w:rPr>
        <w:t xml:space="preserve">Ålands polismyndighet, </w:t>
      </w:r>
      <w:r w:rsidR="00FD0320" w:rsidRPr="00FD0320">
        <w:rPr>
          <w:szCs w:val="22"/>
          <w:lang w:val="sv-FI"/>
        </w:rPr>
        <w:t>Ålands sjösäkerhetscentrum</w:t>
      </w:r>
      <w:r w:rsidR="00FD0320">
        <w:rPr>
          <w:szCs w:val="22"/>
          <w:lang w:val="sv-FI"/>
        </w:rPr>
        <w:t xml:space="preserve"> och</w:t>
      </w:r>
      <w:r w:rsidR="00FD0320" w:rsidRPr="00FD0320">
        <w:rPr>
          <w:szCs w:val="22"/>
          <w:lang w:val="sv-FI"/>
        </w:rPr>
        <w:t xml:space="preserve"> </w:t>
      </w:r>
      <w:r w:rsidRPr="00126976">
        <w:rPr>
          <w:szCs w:val="22"/>
          <w:lang w:val="sv-FI"/>
        </w:rPr>
        <w:t xml:space="preserve">Ålands statistik- och utredningsbyrå </w:t>
      </w:r>
      <w:r w:rsidR="00E6308C">
        <w:rPr>
          <w:szCs w:val="22"/>
          <w:lang w:val="sv-FI"/>
        </w:rPr>
        <w:t>(</w:t>
      </w:r>
      <w:r w:rsidRPr="00126976">
        <w:rPr>
          <w:szCs w:val="22"/>
          <w:lang w:val="sv-FI"/>
        </w:rPr>
        <w:t>ÅSUB</w:t>
      </w:r>
      <w:r w:rsidR="00E6308C">
        <w:rPr>
          <w:szCs w:val="22"/>
          <w:lang w:val="sv-FI"/>
        </w:rPr>
        <w:t>)</w:t>
      </w:r>
      <w:r w:rsidR="00FD0320">
        <w:rPr>
          <w:szCs w:val="22"/>
          <w:lang w:val="sv-FI"/>
        </w:rPr>
        <w:t>.</w:t>
      </w:r>
    </w:p>
    <w:p w14:paraId="3CAC523D" w14:textId="0D0FEA41" w:rsidR="00FD0320" w:rsidRDefault="00C9052C">
      <w:pPr>
        <w:pStyle w:val="ANormal"/>
        <w:rPr>
          <w:szCs w:val="22"/>
          <w:lang w:val="sv-FI"/>
        </w:rPr>
      </w:pPr>
      <w:r>
        <w:rPr>
          <w:szCs w:val="22"/>
          <w:lang w:val="sv-FI"/>
        </w:rPr>
        <w:tab/>
      </w:r>
      <w:r w:rsidR="00126976" w:rsidRPr="00126976">
        <w:rPr>
          <w:szCs w:val="22"/>
          <w:lang w:val="sv-FI"/>
        </w:rPr>
        <w:t xml:space="preserve">Följande instanser kom in med utlåtanden: </w:t>
      </w:r>
      <w:r w:rsidR="003301F8" w:rsidRPr="003301F8">
        <w:rPr>
          <w:szCs w:val="22"/>
          <w:lang w:val="sv-FI"/>
        </w:rPr>
        <w:t>social- och miljöavdelningen vid Ålands landskapsregering</w:t>
      </w:r>
      <w:r w:rsidR="003301F8">
        <w:rPr>
          <w:szCs w:val="22"/>
          <w:lang w:val="sv-FI"/>
        </w:rPr>
        <w:t xml:space="preserve">, </w:t>
      </w:r>
      <w:r w:rsidR="00FD0320" w:rsidRPr="00FD0320">
        <w:rPr>
          <w:szCs w:val="22"/>
          <w:lang w:val="sv-FI"/>
        </w:rPr>
        <w:t>Datainspektionen, Finströms kommun, Fo</w:t>
      </w:r>
      <w:r w:rsidR="00FD0320" w:rsidRPr="00FD0320">
        <w:rPr>
          <w:szCs w:val="22"/>
          <w:lang w:val="sv-FI"/>
        </w:rPr>
        <w:t>r</w:t>
      </w:r>
      <w:r w:rsidR="00FD0320" w:rsidRPr="00FD0320">
        <w:rPr>
          <w:szCs w:val="22"/>
          <w:lang w:val="sv-FI"/>
        </w:rPr>
        <w:t>donsmyndigheten, Föglö kommun, Geta kommun, Jomala kommun, Ku</w:t>
      </w:r>
      <w:r w:rsidR="00FD0320" w:rsidRPr="00FD0320">
        <w:rPr>
          <w:szCs w:val="22"/>
          <w:lang w:val="sv-FI"/>
        </w:rPr>
        <w:t>m</w:t>
      </w:r>
      <w:r w:rsidR="00FD0320" w:rsidRPr="00FD0320">
        <w:rPr>
          <w:szCs w:val="22"/>
          <w:lang w:val="sv-FI"/>
        </w:rPr>
        <w:t xml:space="preserve">linge kommun, Lemlands kommun, Lumparlands kommun, Mariehamns </w:t>
      </w:r>
      <w:r w:rsidR="00FD0320" w:rsidRPr="00FD0320">
        <w:rPr>
          <w:szCs w:val="22"/>
          <w:lang w:val="sv-FI"/>
        </w:rPr>
        <w:lastRenderedPageBreak/>
        <w:t xml:space="preserve">stad, Oasen boende- och vårdcenter, Saltviks kommun, </w:t>
      </w:r>
      <w:r w:rsidR="009B781D">
        <w:rPr>
          <w:szCs w:val="22"/>
          <w:lang w:val="sv-FI"/>
        </w:rPr>
        <w:t xml:space="preserve">Vårdö kommun, </w:t>
      </w:r>
      <w:r w:rsidR="00FD0320" w:rsidRPr="00FD0320">
        <w:rPr>
          <w:szCs w:val="22"/>
          <w:lang w:val="sv-FI"/>
        </w:rPr>
        <w:t>Åda Ab, Ålands arbetsmarknads- och studieservicemyndighet (AMS), Ålands handikappförbund, Ålands kommunförbund, Ålands miljöservice (</w:t>
      </w:r>
      <w:proofErr w:type="spellStart"/>
      <w:r w:rsidR="00FD0320" w:rsidRPr="00FD0320">
        <w:rPr>
          <w:szCs w:val="22"/>
          <w:lang w:val="sv-FI"/>
        </w:rPr>
        <w:t>Mise</w:t>
      </w:r>
      <w:proofErr w:type="spellEnd"/>
      <w:r w:rsidR="00FD0320" w:rsidRPr="00FD0320">
        <w:rPr>
          <w:szCs w:val="22"/>
          <w:lang w:val="sv-FI"/>
        </w:rPr>
        <w:t>), Ålands ombudsmannamyndighet, Ålands omsorgsförbund</w:t>
      </w:r>
      <w:r w:rsidR="00236D28">
        <w:rPr>
          <w:szCs w:val="22"/>
          <w:lang w:val="sv-FI"/>
        </w:rPr>
        <w:t xml:space="preserve"> och</w:t>
      </w:r>
      <w:r w:rsidR="00FD0320" w:rsidRPr="00FD0320">
        <w:rPr>
          <w:szCs w:val="22"/>
          <w:lang w:val="sv-FI"/>
        </w:rPr>
        <w:t xml:space="preserve"> Ålands statistik- och utredningsbyrå (ÅSUB).</w:t>
      </w:r>
    </w:p>
    <w:p w14:paraId="27E03D81" w14:textId="77777777" w:rsidR="00E60323" w:rsidRPr="00695C15" w:rsidRDefault="00E60323">
      <w:pPr>
        <w:pStyle w:val="ANormal"/>
        <w:rPr>
          <w:szCs w:val="22"/>
          <w:lang w:val="sv-FI"/>
        </w:rPr>
      </w:pPr>
    </w:p>
    <w:p w14:paraId="0A6E0BF2" w14:textId="77777777" w:rsidR="00AF3004" w:rsidRDefault="00AF3004" w:rsidP="00771C32">
      <w:pPr>
        <w:pStyle w:val="RubrikA"/>
      </w:pPr>
      <w:bookmarkStart w:id="28" w:name="_Toc524530398"/>
      <w:r w:rsidRPr="002C78D3">
        <w:t>Detaljmotivering</w:t>
      </w:r>
      <w:bookmarkEnd w:id="28"/>
    </w:p>
    <w:p w14:paraId="3ACCFFD5" w14:textId="77777777" w:rsidR="00AF3004" w:rsidRDefault="00AF3004">
      <w:pPr>
        <w:pStyle w:val="Rubrikmellanrum"/>
      </w:pPr>
    </w:p>
    <w:p w14:paraId="657F5BB4" w14:textId="3F25FB2A" w:rsidR="00AF3004" w:rsidRDefault="00546721" w:rsidP="00771C32">
      <w:pPr>
        <w:pStyle w:val="RubrikB"/>
      </w:pPr>
      <w:bookmarkStart w:id="29" w:name="_Toc524530399"/>
      <w:r>
        <w:t xml:space="preserve">Landskapslag om </w:t>
      </w:r>
      <w:r w:rsidR="00372ACE">
        <w:t xml:space="preserve">tillgängliga </w:t>
      </w:r>
      <w:r w:rsidR="00B63FA3">
        <w:t>w</w:t>
      </w:r>
      <w:r w:rsidR="00A9288B">
        <w:t>ebbplatser och mobila</w:t>
      </w:r>
      <w:r w:rsidR="004128D5">
        <w:t xml:space="preserve"> a</w:t>
      </w:r>
      <w:r w:rsidR="00A9288B">
        <w:t>pplikationer</w:t>
      </w:r>
      <w:r w:rsidR="00B63FA3">
        <w:t xml:space="preserve"> inom förvaltningen</w:t>
      </w:r>
      <w:bookmarkEnd w:id="29"/>
    </w:p>
    <w:p w14:paraId="61EDF39C" w14:textId="77777777" w:rsidR="001F6157" w:rsidRDefault="001F6157" w:rsidP="00A551F6">
      <w:pPr>
        <w:pStyle w:val="Rubrikmellanrum"/>
      </w:pPr>
    </w:p>
    <w:p w14:paraId="554EEFDA" w14:textId="2FCE8EE5" w:rsidR="007A63BD" w:rsidRDefault="0070207C" w:rsidP="00A9761D">
      <w:pPr>
        <w:pStyle w:val="ANormal"/>
      </w:pPr>
      <w:r>
        <w:t>1</w:t>
      </w:r>
      <w:r w:rsidR="000C71DD">
        <w:t> §</w:t>
      </w:r>
      <w:r>
        <w:t xml:space="preserve"> </w:t>
      </w:r>
      <w:r w:rsidRPr="0070207C">
        <w:rPr>
          <w:i/>
        </w:rPr>
        <w:t>Lagens syfte</w:t>
      </w:r>
      <w:r>
        <w:t xml:space="preserve">. </w:t>
      </w:r>
      <w:r w:rsidR="007A63BD">
        <w:t xml:space="preserve">Enligt </w:t>
      </w:r>
      <w:r w:rsidR="007A63BD" w:rsidRPr="004128D5">
        <w:rPr>
          <w:i/>
        </w:rPr>
        <w:t>1</w:t>
      </w:r>
      <w:r w:rsidR="000C71DD">
        <w:rPr>
          <w:i/>
        </w:rPr>
        <w:t> mom.</w:t>
      </w:r>
      <w:r w:rsidR="007A63BD">
        <w:t xml:space="preserve"> ska </w:t>
      </w:r>
      <w:r w:rsidR="007A63BD" w:rsidRPr="007A63BD">
        <w:t>lag</w:t>
      </w:r>
      <w:r w:rsidR="004128D5">
        <w:t>en</w:t>
      </w:r>
      <w:r w:rsidR="007A63BD" w:rsidRPr="007A63BD">
        <w:t xml:space="preserve"> tillämpas </w:t>
      </w:r>
      <w:r w:rsidR="004128D5">
        <w:t>i förhållande till</w:t>
      </w:r>
      <w:r w:rsidR="007A63BD" w:rsidRPr="007A63BD">
        <w:t xml:space="preserve"> web</w:t>
      </w:r>
      <w:r w:rsidR="007A63BD" w:rsidRPr="007A63BD">
        <w:t>b</w:t>
      </w:r>
      <w:r w:rsidR="007A63BD" w:rsidRPr="007A63BD">
        <w:t>platser och mobila</w:t>
      </w:r>
      <w:r w:rsidR="004128D5">
        <w:t xml:space="preserve"> a</w:t>
      </w:r>
      <w:r w:rsidR="007A63BD" w:rsidRPr="007A63BD">
        <w:t>pplikationer som tillhandhålls av myndigheter inom landskaps- och kommunalförvaltningen.</w:t>
      </w:r>
      <w:r w:rsidR="004128D5">
        <w:t xml:space="preserve"> Tillämpningsområdet konkretis</w:t>
      </w:r>
      <w:r w:rsidR="004128D5">
        <w:t>e</w:t>
      </w:r>
      <w:r w:rsidR="004128D5">
        <w:t>ras och avgränsas av andra bestämmelser i lagen. Detta gäller framförallt definitionen av myndigheter i 2</w:t>
      </w:r>
      <w:r w:rsidR="000C71DD">
        <w:t> §</w:t>
      </w:r>
      <w:r w:rsidR="004128D5">
        <w:t xml:space="preserve"> 3</w:t>
      </w:r>
      <w:r w:rsidR="002F030A">
        <w:t> punkt</w:t>
      </w:r>
      <w:r w:rsidR="004128D5">
        <w:t>en och undantagen från tilläm</w:t>
      </w:r>
      <w:r w:rsidR="004128D5">
        <w:t>p</w:t>
      </w:r>
      <w:r w:rsidR="004128D5">
        <w:t>ningsområdet enligt 4</w:t>
      </w:r>
      <w:r w:rsidR="000C71DD">
        <w:t> §</w:t>
      </w:r>
      <w:r w:rsidR="004128D5">
        <w:t xml:space="preserve">. Lagen </w:t>
      </w:r>
      <w:r w:rsidR="00EF5417">
        <w:t xml:space="preserve">gäller </w:t>
      </w:r>
      <w:r w:rsidR="004128D5">
        <w:t>också de offentligrättsliga organ som avses i 3</w:t>
      </w:r>
      <w:r w:rsidR="000C71DD">
        <w:t> §</w:t>
      </w:r>
      <w:r w:rsidR="004128D5">
        <w:t>. Övergångsbestämmelserna i 1</w:t>
      </w:r>
      <w:r w:rsidR="002E23B0">
        <w:t>5</w:t>
      </w:r>
      <w:r w:rsidR="000C71DD">
        <w:t> §</w:t>
      </w:r>
      <w:r w:rsidR="004128D5">
        <w:t xml:space="preserve"> innehåller temporära unda</w:t>
      </w:r>
      <w:r w:rsidR="004128D5">
        <w:t>n</w:t>
      </w:r>
      <w:r w:rsidR="004128D5">
        <w:t>tag från lagens krav.</w:t>
      </w:r>
    </w:p>
    <w:p w14:paraId="4765BB76" w14:textId="7487EDBB" w:rsidR="00A9761D" w:rsidRDefault="004128D5" w:rsidP="00A9761D">
      <w:pPr>
        <w:pStyle w:val="ANormal"/>
      </w:pPr>
      <w:r>
        <w:tab/>
      </w:r>
      <w:r w:rsidR="00C67835" w:rsidRPr="00C67835">
        <w:t xml:space="preserve">Enligt </w:t>
      </w:r>
      <w:r w:rsidR="007A63BD">
        <w:rPr>
          <w:i/>
        </w:rPr>
        <w:t>2</w:t>
      </w:r>
      <w:r w:rsidR="000C71DD">
        <w:rPr>
          <w:i/>
        </w:rPr>
        <w:t> mom.</w:t>
      </w:r>
      <w:r w:rsidR="00C67835" w:rsidRPr="00C67835">
        <w:t xml:space="preserve"> </w:t>
      </w:r>
      <w:r w:rsidR="00C67835">
        <w:t xml:space="preserve">är lagens syfte att </w:t>
      </w:r>
      <w:r w:rsidR="00C67835" w:rsidRPr="00C67835">
        <w:t>var och en ska på lika villkor kunna använda webbplatser och mobila</w:t>
      </w:r>
      <w:r>
        <w:t xml:space="preserve"> a</w:t>
      </w:r>
      <w:r w:rsidR="00C67835" w:rsidRPr="00C67835">
        <w:t>pplikationer som tillhandahålls av my</w:t>
      </w:r>
      <w:r w:rsidR="00C67835" w:rsidRPr="00C67835">
        <w:t>n</w:t>
      </w:r>
      <w:r w:rsidR="00C67835" w:rsidRPr="00C67835">
        <w:t>digheter inom landskaps- och kommunalförvaltningen.</w:t>
      </w:r>
      <w:r w:rsidR="00C67835">
        <w:t xml:space="preserve"> Detta allmänna syfte konkretiseras särskilt genom de tillgänglighetskrav </w:t>
      </w:r>
      <w:r w:rsidR="002E23B0">
        <w:t xml:space="preserve">som ingår i förslag till </w:t>
      </w:r>
      <w:r w:rsidR="00A9761D">
        <w:t>5</w:t>
      </w:r>
      <w:r w:rsidR="000C71DD">
        <w:t> §</w:t>
      </w:r>
      <w:r w:rsidR="00C67835">
        <w:t xml:space="preserve">. </w:t>
      </w:r>
      <w:r w:rsidR="00A9761D">
        <w:t>Den föreslagna lagen innebär skyldighet att vidta olika åtgärder gä</w:t>
      </w:r>
      <w:r w:rsidR="00A9761D">
        <w:t>l</w:t>
      </w:r>
      <w:r w:rsidR="00A9761D">
        <w:t xml:space="preserve">lande webbplatsernas och de mobila applikationernas tillgänglighet. Dessa åtgärder syftar särskilt till att </w:t>
      </w:r>
      <w:r w:rsidR="00A9761D" w:rsidRPr="00A9761D">
        <w:t>person</w:t>
      </w:r>
      <w:r w:rsidR="00A9761D">
        <w:t>er</w:t>
      </w:r>
      <w:r w:rsidR="00A9761D" w:rsidRPr="00A9761D">
        <w:t xml:space="preserve"> med funktionshinder</w:t>
      </w:r>
      <w:r w:rsidR="00A9761D">
        <w:t xml:space="preserve"> ska kunna a</w:t>
      </w:r>
      <w:r w:rsidR="00A9761D">
        <w:t>n</w:t>
      </w:r>
      <w:r w:rsidR="00A9761D">
        <w:t xml:space="preserve">vända webbplatserna och de mobila applikationerna på samma villkor som en person </w:t>
      </w:r>
      <w:r w:rsidR="00A9761D" w:rsidRPr="00A9761D">
        <w:t>utan funktionshinder</w:t>
      </w:r>
      <w:r w:rsidR="00A9761D">
        <w:t>. Den föreslagna lagen knyter nära an till annan lagstiftning som syftar till förhindrandet av diskriminering, särskilt l</w:t>
      </w:r>
      <w:r w:rsidR="00A9761D" w:rsidRPr="00A9761D">
        <w:t>andskapslag</w:t>
      </w:r>
      <w:r w:rsidR="00A9761D">
        <w:t>en</w:t>
      </w:r>
      <w:r w:rsidR="00A9761D" w:rsidRPr="00A9761D">
        <w:t xml:space="preserve"> om förhindrande av diskriminering i landskapet Åland</w:t>
      </w:r>
      <w:r w:rsidR="00A9761D">
        <w:t>.</w:t>
      </w:r>
    </w:p>
    <w:p w14:paraId="0D348F9B" w14:textId="3C0DCDC6" w:rsidR="00AB2E29" w:rsidRDefault="00A9761D" w:rsidP="00A9761D">
      <w:pPr>
        <w:pStyle w:val="ANormal"/>
      </w:pPr>
      <w:r>
        <w:tab/>
        <w:t xml:space="preserve">I </w:t>
      </w:r>
      <w:r w:rsidR="007A63BD">
        <w:rPr>
          <w:i/>
        </w:rPr>
        <w:t>3</w:t>
      </w:r>
      <w:r w:rsidR="000C71DD">
        <w:rPr>
          <w:i/>
        </w:rPr>
        <w:t> mom.</w:t>
      </w:r>
      <w:r>
        <w:t xml:space="preserve"> hänvisas till att lagens bestämmelser genomför tillgänglighet</w:t>
      </w:r>
      <w:r>
        <w:t>s</w:t>
      </w:r>
      <w:r>
        <w:t xml:space="preserve">direktivet. </w:t>
      </w:r>
      <w:r w:rsidR="00AB2E29">
        <w:t>I vanliga fall brukar det inte hänvisas till direktiv i landskapsl</w:t>
      </w:r>
      <w:r w:rsidR="00AB2E29">
        <w:t>a</w:t>
      </w:r>
      <w:r w:rsidR="00AB2E29">
        <w:t>garnas bestämmelser. Direktivets slutliga rättsliga innehåll är i vissa avs</w:t>
      </w:r>
      <w:r w:rsidR="00AB2E29">
        <w:t>e</w:t>
      </w:r>
      <w:r w:rsidR="00AB2E29">
        <w:t>enden beroende av det framtida antagandet av harmoniserade standarder och att kommissionen antar genomförandeakter</w:t>
      </w:r>
      <w:r w:rsidR="00B318CA">
        <w:t xml:space="preserve">, t.ex. </w:t>
      </w:r>
      <w:r w:rsidR="00AB2E29">
        <w:t xml:space="preserve">om </w:t>
      </w:r>
      <w:r w:rsidR="000536BD">
        <w:t>innehålle</w:t>
      </w:r>
      <w:r w:rsidR="00B318CA">
        <w:t>t</w:t>
      </w:r>
      <w:r w:rsidR="000536BD">
        <w:t xml:space="preserve"> </w:t>
      </w:r>
      <w:r w:rsidR="00AB2E29">
        <w:t>i de t</w:t>
      </w:r>
      <w:r w:rsidR="00AB2E29" w:rsidRPr="00AB2E29">
        <w:t>illgänglighetsutlåtanden</w:t>
      </w:r>
      <w:r w:rsidR="00AB2E29">
        <w:t xml:space="preserve"> som ska </w:t>
      </w:r>
      <w:r w:rsidR="00AB2E29" w:rsidRPr="00AB2E29">
        <w:t>tillhandahållas</w:t>
      </w:r>
      <w:r w:rsidR="00AB2E29">
        <w:t xml:space="preserve"> på </w:t>
      </w:r>
      <w:r w:rsidR="00B318CA">
        <w:t>w</w:t>
      </w:r>
      <w:r w:rsidR="00AB2E29">
        <w:t>ebbplatser</w:t>
      </w:r>
      <w:r w:rsidR="00B318CA">
        <w:t>na</w:t>
      </w:r>
      <w:r w:rsidR="00AB2E29">
        <w:t xml:space="preserve"> och </w:t>
      </w:r>
      <w:r w:rsidR="00B318CA">
        <w:t xml:space="preserve">de </w:t>
      </w:r>
      <w:r w:rsidR="00AB2E29">
        <w:t>mobila applikationer</w:t>
      </w:r>
      <w:r w:rsidR="00B318CA">
        <w:t>na</w:t>
      </w:r>
      <w:r w:rsidR="00AB2E29">
        <w:t>. Därför finns det ett behov av att i lagen hänvisa till enskilda bestämmelser i tillgänglighetsdirektivet och sådana framtida la</w:t>
      </w:r>
      <w:r w:rsidR="00AB2E29">
        <w:t>g</w:t>
      </w:r>
      <w:r w:rsidR="00AB2E29">
        <w:t>st</w:t>
      </w:r>
      <w:r w:rsidR="000536BD">
        <w:t>iftningsåtgärder på EU-nivå.</w:t>
      </w:r>
    </w:p>
    <w:p w14:paraId="256DCEFE" w14:textId="77777777" w:rsidR="007A63BD" w:rsidRDefault="007A63BD" w:rsidP="00A9761D">
      <w:pPr>
        <w:pStyle w:val="ANormal"/>
      </w:pPr>
    </w:p>
    <w:p w14:paraId="0518A5C2" w14:textId="5C34386A" w:rsidR="004556DF" w:rsidRDefault="000536BD" w:rsidP="004556DF">
      <w:pPr>
        <w:pStyle w:val="ANormal"/>
      </w:pPr>
      <w:r>
        <w:t>2</w:t>
      </w:r>
      <w:r w:rsidR="000C71DD">
        <w:t> §</w:t>
      </w:r>
      <w:r>
        <w:t xml:space="preserve"> </w:t>
      </w:r>
      <w:r w:rsidRPr="000536BD">
        <w:rPr>
          <w:i/>
        </w:rPr>
        <w:t>Definitioner</w:t>
      </w:r>
      <w:r>
        <w:t xml:space="preserve">. </w:t>
      </w:r>
      <w:r w:rsidRPr="000536BD">
        <w:t>I 2</w:t>
      </w:r>
      <w:r w:rsidR="000C71DD">
        <w:t> §</w:t>
      </w:r>
      <w:r w:rsidRPr="000536BD">
        <w:t xml:space="preserve"> föreslås </w:t>
      </w:r>
      <w:r w:rsidR="00B318CA">
        <w:t xml:space="preserve">ingå </w:t>
      </w:r>
      <w:r w:rsidRPr="000536BD">
        <w:t>definitioner av centrala begrepp i lagen</w:t>
      </w:r>
      <w:r>
        <w:t>. Begreppen baserar sig d</w:t>
      </w:r>
      <w:r w:rsidRPr="000536BD">
        <w:t xml:space="preserve">elvis </w:t>
      </w:r>
      <w:r>
        <w:t xml:space="preserve">på bestämmelserna i </w:t>
      </w:r>
      <w:r w:rsidRPr="000536BD">
        <w:t>tillgänglighetsdirektivet</w:t>
      </w:r>
      <w:r>
        <w:t>, delvis på motsvarande föreslagna bestämmelser i rikslagstiftningen</w:t>
      </w:r>
      <w:r w:rsidRPr="000536BD">
        <w:t xml:space="preserve">. </w:t>
      </w:r>
      <w:r>
        <w:t xml:space="preserve">Enligt </w:t>
      </w:r>
      <w:r w:rsidRPr="000536BD">
        <w:rPr>
          <w:i/>
        </w:rPr>
        <w:t>1</w:t>
      </w:r>
      <w:r w:rsidR="002F030A">
        <w:rPr>
          <w:i/>
        </w:rPr>
        <w:t> punkt</w:t>
      </w:r>
      <w:r w:rsidRPr="000536BD">
        <w:rPr>
          <w:i/>
        </w:rPr>
        <w:t>en</w:t>
      </w:r>
      <w:r>
        <w:t xml:space="preserve"> avses med webbplats </w:t>
      </w:r>
      <w:r w:rsidRPr="000536BD">
        <w:t>digitalt datainnehåll som individualiseras med hjälp av ett domännamn</w:t>
      </w:r>
      <w:r>
        <w:t xml:space="preserve"> </w:t>
      </w:r>
      <w:r w:rsidRPr="000536BD">
        <w:t>och som är tillgängligt i ett datanät genom olika terminalutrustningar och deras programutbud</w:t>
      </w:r>
      <w:r>
        <w:t xml:space="preserve">. </w:t>
      </w:r>
      <w:r w:rsidRPr="000536BD">
        <w:t>Enligt definitionen gä</w:t>
      </w:r>
      <w:r w:rsidRPr="000536BD">
        <w:t>l</w:t>
      </w:r>
      <w:r w:rsidRPr="000536BD">
        <w:t>ler begreppet webbplats innehållet på en webbplats. En enskild webbplats anges med hjälp av ett domännamn.</w:t>
      </w:r>
      <w:r>
        <w:t xml:space="preserve"> </w:t>
      </w:r>
      <w:r w:rsidRPr="000536BD">
        <w:t>Med domännamn avses enligt 3</w:t>
      </w:r>
      <w:r w:rsidR="000C71DD">
        <w:t> §</w:t>
      </w:r>
      <w:r w:rsidRPr="000536BD">
        <w:t xml:space="preserve"> 35</w:t>
      </w:r>
      <w:r w:rsidR="002F030A">
        <w:t> punkt</w:t>
      </w:r>
      <w:r w:rsidRPr="000536BD">
        <w:t>en i lagen om tjänster inom elektronisk kommunikation (</w:t>
      </w:r>
      <w:r>
        <w:t xml:space="preserve">FFS </w:t>
      </w:r>
      <w:r w:rsidRPr="000536BD">
        <w:t>917/2014) en adress på internet under den nationella toppdomänen fi eller toppdomänen ax för landskapet Åland i form av ett namn som består av bokstäver, siffror eller andra tecken eller en kombination av dem.</w:t>
      </w:r>
      <w:r w:rsidR="0007688B">
        <w:t xml:space="preserve"> Det bör emellertid noteras att den föreslagna lagens definition av webbplats inte begränsas till att gälla toppdomänen ax utan omfattar vilket som helst d</w:t>
      </w:r>
      <w:r w:rsidR="0007688B">
        <w:t>o</w:t>
      </w:r>
      <w:r w:rsidR="0007688B">
        <w:t xml:space="preserve">männamn som används </w:t>
      </w:r>
      <w:r w:rsidR="00B318CA">
        <w:t xml:space="preserve">av </w:t>
      </w:r>
      <w:r w:rsidR="00437DB0">
        <w:t xml:space="preserve">de myndigheter som </w:t>
      </w:r>
      <w:r w:rsidR="0007688B">
        <w:t xml:space="preserve">lagen </w:t>
      </w:r>
      <w:r w:rsidR="00437DB0">
        <w:t>tillämpas på</w:t>
      </w:r>
      <w:r w:rsidR="0007688B">
        <w:t xml:space="preserve">. </w:t>
      </w:r>
      <w:r w:rsidR="0007688B" w:rsidRPr="0007688B">
        <w:t>Defini</w:t>
      </w:r>
      <w:r w:rsidR="0007688B" w:rsidRPr="0007688B">
        <w:t>t</w:t>
      </w:r>
      <w:r w:rsidR="0007688B" w:rsidRPr="0007688B">
        <w:t xml:space="preserve">ionen </w:t>
      </w:r>
      <w:r w:rsidR="0007688B">
        <w:t xml:space="preserve">av webbplats </w:t>
      </w:r>
      <w:r w:rsidR="0007688B" w:rsidRPr="0007688B">
        <w:t>utgår från förslaget till 2</w:t>
      </w:r>
      <w:r w:rsidR="000C71DD">
        <w:t> §</w:t>
      </w:r>
      <w:r w:rsidR="0007688B" w:rsidRPr="0007688B">
        <w:t xml:space="preserve"> 1</w:t>
      </w:r>
      <w:r w:rsidR="002F030A">
        <w:t> punkt</w:t>
      </w:r>
      <w:r w:rsidR="0007688B" w:rsidRPr="0007688B">
        <w:t>en i lagen om til</w:t>
      </w:r>
      <w:r w:rsidR="0007688B" w:rsidRPr="0007688B">
        <w:t>l</w:t>
      </w:r>
      <w:r w:rsidR="0007688B" w:rsidRPr="0007688B">
        <w:t>handahållande av digitala tjänster</w:t>
      </w:r>
      <w:r w:rsidR="00E60323">
        <w:t xml:space="preserve"> (</w:t>
      </w:r>
      <w:r w:rsidR="00E60323" w:rsidRPr="00E60323">
        <w:t xml:space="preserve">RP 60/2018 </w:t>
      </w:r>
      <w:proofErr w:type="spellStart"/>
      <w:r w:rsidR="00E60323" w:rsidRPr="00E60323">
        <w:t>rd</w:t>
      </w:r>
      <w:proofErr w:type="spellEnd"/>
      <w:r w:rsidR="00E60323">
        <w:t>)</w:t>
      </w:r>
      <w:r w:rsidR="0007688B" w:rsidRPr="0007688B">
        <w:t>.</w:t>
      </w:r>
    </w:p>
    <w:p w14:paraId="2AA8964F" w14:textId="738263B9" w:rsidR="004556DF" w:rsidRDefault="004556DF" w:rsidP="004556DF">
      <w:pPr>
        <w:pStyle w:val="ANormal"/>
      </w:pPr>
      <w:r>
        <w:lastRenderedPageBreak/>
        <w:tab/>
      </w:r>
      <w:r w:rsidR="00791A35">
        <w:t xml:space="preserve">Enligt </w:t>
      </w:r>
      <w:r w:rsidR="00791A35" w:rsidRPr="00791A35">
        <w:rPr>
          <w:i/>
        </w:rPr>
        <w:t>2</w:t>
      </w:r>
      <w:r w:rsidR="002F030A">
        <w:rPr>
          <w:i/>
        </w:rPr>
        <w:t> punkt</w:t>
      </w:r>
      <w:r w:rsidR="00791A35" w:rsidRPr="00791A35">
        <w:rPr>
          <w:i/>
        </w:rPr>
        <w:t>en</w:t>
      </w:r>
      <w:r w:rsidR="00791A35">
        <w:t xml:space="preserve"> avses med mobil applikation </w:t>
      </w:r>
      <w:r w:rsidR="00791A35" w:rsidRPr="00791A35">
        <w:t>en programvara som har planerats och utvecklats för användning av allmänheten i mobila enheter som smarttelefoner och pekplattor</w:t>
      </w:r>
      <w:r w:rsidR="00791A35">
        <w:t>. Definitionen motsvarar artikel 3.2 i til</w:t>
      </w:r>
      <w:r w:rsidR="00791A35">
        <w:t>l</w:t>
      </w:r>
      <w:r w:rsidR="00791A35">
        <w:t xml:space="preserve">gänglighetsdirektivet. </w:t>
      </w:r>
      <w:r w:rsidR="00791A35" w:rsidRPr="00791A35">
        <w:t xml:space="preserve">I direktivet förtydligas det att </w:t>
      </w:r>
      <w:r w:rsidR="00096926">
        <w:t xml:space="preserve">en </w:t>
      </w:r>
      <w:r w:rsidR="00791A35" w:rsidRPr="00791A35">
        <w:t>mobil</w:t>
      </w:r>
      <w:r w:rsidR="00096926">
        <w:t xml:space="preserve"> </w:t>
      </w:r>
      <w:r w:rsidR="00791A35" w:rsidRPr="00791A35">
        <w:t>applikation inte är själva den programvara som styr dessa enheter (mobila operativs</w:t>
      </w:r>
      <w:r w:rsidR="00791A35" w:rsidRPr="00791A35">
        <w:t>y</w:t>
      </w:r>
      <w:r w:rsidR="00791A35" w:rsidRPr="00791A35">
        <w:t>stem) eller själva datorutrustningen.</w:t>
      </w:r>
      <w:r>
        <w:t xml:space="preserve"> Mobil</w:t>
      </w:r>
      <w:r w:rsidR="00096926">
        <w:t xml:space="preserve"> </w:t>
      </w:r>
      <w:r>
        <w:t>applikation avser separata pr</w:t>
      </w:r>
      <w:r>
        <w:t>o</w:t>
      </w:r>
      <w:r>
        <w:t xml:space="preserve">gramvaror, t.ex. applikationer som kan laddas ned från en webbsida eller en applikationsbutik. </w:t>
      </w:r>
      <w:r w:rsidRPr="004556DF">
        <w:t xml:space="preserve">Lagen </w:t>
      </w:r>
      <w:r w:rsidR="00096926">
        <w:t xml:space="preserve">ska </w:t>
      </w:r>
      <w:r w:rsidRPr="004556DF">
        <w:t xml:space="preserve">tillämpas på sådana applikationer, om </w:t>
      </w:r>
      <w:r w:rsidR="00096926">
        <w:t xml:space="preserve">en myndighet </w:t>
      </w:r>
      <w:r w:rsidRPr="004556DF">
        <w:t xml:space="preserve">aktivt tillhandahåller </w:t>
      </w:r>
      <w:r w:rsidR="00096926">
        <w:t xml:space="preserve">den </w:t>
      </w:r>
      <w:r w:rsidRPr="004556DF">
        <w:t>mobil</w:t>
      </w:r>
      <w:r w:rsidR="00096926">
        <w:t xml:space="preserve">a </w:t>
      </w:r>
      <w:r w:rsidRPr="004556DF">
        <w:t xml:space="preserve">applikationen på sin egen webbplats eller i andra tjänster. Då tillhandahåller </w:t>
      </w:r>
      <w:r w:rsidR="00096926">
        <w:t xml:space="preserve">myndigheten </w:t>
      </w:r>
      <w:r w:rsidRPr="004556DF">
        <w:t xml:space="preserve">de facto applikationen, trots att applikationen produceras av en annan organisation. </w:t>
      </w:r>
      <w:r w:rsidR="00096926">
        <w:t xml:space="preserve">Myndigheten </w:t>
      </w:r>
      <w:r w:rsidRPr="004556DF">
        <w:t>ska sörja för att också den tjänst som den tillhandahåller mo</w:t>
      </w:r>
      <w:r w:rsidRPr="004556DF">
        <w:t>t</w:t>
      </w:r>
      <w:r w:rsidRPr="004556DF">
        <w:t>svarar kraven i den föreslagna lagen, fast det är fråga om en tjänst som til</w:t>
      </w:r>
      <w:r w:rsidRPr="004556DF">
        <w:t>l</w:t>
      </w:r>
      <w:r w:rsidRPr="004556DF">
        <w:t xml:space="preserve">handahålls av en tredje part. Om </w:t>
      </w:r>
      <w:r w:rsidR="00096926">
        <w:t xml:space="preserve">det </w:t>
      </w:r>
      <w:r w:rsidRPr="004556DF">
        <w:t xml:space="preserve">inte </w:t>
      </w:r>
      <w:r w:rsidR="00096926">
        <w:t xml:space="preserve">går att </w:t>
      </w:r>
      <w:r w:rsidRPr="004556DF">
        <w:t>försäkra sig om att tillgän</w:t>
      </w:r>
      <w:r w:rsidRPr="004556DF">
        <w:t>g</w:t>
      </w:r>
      <w:r w:rsidRPr="004556DF">
        <w:t xml:space="preserve">lighetskraven uppfylls i fråga om </w:t>
      </w:r>
      <w:r w:rsidR="00096926">
        <w:t xml:space="preserve">den </w:t>
      </w:r>
      <w:r w:rsidRPr="004556DF">
        <w:t>mobil</w:t>
      </w:r>
      <w:r w:rsidR="00096926">
        <w:t xml:space="preserve">a </w:t>
      </w:r>
      <w:r w:rsidRPr="004556DF">
        <w:t xml:space="preserve">applikationen, får </w:t>
      </w:r>
      <w:r w:rsidR="00096926">
        <w:t>myndighe</w:t>
      </w:r>
      <w:r w:rsidR="00096926">
        <w:t>t</w:t>
      </w:r>
      <w:r w:rsidR="00096926">
        <w:t xml:space="preserve">en </w:t>
      </w:r>
      <w:r w:rsidRPr="004556DF">
        <w:t>inte tillhandahålla en sådan mobil</w:t>
      </w:r>
      <w:r w:rsidR="00096926">
        <w:t xml:space="preserve"> </w:t>
      </w:r>
      <w:r w:rsidRPr="004556DF">
        <w:t xml:space="preserve">applikation på sin webbplats, om inte det finns grunder för detta </w:t>
      </w:r>
      <w:r w:rsidR="002E23B0">
        <w:t xml:space="preserve">i lagen. En sådan grund kan vara den </w:t>
      </w:r>
      <w:r w:rsidRPr="004556DF">
        <w:t>opropor</w:t>
      </w:r>
      <w:r w:rsidRPr="004556DF">
        <w:t>t</w:t>
      </w:r>
      <w:r w:rsidRPr="004556DF">
        <w:t>ionell</w:t>
      </w:r>
      <w:r w:rsidR="00096926">
        <w:t>a</w:t>
      </w:r>
      <w:r w:rsidRPr="004556DF">
        <w:t xml:space="preserve"> börda</w:t>
      </w:r>
      <w:r w:rsidR="00096926">
        <w:t xml:space="preserve"> som </w:t>
      </w:r>
      <w:r w:rsidR="007B1053">
        <w:t>förslag till 6</w:t>
      </w:r>
      <w:r w:rsidR="000C71DD">
        <w:t> §</w:t>
      </w:r>
      <w:r w:rsidR="007B1053">
        <w:t xml:space="preserve"> hänvisar till.</w:t>
      </w:r>
    </w:p>
    <w:p w14:paraId="07124BE6" w14:textId="10566219" w:rsidR="00276EF8" w:rsidRDefault="00E70962" w:rsidP="001009C8">
      <w:pPr>
        <w:pStyle w:val="ANormal"/>
      </w:pPr>
      <w:r>
        <w:tab/>
        <w:t xml:space="preserve">I </w:t>
      </w:r>
      <w:r w:rsidRPr="00E70962">
        <w:rPr>
          <w:i/>
        </w:rPr>
        <w:t>3</w:t>
      </w:r>
      <w:r w:rsidR="002F030A">
        <w:rPr>
          <w:i/>
        </w:rPr>
        <w:t> punkt</w:t>
      </w:r>
      <w:r w:rsidRPr="00E70962">
        <w:rPr>
          <w:i/>
        </w:rPr>
        <w:t>en</w:t>
      </w:r>
      <w:r>
        <w:t xml:space="preserve"> definieras begreppet myndighet. Definitionen av myndighet motsvarar den definition av myndighet som </w:t>
      </w:r>
      <w:r w:rsidR="007B1053">
        <w:t>finns i landskapslagar om fö</w:t>
      </w:r>
      <w:r w:rsidR="007B1053">
        <w:t>r</w:t>
      </w:r>
      <w:r w:rsidR="007B1053">
        <w:t>valtningsförfarandet inom landskaps- och kommunalförvaltningen. En mo</w:t>
      </w:r>
      <w:r w:rsidR="007B1053">
        <w:t>t</w:t>
      </w:r>
      <w:r w:rsidR="007B1053">
        <w:t xml:space="preserve">svarande definition finns i </w:t>
      </w:r>
      <w:r>
        <w:t>1</w:t>
      </w:r>
      <w:r w:rsidR="000C71DD">
        <w:t> §</w:t>
      </w:r>
      <w:r>
        <w:t xml:space="preserve"> 2</w:t>
      </w:r>
      <w:r w:rsidR="000C71DD">
        <w:t> mom.</w:t>
      </w:r>
      <w:r>
        <w:t xml:space="preserve"> i förvaltningslagen för landskapet Åland.</w:t>
      </w:r>
      <w:r w:rsidR="001009C8">
        <w:t xml:space="preserve"> Därför är detaljmotiveringen till den bestämmelsen av betydelse även i detta sammanhang</w:t>
      </w:r>
      <w:r w:rsidR="00AA472E" w:rsidRPr="00AA472E">
        <w:t xml:space="preserve"> </w:t>
      </w:r>
      <w:r w:rsidR="00AA472E">
        <w:t>(</w:t>
      </w:r>
      <w:r w:rsidR="00AA472E" w:rsidRPr="00AA472E">
        <w:t>FR nr 8/2006–2007</w:t>
      </w:r>
      <w:r w:rsidR="00AA472E">
        <w:t>)</w:t>
      </w:r>
      <w:r w:rsidR="001009C8">
        <w:t>.</w:t>
      </w:r>
      <w:r>
        <w:t xml:space="preserve"> Med myndighet avses </w:t>
      </w:r>
      <w:r w:rsidRPr="00E70962">
        <w:t>landskapsregeringen, myndigheter och inrättningar som lyder under lan</w:t>
      </w:r>
      <w:r w:rsidRPr="00E70962">
        <w:t>d</w:t>
      </w:r>
      <w:r w:rsidRPr="00E70962">
        <w:t>skapsregeringen, förvaltning som är ansluten till Ålands lagting, komm</w:t>
      </w:r>
      <w:r w:rsidRPr="00E70962">
        <w:t>u</w:t>
      </w:r>
      <w:r w:rsidRPr="00E70962">
        <w:t>nala myndigheter</w:t>
      </w:r>
      <w:r w:rsidR="001009C8">
        <w:t xml:space="preserve"> och</w:t>
      </w:r>
      <w:r w:rsidRPr="00E70962">
        <w:t xml:space="preserve"> landskapets affärsverk</w:t>
      </w:r>
      <w:r w:rsidR="001009C8">
        <w:t xml:space="preserve">. Lagen ska även tillämpas på </w:t>
      </w:r>
      <w:r w:rsidRPr="00E70962">
        <w:t>juridiska och fysiska personer då de utför ett offentligt uppdrag med stöd av landskapslag</w:t>
      </w:r>
      <w:r>
        <w:t xml:space="preserve">. </w:t>
      </w:r>
      <w:r w:rsidR="001009C8">
        <w:t>Detta hänvisar till möjligheten att överlåta en offentlig fö</w:t>
      </w:r>
      <w:r w:rsidR="001009C8">
        <w:t>r</w:t>
      </w:r>
      <w:r w:rsidR="001009C8">
        <w:t>valtningsuppgift till någon annan aktör än en myndighet när förutsättnin</w:t>
      </w:r>
      <w:r w:rsidR="001009C8">
        <w:t>g</w:t>
      </w:r>
      <w:r w:rsidR="001009C8">
        <w:t>arna enligt 124</w:t>
      </w:r>
      <w:r w:rsidR="000C71DD">
        <w:t> §</w:t>
      </w:r>
      <w:r w:rsidR="001009C8">
        <w:t xml:space="preserve"> i grundlagen är uppfyllda. Den föreslagna lagen tillämpas således direkt på basis av bestämmelserna om myndigheter på sådana pr</w:t>
      </w:r>
      <w:r w:rsidR="001009C8">
        <w:t>i</w:t>
      </w:r>
      <w:r w:rsidR="001009C8">
        <w:t>vaträttsliga aktörer som direkt med stöd av landskapslag eller på grund av en i landskapslag föreskriven uppgift sköter en offentlig förvaltningsup</w:t>
      </w:r>
      <w:r w:rsidR="001009C8">
        <w:t>p</w:t>
      </w:r>
      <w:r w:rsidR="001009C8">
        <w:t xml:space="preserve">gift. </w:t>
      </w:r>
      <w:r w:rsidR="00276EF8">
        <w:t>T</w:t>
      </w:r>
      <w:r w:rsidR="001009C8">
        <w:t>illgänglighetskrav</w:t>
      </w:r>
      <w:r w:rsidR="00276EF8">
        <w:t>en</w:t>
      </w:r>
      <w:r w:rsidR="001009C8">
        <w:t xml:space="preserve"> tillämpas </w:t>
      </w:r>
      <w:r w:rsidR="00276EF8">
        <w:t xml:space="preserve">enbart </w:t>
      </w:r>
      <w:r w:rsidR="001009C8">
        <w:t xml:space="preserve">till den del som aktören </w:t>
      </w:r>
      <w:r w:rsidR="00276EF8" w:rsidRPr="00276EF8">
        <w:t>tillha</w:t>
      </w:r>
      <w:r w:rsidR="00276EF8" w:rsidRPr="00276EF8">
        <w:t>n</w:t>
      </w:r>
      <w:r w:rsidR="00276EF8" w:rsidRPr="00276EF8">
        <w:t>dahåller en webbplats eller mobil applikation</w:t>
      </w:r>
      <w:r w:rsidR="00276EF8">
        <w:t xml:space="preserve"> för skötseln av de </w:t>
      </w:r>
      <w:r w:rsidR="001009C8">
        <w:t>offentlig</w:t>
      </w:r>
      <w:r w:rsidR="00276EF8">
        <w:t>a</w:t>
      </w:r>
      <w:r w:rsidR="001009C8">
        <w:t xml:space="preserve"> förvaltningsuppgift</w:t>
      </w:r>
      <w:r w:rsidR="00276EF8">
        <w:t>erna.</w:t>
      </w:r>
    </w:p>
    <w:p w14:paraId="7C0914D0" w14:textId="0370632E" w:rsidR="004128D5" w:rsidRDefault="004128D5" w:rsidP="0007688B">
      <w:pPr>
        <w:pStyle w:val="ANormal"/>
      </w:pPr>
    </w:p>
    <w:p w14:paraId="5E379086" w14:textId="21F18A96" w:rsidR="00A71157" w:rsidRDefault="004128D5" w:rsidP="00437DB0">
      <w:pPr>
        <w:pStyle w:val="ANormal"/>
      </w:pPr>
      <w:r>
        <w:t>3</w:t>
      </w:r>
      <w:r w:rsidR="000C71DD">
        <w:t> §</w:t>
      </w:r>
      <w:r>
        <w:t xml:space="preserve"> </w:t>
      </w:r>
      <w:r w:rsidRPr="004128D5">
        <w:rPr>
          <w:i/>
        </w:rPr>
        <w:t>Offentligrättsliga organ</w:t>
      </w:r>
      <w:r>
        <w:t xml:space="preserve">. I paragrafen hänvisas till begreppet </w:t>
      </w:r>
      <w:r w:rsidRPr="004128D5">
        <w:t>offentl</w:t>
      </w:r>
      <w:r w:rsidRPr="004128D5">
        <w:t>i</w:t>
      </w:r>
      <w:r w:rsidRPr="004128D5">
        <w:t>grättsligt organ</w:t>
      </w:r>
      <w:r>
        <w:t xml:space="preserve">. </w:t>
      </w:r>
      <w:r w:rsidR="003A5B4A">
        <w:t xml:space="preserve">Enligt artikel 3.1 i tillgänglighetsdirektivet gäller direktivet också offentligrättsliga organ. I tillgänglighetsdirektivet har definitionen av offentligrättsligt organ knutits till </w:t>
      </w:r>
      <w:r w:rsidR="003A5B4A" w:rsidRPr="003A5B4A">
        <w:t>definitionen i artikel 2.1.4 i Europapa</w:t>
      </w:r>
      <w:r w:rsidR="003A5B4A" w:rsidRPr="003A5B4A">
        <w:t>r</w:t>
      </w:r>
      <w:r w:rsidR="003A5B4A" w:rsidRPr="003A5B4A">
        <w:t>lamentets och rådets direktiv 2014/24/EU om offentlig upphandling och om upphävande av direktiv 2004/18/EG</w:t>
      </w:r>
      <w:r w:rsidR="003A5B4A">
        <w:t xml:space="preserve">. </w:t>
      </w:r>
      <w:r w:rsidR="00437DB0">
        <w:t>Enligt definitionen i upphandlingsd</w:t>
      </w:r>
      <w:r w:rsidR="00437DB0">
        <w:t>i</w:t>
      </w:r>
      <w:r w:rsidR="00437DB0">
        <w:t>rektivet definieras offentligrättsliga organ som varje organ som har sam</w:t>
      </w:r>
      <w:r w:rsidR="00437DB0">
        <w:t>t</w:t>
      </w:r>
      <w:r w:rsidR="00437DB0">
        <w:t>liga följande egenskaper:</w:t>
      </w:r>
    </w:p>
    <w:p w14:paraId="5C7BE5B3" w14:textId="77F75503" w:rsidR="00A71157" w:rsidRDefault="00A71157" w:rsidP="00437DB0">
      <w:pPr>
        <w:pStyle w:val="ANormal"/>
      </w:pPr>
      <w:r>
        <w:tab/>
      </w:r>
      <w:r w:rsidR="00437DB0">
        <w:t xml:space="preserve">a) </w:t>
      </w:r>
      <w:r w:rsidR="00926903">
        <w:t>d</w:t>
      </w:r>
      <w:r w:rsidR="00437DB0">
        <w:t>e har särskilt inrättats för att tillgodose behov i det allmännas i</w:t>
      </w:r>
      <w:r w:rsidR="00437DB0">
        <w:t>n</w:t>
      </w:r>
      <w:r w:rsidR="00437DB0">
        <w:t>tresse, utan industriell eller kommersiell karaktär</w:t>
      </w:r>
      <w:r w:rsidR="00926903">
        <w:t>,</w:t>
      </w:r>
    </w:p>
    <w:p w14:paraId="57B65015" w14:textId="66854694" w:rsidR="00A71157" w:rsidRDefault="00A71157" w:rsidP="00437DB0">
      <w:pPr>
        <w:pStyle w:val="ANormal"/>
      </w:pPr>
      <w:r>
        <w:tab/>
      </w:r>
      <w:r w:rsidR="00437DB0">
        <w:t xml:space="preserve">b) </w:t>
      </w:r>
      <w:r w:rsidR="00926903">
        <w:t>d</w:t>
      </w:r>
      <w:r w:rsidR="00437DB0">
        <w:t>e är juridiska personer</w:t>
      </w:r>
      <w:r w:rsidR="00926903">
        <w:t>, och</w:t>
      </w:r>
    </w:p>
    <w:p w14:paraId="3B524CE1" w14:textId="082B15FE" w:rsidR="00437DB0" w:rsidRDefault="00A71157" w:rsidP="00437DB0">
      <w:pPr>
        <w:pStyle w:val="ANormal"/>
      </w:pPr>
      <w:r>
        <w:tab/>
      </w:r>
      <w:r w:rsidR="00437DB0">
        <w:t xml:space="preserve">c) </w:t>
      </w:r>
      <w:r w:rsidR="00926903">
        <w:t>d</w:t>
      </w:r>
      <w:r w:rsidR="00437DB0">
        <w:t>e finansieras till största delen av statliga, regionala eller lokala my</w:t>
      </w:r>
      <w:r w:rsidR="00437DB0">
        <w:t>n</w:t>
      </w:r>
      <w:r w:rsidR="00437DB0">
        <w:t>digheter, eller av andra offentligrättsliga organ, eller står under administr</w:t>
      </w:r>
      <w:r w:rsidR="00437DB0">
        <w:t>a</w:t>
      </w:r>
      <w:r w:rsidR="00437DB0">
        <w:t>tiv tillsyn av sådana myndigheter eller organ; eller de har ett förvaltnings-, lednings- eller kontrollorgan där mer än hälften av ledamöterna utses av staten, regionala eller lokala myndigheter, eller av andra offentligrättsliga organ.</w:t>
      </w:r>
    </w:p>
    <w:p w14:paraId="588C802A" w14:textId="1CAFB388" w:rsidR="003A5B4A" w:rsidRDefault="00437DB0" w:rsidP="0007688B">
      <w:pPr>
        <w:pStyle w:val="ANormal"/>
      </w:pPr>
      <w:r>
        <w:tab/>
      </w:r>
      <w:r w:rsidR="00AA4A7A">
        <w:t xml:space="preserve">Definitionen enligt upphandlingsdirektivet har </w:t>
      </w:r>
      <w:r w:rsidR="00C74447">
        <w:t>implementerats i rikets upphandlingslagstiftning, både i 5</w:t>
      </w:r>
      <w:r w:rsidR="000C71DD">
        <w:t> §</w:t>
      </w:r>
      <w:r w:rsidR="00C74447">
        <w:t xml:space="preserve"> i </w:t>
      </w:r>
      <w:r w:rsidR="00C74447" w:rsidRPr="00C74447">
        <w:t xml:space="preserve">lagen om offentlig upphandling och </w:t>
      </w:r>
      <w:r w:rsidR="00C74447" w:rsidRPr="00C74447">
        <w:lastRenderedPageBreak/>
        <w:t>koncession (FFS 1397/2016)</w:t>
      </w:r>
      <w:r w:rsidR="00C74447">
        <w:t xml:space="preserve"> och 5</w:t>
      </w:r>
      <w:r w:rsidR="000C71DD">
        <w:t> §</w:t>
      </w:r>
      <w:r w:rsidR="00C74447">
        <w:t xml:space="preserve"> i </w:t>
      </w:r>
      <w:r w:rsidR="00C74447" w:rsidRPr="00C74447">
        <w:t>lagen om upphandling och konces</w:t>
      </w:r>
      <w:r w:rsidR="00C74447" w:rsidRPr="00C74447">
        <w:t>s</w:t>
      </w:r>
      <w:r w:rsidR="00C74447" w:rsidRPr="00C74447">
        <w:t>ion inom sektorerna vatten, energi, transporter och posttjänster (FFS 1398/2016)</w:t>
      </w:r>
      <w:r w:rsidR="00C74447">
        <w:t xml:space="preserve">. Dessa </w:t>
      </w:r>
      <w:proofErr w:type="gramStart"/>
      <w:r w:rsidR="00C74447">
        <w:t>rikslagar</w:t>
      </w:r>
      <w:proofErr w:type="gramEnd"/>
      <w:r w:rsidR="00C74447">
        <w:t xml:space="preserve"> </w:t>
      </w:r>
      <w:proofErr w:type="gramStart"/>
      <w:r w:rsidR="00C74447">
        <w:t>har</w:t>
      </w:r>
      <w:proofErr w:type="gramEnd"/>
      <w:r w:rsidR="00C74447">
        <w:t xml:space="preserve"> med vissa avvikelser gjorts gällande inom landskapets behörighet enligt landskapslagen (2017:80</w:t>
      </w:r>
      <w:r w:rsidR="003906DB">
        <w:t xml:space="preserve">) </w:t>
      </w:r>
      <w:r w:rsidR="00C74447">
        <w:t>om tillämpning på Åland av rikslagar om offentlig upphandling</w:t>
      </w:r>
      <w:r w:rsidR="003906DB">
        <w:t>. I blankettlagens 3</w:t>
      </w:r>
      <w:r w:rsidR="000C71DD">
        <w:t> §</w:t>
      </w:r>
      <w:r w:rsidR="003906DB">
        <w:t xml:space="preserve"> 7</w:t>
      </w:r>
      <w:r w:rsidR="002F030A">
        <w:t> punkt</w:t>
      </w:r>
      <w:r w:rsidR="003906DB">
        <w:t xml:space="preserve"> hänvisas till dessa i rikslagen definierade offentligrättsliga organ. I den f</w:t>
      </w:r>
      <w:r w:rsidR="003906DB">
        <w:t>ö</w:t>
      </w:r>
      <w:r w:rsidR="003906DB">
        <w:t xml:space="preserve">reslagna lagen tas istället in en särskild bestämmelse där det mera specifikt anges vilka juridiska personer på Åland som ska räknas </w:t>
      </w:r>
      <w:r w:rsidR="002F50F3">
        <w:t>som sådana offen</w:t>
      </w:r>
      <w:r w:rsidR="002F50F3">
        <w:t>t</w:t>
      </w:r>
      <w:r w:rsidR="002F50F3">
        <w:t xml:space="preserve">ligrättsliga </w:t>
      </w:r>
      <w:r w:rsidR="003906DB">
        <w:t xml:space="preserve">organ. </w:t>
      </w:r>
      <w:r w:rsidR="00725B82">
        <w:t xml:space="preserve">Enligt </w:t>
      </w:r>
      <w:r w:rsidR="00725B82" w:rsidRPr="002F50F3">
        <w:rPr>
          <w:i/>
        </w:rPr>
        <w:t>1</w:t>
      </w:r>
      <w:r w:rsidR="000C71DD">
        <w:rPr>
          <w:i/>
        </w:rPr>
        <w:t> mom.</w:t>
      </w:r>
      <w:r w:rsidR="00725B82">
        <w:t xml:space="preserve"> </w:t>
      </w:r>
      <w:r w:rsidR="002F50F3">
        <w:t>ska v</w:t>
      </w:r>
      <w:r w:rsidR="00725B82" w:rsidRPr="00725B82">
        <w:t>id tillämpningen av lag</w:t>
      </w:r>
      <w:r w:rsidR="002F50F3">
        <w:t>en</w:t>
      </w:r>
      <w:r w:rsidR="00725B82" w:rsidRPr="00725B82">
        <w:t xml:space="preserve"> med my</w:t>
      </w:r>
      <w:r w:rsidR="00725B82" w:rsidRPr="00725B82">
        <w:t>n</w:t>
      </w:r>
      <w:r w:rsidR="00725B82" w:rsidRPr="00725B82">
        <w:t>dighet också avses</w:t>
      </w:r>
      <w:r w:rsidR="002F50F3">
        <w:t xml:space="preserve"> </w:t>
      </w:r>
      <w:r w:rsidR="00725B82" w:rsidRPr="00725B82">
        <w:t>offentligrättsliga organ.</w:t>
      </w:r>
      <w:r w:rsidR="002F50F3">
        <w:t xml:space="preserve"> Detta innebär att de enskilda hänvisningarna till myndigheter i lagens bestämmelser också omfattar de offentligrättsliga organen, dvs. lagens tillgänglighetskrav ska också gälla dessa organs webbplatser och mobila applikationer om något av lagens u</w:t>
      </w:r>
      <w:r w:rsidR="002F50F3">
        <w:t>n</w:t>
      </w:r>
      <w:r w:rsidR="002F50F3">
        <w:t>dantag inte är tillämpligt.</w:t>
      </w:r>
    </w:p>
    <w:p w14:paraId="6F7E6F7D" w14:textId="2D395141" w:rsidR="008079A2" w:rsidRDefault="002F50F3" w:rsidP="00A80533">
      <w:pPr>
        <w:pStyle w:val="ANormal"/>
      </w:pPr>
      <w:r>
        <w:tab/>
        <w:t xml:space="preserve">I </w:t>
      </w:r>
      <w:r w:rsidRPr="002F50F3">
        <w:rPr>
          <w:i/>
        </w:rPr>
        <w:t>2</w:t>
      </w:r>
      <w:r w:rsidR="000C71DD">
        <w:rPr>
          <w:i/>
        </w:rPr>
        <w:t> mom.</w:t>
      </w:r>
      <w:r>
        <w:t xml:space="preserve"> ingår en definition av de offentligrättsliga organen. </w:t>
      </w:r>
      <w:r w:rsidR="00822009" w:rsidRPr="00822009">
        <w:t>Enligt EU-domstolen måste begreppet organ som lyder under offentlig rätt ges en självständig och enhetlig tolkning i hela unionen, eftersom det är ett u</w:t>
      </w:r>
      <w:r w:rsidR="00822009" w:rsidRPr="00822009">
        <w:t>n</w:t>
      </w:r>
      <w:r w:rsidR="00822009" w:rsidRPr="00822009">
        <w:t>ionsrättsligt begrepp.</w:t>
      </w:r>
      <w:r w:rsidR="00822009">
        <w:rPr>
          <w:rStyle w:val="Fotnotsreferens"/>
        </w:rPr>
        <w:footnoteReference w:id="18"/>
      </w:r>
      <w:r w:rsidR="00822009">
        <w:t xml:space="preserve"> </w:t>
      </w:r>
      <w:r>
        <w:t>I momentet anges inledningsvis att det ska vara fr</w:t>
      </w:r>
      <w:r>
        <w:t>å</w:t>
      </w:r>
      <w:r>
        <w:t xml:space="preserve">gan om en juridisk person. </w:t>
      </w:r>
      <w:r w:rsidR="00822009">
        <w:t>Till de juridiska personer som är skyldiga att göra grundanmälan räknas enligt</w:t>
      </w:r>
      <w:r w:rsidR="00635E9F">
        <w:t xml:space="preserve"> </w:t>
      </w:r>
      <w:r w:rsidR="00822009">
        <w:t xml:space="preserve">handelsregisterlagen (FFS 129/1979) bl.a. </w:t>
      </w:r>
      <w:r w:rsidR="00A80533">
        <w:t>öppet bolag, kommanditbolag, aktiebolag, ömsesidigt försäkringsbolag, a</w:t>
      </w:r>
      <w:r w:rsidR="00A80533">
        <w:t>n</w:t>
      </w:r>
      <w:r w:rsidR="00A80533">
        <w:t>delslag, sparbank, hypoteksförening, försäkringsförening, statligt affärsverk och bostadsrättsförening, ideell förening och stiftelse.</w:t>
      </w:r>
      <w:r w:rsidR="00635E9F">
        <w:t xml:space="preserve"> Enligt momentet ska den juridiska personen </w:t>
      </w:r>
      <w:r w:rsidR="00635E9F" w:rsidRPr="00635E9F">
        <w:t>ha inrättats för att tillgodose behov i det allmännas intresse utan industriell eller kommersiell karaktär</w:t>
      </w:r>
      <w:r w:rsidR="00635E9F">
        <w:t xml:space="preserve">. </w:t>
      </w:r>
      <w:r w:rsidR="008079A2" w:rsidRPr="008079A2">
        <w:t>Behov i det allmännas intresse har bedömts flera gånger i EU-domstolens rättspraxis</w:t>
      </w:r>
      <w:r w:rsidR="008079A2">
        <w:t>.</w:t>
      </w:r>
      <w:r w:rsidR="008079A2">
        <w:rPr>
          <w:rStyle w:val="Fotnotsreferens"/>
        </w:rPr>
        <w:footnoteReference w:id="19"/>
      </w:r>
      <w:r w:rsidR="008079A2">
        <w:t xml:space="preserve"> </w:t>
      </w:r>
      <w:r w:rsidR="008079A2" w:rsidRPr="008079A2">
        <w:t>Enligt skäl 10 i ingressen till direktiv 2014/24/EU om offentlig upphandling bör inte ett organ som verkar på normala marknadsmässiga villkor, har ett vinstsyfte och bär de förluster som uppstår i samband med utövandet av sin verksa</w:t>
      </w:r>
      <w:r w:rsidR="008079A2" w:rsidRPr="008079A2">
        <w:t>m</w:t>
      </w:r>
      <w:r w:rsidR="008079A2" w:rsidRPr="008079A2">
        <w:t>het anses vara ett offentligrättsligt organ.</w:t>
      </w:r>
    </w:p>
    <w:p w14:paraId="4EB6A6E8" w14:textId="1D8583F4" w:rsidR="005A2DDB" w:rsidRDefault="008079A2" w:rsidP="00A80533">
      <w:pPr>
        <w:pStyle w:val="ANormal"/>
      </w:pPr>
      <w:r>
        <w:tab/>
      </w:r>
      <w:r w:rsidRPr="008079A2">
        <w:t>Enligt rättspraxis ska allmännyttiga behov bedömas med hänsyn till samtliga relevanta faktiska och rättsliga omständigheter, såsom de omstä</w:t>
      </w:r>
      <w:r w:rsidRPr="008079A2">
        <w:t>n</w:t>
      </w:r>
      <w:r w:rsidRPr="008079A2">
        <w:t>digheter som var aktuella vid bildandet av det berörda organet och de vil</w:t>
      </w:r>
      <w:r w:rsidRPr="008079A2">
        <w:t>l</w:t>
      </w:r>
      <w:r w:rsidRPr="008079A2">
        <w:t>kor på vilka organet utövar verksamheten</w:t>
      </w:r>
      <w:r>
        <w:t>.</w:t>
      </w:r>
      <w:r w:rsidRPr="008079A2">
        <w:t xml:space="preserve"> I </w:t>
      </w:r>
      <w:r>
        <w:t>finsk r</w:t>
      </w:r>
      <w:r w:rsidRPr="008079A2">
        <w:t>ättspraxis har det ansetts att behov i det allmännas intresse som inte är av industriell eller kommers</w:t>
      </w:r>
      <w:r w:rsidRPr="008079A2">
        <w:t>i</w:t>
      </w:r>
      <w:r w:rsidRPr="008079A2">
        <w:t>ell karaktär är sådana behov som tillgodoses på andra sätt än genom att e</w:t>
      </w:r>
      <w:r w:rsidRPr="008079A2">
        <w:t>r</w:t>
      </w:r>
      <w:r w:rsidRPr="008079A2">
        <w:t>bjuda varor och tjänster på marknaden och som den offentliga makten b</w:t>
      </w:r>
      <w:r w:rsidRPr="008079A2">
        <w:t>e</w:t>
      </w:r>
      <w:r w:rsidRPr="008079A2">
        <w:t>slutar att producera själv eller i fråga om vilka den behåller det bestä</w:t>
      </w:r>
      <w:r w:rsidRPr="008079A2">
        <w:t>m</w:t>
      </w:r>
      <w:r w:rsidRPr="008079A2">
        <w:t>mande inflytandet.</w:t>
      </w:r>
      <w:r>
        <w:rPr>
          <w:rStyle w:val="Fotnotsreferens"/>
        </w:rPr>
        <w:footnoteReference w:id="20"/>
      </w:r>
      <w:r w:rsidRPr="008079A2">
        <w:t xml:space="preserve"> Med förutsättningen att det ska vara fråga om annan verksamhet än industriell eller kommersiell verksamhet strävar man efter att precisera begreppet behov i det allmännas intresse.</w:t>
      </w:r>
      <w:r w:rsidR="005A2DDB" w:rsidRPr="005A2DDB">
        <w:t xml:space="preserve"> Vid bedömningen av industriell och kommersiell karaktär har det utöver det att verksamheten sker i ett konkurrensförhållande bl.a. ansetts vara av betydelse att inrät</w:t>
      </w:r>
      <w:r w:rsidR="005A2DDB" w:rsidRPr="005A2DDB">
        <w:t>t</w:t>
      </w:r>
      <w:r w:rsidR="005A2DDB" w:rsidRPr="005A2DDB">
        <w:t xml:space="preserve">ningens uppgifter hör till en offentlig myndighets uppgifter, att inrättningen har ett vinstsyfte och har förmåga att bära ekonomiska risker. Enligt EU-domstolen saknar det betydelse om </w:t>
      </w:r>
      <w:r w:rsidR="005A2DDB">
        <w:t xml:space="preserve">organet </w:t>
      </w:r>
      <w:r w:rsidR="005A2DDB" w:rsidRPr="005A2DDB">
        <w:t>utöver en uppgift i det allmä</w:t>
      </w:r>
      <w:r w:rsidR="005A2DDB" w:rsidRPr="005A2DDB">
        <w:t>n</w:t>
      </w:r>
      <w:r w:rsidR="005A2DDB" w:rsidRPr="005A2DDB">
        <w:t xml:space="preserve">nas intresse också sköter andra uppgifter i vinstsyfte, om </w:t>
      </w:r>
      <w:r w:rsidR="005A2DDB">
        <w:t xml:space="preserve">organet </w:t>
      </w:r>
      <w:r w:rsidR="005A2DDB" w:rsidRPr="005A2DDB">
        <w:t xml:space="preserve">fortsätter att sköta sådana behov i det allmännas intresse som </w:t>
      </w:r>
      <w:r w:rsidR="005A2DDB">
        <w:t xml:space="preserve">organet </w:t>
      </w:r>
      <w:r w:rsidR="005A2DDB" w:rsidRPr="005A2DDB">
        <w:t>uttryckligen är skyldig att uppfylla</w:t>
      </w:r>
      <w:r w:rsidR="005A2DDB">
        <w:t>.</w:t>
      </w:r>
      <w:r w:rsidR="005A2DDB">
        <w:rPr>
          <w:rStyle w:val="Fotnotsreferens"/>
        </w:rPr>
        <w:footnoteReference w:id="21"/>
      </w:r>
      <w:r w:rsidR="005A2DDB" w:rsidRPr="005A2DDB">
        <w:t xml:space="preserve"> Det hur stor andel av </w:t>
      </w:r>
      <w:r w:rsidR="005A2DDB">
        <w:t xml:space="preserve">organets </w:t>
      </w:r>
      <w:r w:rsidR="005A2DDB" w:rsidRPr="005A2DDB">
        <w:t xml:space="preserve">hela verksamhet sker i </w:t>
      </w:r>
      <w:r w:rsidR="005A2DDB" w:rsidRPr="005A2DDB">
        <w:lastRenderedPageBreak/>
        <w:t xml:space="preserve">vinstsyfte har inte heller betydelse vid bedömningen av </w:t>
      </w:r>
      <w:r w:rsidR="005A2DDB">
        <w:t xml:space="preserve">om organet </w:t>
      </w:r>
      <w:r w:rsidR="005A2DDB" w:rsidRPr="005A2DDB">
        <w:t>kan a</w:t>
      </w:r>
      <w:r w:rsidR="005A2DDB" w:rsidRPr="005A2DDB">
        <w:t>n</w:t>
      </w:r>
      <w:r w:rsidR="005A2DDB" w:rsidRPr="005A2DDB">
        <w:t>ses vara e</w:t>
      </w:r>
      <w:r w:rsidR="005A2DDB">
        <w:t>tt</w:t>
      </w:r>
      <w:r w:rsidR="005A2DDB" w:rsidRPr="005A2DDB">
        <w:t xml:space="preserve"> offentligrättslig</w:t>
      </w:r>
      <w:r w:rsidR="005A2DDB">
        <w:t>t organ</w:t>
      </w:r>
      <w:r w:rsidR="005A2DDB" w:rsidRPr="005A2DDB">
        <w:t>.</w:t>
      </w:r>
    </w:p>
    <w:p w14:paraId="4DBFC345" w14:textId="20517A50" w:rsidR="003A3058" w:rsidRDefault="006B0A02" w:rsidP="00A80533">
      <w:pPr>
        <w:pStyle w:val="ANormal"/>
      </w:pPr>
      <w:r>
        <w:tab/>
      </w:r>
      <w:r w:rsidR="00A85D1A">
        <w:t xml:space="preserve">Därtill innehåller </w:t>
      </w:r>
      <w:r w:rsidR="004E16C7">
        <w:t xml:space="preserve">den föreslagna </w:t>
      </w:r>
      <w:r w:rsidR="00A85D1A">
        <w:t xml:space="preserve">bestämmelsens </w:t>
      </w:r>
      <w:r w:rsidR="00467BAB">
        <w:t>1–3</w:t>
      </w:r>
      <w:r w:rsidR="002F030A">
        <w:t> punkt</w:t>
      </w:r>
      <w:r w:rsidR="00926903">
        <w:t xml:space="preserve">er </w:t>
      </w:r>
      <w:r w:rsidR="003A3058">
        <w:t>komplett</w:t>
      </w:r>
      <w:r w:rsidR="003A3058">
        <w:t>e</w:t>
      </w:r>
      <w:r w:rsidR="003A3058">
        <w:t xml:space="preserve">rande </w:t>
      </w:r>
      <w:r w:rsidR="00A85D1A">
        <w:t xml:space="preserve">förutsättningar som är alternativa. </w:t>
      </w:r>
      <w:r w:rsidR="00176106">
        <w:t>Tolkningen av om ett organ är ett offentligrättsligt organ inleds med en bedömning av om organet är en själ</w:t>
      </w:r>
      <w:r w:rsidR="00176106">
        <w:t>v</w:t>
      </w:r>
      <w:r w:rsidR="00176106">
        <w:t>ständig juridisk person. Om svaret är jakande bedöms därefter karaktären hos organets verksamhet. Om organet har inrättats för att tillgodose behov i det allmännas intresse bedöms faktorer som anknyter till finansiering, ko</w:t>
      </w:r>
      <w:r w:rsidR="00176106">
        <w:t>n</w:t>
      </w:r>
      <w:r w:rsidR="00176106">
        <w:t>troll och utnämningsrätt</w:t>
      </w:r>
      <w:r w:rsidR="00CD3217">
        <w:t xml:space="preserve"> enligt 1–3</w:t>
      </w:r>
      <w:r w:rsidR="000C71DD">
        <w:t> </w:t>
      </w:r>
      <w:r w:rsidR="00CD3217">
        <w:t>punkterna</w:t>
      </w:r>
      <w:r w:rsidR="00176106">
        <w:t xml:space="preserve">. </w:t>
      </w:r>
      <w:r w:rsidR="00A85D1A">
        <w:t xml:space="preserve">Samtliga </w:t>
      </w:r>
      <w:r w:rsidR="007C5DB8">
        <w:t xml:space="preserve">dessa </w:t>
      </w:r>
      <w:r w:rsidR="00A85D1A">
        <w:t xml:space="preserve">alternativa förutsättningar </w:t>
      </w:r>
      <w:r w:rsidR="00A85D1A" w:rsidRPr="00A85D1A">
        <w:t>innebär ett nära beroendeförhållande till den offentliga ma</w:t>
      </w:r>
      <w:r w:rsidR="00A85D1A" w:rsidRPr="00A85D1A">
        <w:t>k</w:t>
      </w:r>
      <w:r w:rsidR="00A85D1A" w:rsidRPr="00A85D1A">
        <w:t>ten</w:t>
      </w:r>
      <w:r w:rsidR="00A85D1A">
        <w:t xml:space="preserve">. </w:t>
      </w:r>
      <w:r w:rsidR="00A85D1A" w:rsidRPr="00A85D1A">
        <w:t>Enligt EU-domstolens praxis ska alla nämnda förutsättningar tolkas funktionellt</w:t>
      </w:r>
      <w:r w:rsidR="00A85D1A">
        <w:t>.</w:t>
      </w:r>
      <w:r w:rsidR="00A85D1A">
        <w:rPr>
          <w:rStyle w:val="Fotnotsreferens"/>
        </w:rPr>
        <w:footnoteReference w:id="22"/>
      </w:r>
      <w:r w:rsidR="00A85D1A" w:rsidRPr="00A85D1A">
        <w:t xml:space="preserve"> </w:t>
      </w:r>
      <w:r w:rsidR="00A85D1A">
        <w:t xml:space="preserve">Enligt </w:t>
      </w:r>
      <w:r w:rsidR="00467BAB" w:rsidRPr="00467BAB">
        <w:rPr>
          <w:i/>
        </w:rPr>
        <w:t>1</w:t>
      </w:r>
      <w:r w:rsidR="002F030A">
        <w:rPr>
          <w:i/>
        </w:rPr>
        <w:t> punkt</w:t>
      </w:r>
      <w:r w:rsidR="00467BAB" w:rsidRPr="00467BAB">
        <w:rPr>
          <w:i/>
        </w:rPr>
        <w:t>en</w:t>
      </w:r>
      <w:r w:rsidR="00A85D1A">
        <w:t xml:space="preserve"> ska organet </w:t>
      </w:r>
      <w:r w:rsidR="00A85D1A" w:rsidRPr="00A85D1A">
        <w:t xml:space="preserve">till största delen finansieras av en myndighet som </w:t>
      </w:r>
      <w:r w:rsidR="00A85D1A">
        <w:t xml:space="preserve">anges i förslag till </w:t>
      </w:r>
      <w:r w:rsidR="00A85D1A" w:rsidRPr="00A85D1A">
        <w:t>2</w:t>
      </w:r>
      <w:r w:rsidR="000C71DD">
        <w:t> §</w:t>
      </w:r>
      <w:r w:rsidR="00A85D1A" w:rsidRPr="00A85D1A">
        <w:t xml:space="preserve"> 3</w:t>
      </w:r>
      <w:r w:rsidR="002F030A">
        <w:t> punkt</w:t>
      </w:r>
      <w:r w:rsidR="00A85D1A" w:rsidRPr="00A85D1A">
        <w:t>en eller ett annat offentl</w:t>
      </w:r>
      <w:r w:rsidR="00A85D1A" w:rsidRPr="00A85D1A">
        <w:t>i</w:t>
      </w:r>
      <w:r w:rsidR="00A85D1A" w:rsidRPr="00A85D1A">
        <w:t>grättsligt organ</w:t>
      </w:r>
      <w:r w:rsidR="00A85D1A">
        <w:t xml:space="preserve">. </w:t>
      </w:r>
      <w:r w:rsidR="00A85D1A" w:rsidRPr="00A85D1A">
        <w:t>När man bedömer den offentliga finansiering som en enhet får av myndigheter eller andra offentligrättsliga organ, ska enhetens sam</w:t>
      </w:r>
      <w:r w:rsidR="00A85D1A" w:rsidRPr="00A85D1A">
        <w:t>t</w:t>
      </w:r>
      <w:r w:rsidR="00A85D1A" w:rsidRPr="00A85D1A">
        <w:t>liga inkomster, inklusive inkomsterna av enhetens näringsverksamhet, b</w:t>
      </w:r>
      <w:r w:rsidR="00A85D1A" w:rsidRPr="00A85D1A">
        <w:t>e</w:t>
      </w:r>
      <w:r w:rsidR="00A85D1A" w:rsidRPr="00A85D1A">
        <w:t>aktas</w:t>
      </w:r>
      <w:r w:rsidR="00A85D1A">
        <w:t>.</w:t>
      </w:r>
      <w:r w:rsidR="00A85D1A">
        <w:rPr>
          <w:rStyle w:val="Fotnotsreferens"/>
        </w:rPr>
        <w:footnoteReference w:id="23"/>
      </w:r>
      <w:r w:rsidR="00A85D1A">
        <w:t xml:space="preserve"> </w:t>
      </w:r>
      <w:r w:rsidR="00A85D1A" w:rsidRPr="00A85D1A">
        <w:t>Såsom finansiering av en myndighet eller en offentligrättslig inrät</w:t>
      </w:r>
      <w:r w:rsidR="00A85D1A" w:rsidRPr="00A85D1A">
        <w:t>t</w:t>
      </w:r>
      <w:r w:rsidR="00A85D1A" w:rsidRPr="00A85D1A">
        <w:t xml:space="preserve">ning betraktas inte inkomster som baserar sig på </w:t>
      </w:r>
      <w:proofErr w:type="gramStart"/>
      <w:r w:rsidR="00A85D1A" w:rsidRPr="00A85D1A">
        <w:t>vederlag</w:t>
      </w:r>
      <w:proofErr w:type="gramEnd"/>
      <w:r w:rsidR="00A85D1A" w:rsidRPr="00A85D1A">
        <w:t xml:space="preserve"> såsom inkomster av försäljning av tjänster. </w:t>
      </w:r>
      <w:r w:rsidR="003A3058" w:rsidRPr="003A3058">
        <w:t xml:space="preserve">Enligt </w:t>
      </w:r>
      <w:r w:rsidR="00467BAB" w:rsidRPr="00467BAB">
        <w:rPr>
          <w:i/>
        </w:rPr>
        <w:t>2</w:t>
      </w:r>
      <w:r w:rsidR="002F030A">
        <w:rPr>
          <w:i/>
        </w:rPr>
        <w:t> punkt</w:t>
      </w:r>
      <w:r w:rsidR="00467BAB" w:rsidRPr="00467BAB">
        <w:rPr>
          <w:i/>
        </w:rPr>
        <w:t>en</w:t>
      </w:r>
      <w:r w:rsidR="003A3058" w:rsidRPr="003A3058">
        <w:t xml:space="preserve"> </w:t>
      </w:r>
      <w:r w:rsidR="003A3058">
        <w:t xml:space="preserve">ska organets </w:t>
      </w:r>
      <w:r w:rsidR="003A3058" w:rsidRPr="003A3058">
        <w:t>ledning stå under kontroll av en myndighet eller ett annat offentligrättsligt organ</w:t>
      </w:r>
      <w:r w:rsidR="003A3058">
        <w:t xml:space="preserve">. </w:t>
      </w:r>
      <w:r w:rsidR="00A85D1A" w:rsidRPr="00A85D1A">
        <w:t xml:space="preserve">Villkoret </w:t>
      </w:r>
      <w:r w:rsidR="003A3058">
        <w:t xml:space="preserve">om kontroll </w:t>
      </w:r>
      <w:r w:rsidR="00A85D1A" w:rsidRPr="00A85D1A">
        <w:t>uppfylls till exempel genom aktieinnehav eller annan kontroll genom vilken enheten i fråga och dess beslut de facto styrs</w:t>
      </w:r>
      <w:r w:rsidR="003A3058">
        <w:t xml:space="preserve"> av en myndi</w:t>
      </w:r>
      <w:r w:rsidR="003A3058">
        <w:t>g</w:t>
      </w:r>
      <w:r w:rsidR="003A3058">
        <w:t xml:space="preserve">het eller ett annat offentligrättsligt organ. </w:t>
      </w:r>
      <w:r w:rsidR="00A85D1A" w:rsidRPr="00A85D1A">
        <w:t>Allmän myndighetstillsyn up</w:t>
      </w:r>
      <w:r w:rsidR="00A85D1A" w:rsidRPr="00A85D1A">
        <w:t>p</w:t>
      </w:r>
      <w:r w:rsidR="00A85D1A" w:rsidRPr="00A85D1A">
        <w:t xml:space="preserve">fyller inte kravet på kontroll. </w:t>
      </w:r>
      <w:r w:rsidR="00176106">
        <w:t>Slutligen hänvisas i</w:t>
      </w:r>
      <w:r w:rsidR="003A3058">
        <w:t xml:space="preserve"> </w:t>
      </w:r>
      <w:r w:rsidR="00467BAB" w:rsidRPr="00467BAB">
        <w:rPr>
          <w:i/>
        </w:rPr>
        <w:t>3</w:t>
      </w:r>
      <w:r w:rsidR="002F030A">
        <w:rPr>
          <w:i/>
        </w:rPr>
        <w:t> punkt</w:t>
      </w:r>
      <w:r w:rsidR="00467BAB" w:rsidRPr="00467BAB">
        <w:rPr>
          <w:i/>
        </w:rPr>
        <w:t>en</w:t>
      </w:r>
      <w:r w:rsidR="003A3058">
        <w:t xml:space="preserve"> </w:t>
      </w:r>
      <w:r w:rsidR="00176106">
        <w:t xml:space="preserve">till </w:t>
      </w:r>
      <w:r w:rsidR="00A85D1A" w:rsidRPr="00A85D1A">
        <w:t xml:space="preserve">rätten </w:t>
      </w:r>
      <w:r w:rsidR="003A3058">
        <w:t xml:space="preserve">för myndigheter och andra offentligrättsliga organ </w:t>
      </w:r>
      <w:r w:rsidR="00A85D1A" w:rsidRPr="00A85D1A">
        <w:t xml:space="preserve">att utnämna majoriteten i ett </w:t>
      </w:r>
      <w:r w:rsidR="003A3058" w:rsidRPr="003A3058">
        <w:t xml:space="preserve">förvaltnings-, styrelse- eller kontrollorgan </w:t>
      </w:r>
      <w:r w:rsidR="003A3058">
        <w:t>inom organet</w:t>
      </w:r>
      <w:r w:rsidR="00176106">
        <w:t>.</w:t>
      </w:r>
    </w:p>
    <w:p w14:paraId="6809DD52" w14:textId="1E610EB7" w:rsidR="00D04F3F" w:rsidRDefault="00176106" w:rsidP="00D04F3F">
      <w:pPr>
        <w:pStyle w:val="ANormal"/>
      </w:pPr>
      <w:r>
        <w:tab/>
      </w:r>
      <w:r w:rsidR="0016728A">
        <w:t>I rättspraxis i riket har t.ex. Rundradion Ab, Studenternas Hälsovård</w:t>
      </w:r>
      <w:r w:rsidR="0016728A">
        <w:t>s</w:t>
      </w:r>
      <w:r w:rsidR="0016728A">
        <w:t>stiftelse SHVS samt fastighetsaktiebolag som ägs av en stad betraktats som offentligrättsliga organ. I ett annat fall prövades ställningen för en organ</w:t>
      </w:r>
      <w:r w:rsidR="0016728A">
        <w:t>i</w:t>
      </w:r>
      <w:r w:rsidR="0016728A">
        <w:t>sation inom social- och hälsovårdssektorn vars syfte är att främja hälsa och välfärd och som bl.a. stöder och bedriver forsknings- och utvecklingsver</w:t>
      </w:r>
      <w:r w:rsidR="0016728A">
        <w:t>k</w:t>
      </w:r>
      <w:r w:rsidR="0016728A">
        <w:t>samhet inom sektorn. Organisationens verksamhet finansieras i huvudsak med hjälp av statsandelar och bidrag från Penningautomatföreningen. Denna organisation betraktades som ett offentligrättsligt organ enligt up</w:t>
      </w:r>
      <w:r w:rsidR="0016728A">
        <w:t>p</w:t>
      </w:r>
      <w:r w:rsidR="0016728A">
        <w:t>handlingslagen.</w:t>
      </w:r>
      <w:r w:rsidR="0016728A">
        <w:rPr>
          <w:rStyle w:val="Fotnotsreferens"/>
        </w:rPr>
        <w:footnoteReference w:id="24"/>
      </w:r>
      <w:r w:rsidR="0016728A">
        <w:t xml:space="preserve"> </w:t>
      </w:r>
      <w:r w:rsidR="006B0A02">
        <w:t xml:space="preserve">När det gäller specifikt förhållandena på Åland har </w:t>
      </w:r>
      <w:r w:rsidR="009D482E">
        <w:t>b</w:t>
      </w:r>
      <w:r w:rsidR="009D482E">
        <w:t>e</w:t>
      </w:r>
      <w:r w:rsidR="009D482E">
        <w:t>greppet offentligrättsligt organ berörts i förarbetena till tidigare blankettla</w:t>
      </w:r>
      <w:r w:rsidR="009D482E">
        <w:t>g</w:t>
      </w:r>
      <w:r w:rsidR="009D482E">
        <w:t>stiftning om offentlig upphandling. I framställningen konstateras att o</w:t>
      </w:r>
      <w:r w:rsidR="009D482E" w:rsidRPr="009D482E">
        <w:t>lika organ måste själva bedöma om de omfattas av kraven på upphandling enlig</w:t>
      </w:r>
      <w:r w:rsidR="007C5DB8">
        <w:t>t</w:t>
      </w:r>
      <w:r w:rsidR="009D482E" w:rsidRPr="009D482E">
        <w:t xml:space="preserve"> regelverket eller inte. </w:t>
      </w:r>
      <w:r w:rsidR="009D482E">
        <w:t xml:space="preserve">Som exempel på </w:t>
      </w:r>
      <w:r w:rsidR="009D482E" w:rsidRPr="009D482E">
        <w:t xml:space="preserve">enskilda organ som kan omfattas av </w:t>
      </w:r>
      <w:r w:rsidR="009D482E">
        <w:t xml:space="preserve">begreppet ges </w:t>
      </w:r>
      <w:r w:rsidR="009D482E" w:rsidRPr="009D482E">
        <w:t>Ålands hälso- och sjukvård, Ålands Industrihus Ab, Norra Ålands Industrihus Ab samt skolor och rikets organ som genomför sådan upphandling i landskapet.</w:t>
      </w:r>
      <w:r w:rsidR="009D482E">
        <w:rPr>
          <w:rStyle w:val="Fotnotsreferens"/>
        </w:rPr>
        <w:footnoteReference w:id="25"/>
      </w:r>
      <w:r w:rsidR="009D482E">
        <w:t xml:space="preserve"> </w:t>
      </w:r>
    </w:p>
    <w:p w14:paraId="2357E447" w14:textId="09CD9E64" w:rsidR="002F50F3" w:rsidRDefault="00D04F3F" w:rsidP="00D04F3F">
      <w:pPr>
        <w:pStyle w:val="ANormal"/>
      </w:pPr>
      <w:r>
        <w:tab/>
      </w:r>
      <w:r w:rsidR="009D482E">
        <w:t xml:space="preserve">Nyligen har </w:t>
      </w:r>
      <w:r>
        <w:t xml:space="preserve">högsta förvaltningsdomstolen </w:t>
      </w:r>
      <w:r w:rsidR="009D482E" w:rsidRPr="009D482E">
        <w:t>ansett att Ålands Penninga</w:t>
      </w:r>
      <w:r w:rsidR="009D482E" w:rsidRPr="009D482E">
        <w:t>u</w:t>
      </w:r>
      <w:r w:rsidR="009D482E" w:rsidRPr="009D482E">
        <w:t xml:space="preserve">tomatförening </w:t>
      </w:r>
      <w:r>
        <w:t xml:space="preserve">(Paf) </w:t>
      </w:r>
      <w:r w:rsidR="009D482E" w:rsidRPr="009D482E">
        <w:t>är ett sådant offentligrättsligt organ som avses i up</w:t>
      </w:r>
      <w:r w:rsidR="009D482E" w:rsidRPr="009D482E">
        <w:t>p</w:t>
      </w:r>
      <w:r w:rsidR="009D482E" w:rsidRPr="009D482E">
        <w:t>handlingslagstiftningen.</w:t>
      </w:r>
      <w:r w:rsidR="009D482E" w:rsidRPr="009D482E">
        <w:rPr>
          <w:vertAlign w:val="superscript"/>
        </w:rPr>
        <w:footnoteReference w:id="26"/>
      </w:r>
      <w:r w:rsidR="009D482E" w:rsidRPr="009D482E">
        <w:t xml:space="preserve"> </w:t>
      </w:r>
      <w:r>
        <w:t>Denna slutsats motiverades bl.a. med att de m</w:t>
      </w:r>
      <w:r>
        <w:t>e</w:t>
      </w:r>
      <w:r>
        <w:t xml:space="preserve">del som inflyter genom </w:t>
      </w:r>
      <w:proofErr w:type="spellStart"/>
      <w:r>
        <w:t>Paf:s</w:t>
      </w:r>
      <w:proofErr w:type="spellEnd"/>
      <w:r>
        <w:t xml:space="preserve"> verksamhet används till allmännyttiga änd</w:t>
      </w:r>
      <w:r>
        <w:t>a</w:t>
      </w:r>
      <w:r>
        <w:t>mål och att Paf därför åtminstone delvis har inrättats för att tillgodose b</w:t>
      </w:r>
      <w:r>
        <w:t>e</w:t>
      </w:r>
      <w:r>
        <w:t xml:space="preserve">hov i det allmännas intresse. </w:t>
      </w:r>
      <w:r w:rsidR="00290DE2">
        <w:t xml:space="preserve">Domstolen konstaterade att </w:t>
      </w:r>
      <w:r>
        <w:t>Paf har monopo</w:t>
      </w:r>
      <w:r>
        <w:t>l</w:t>
      </w:r>
      <w:r>
        <w:t xml:space="preserve">ställning beträffande penningspel på Åland och på passagerarfärjor som är registrerade i landskapet. </w:t>
      </w:r>
      <w:proofErr w:type="spellStart"/>
      <w:r>
        <w:t>Paf:s</w:t>
      </w:r>
      <w:proofErr w:type="spellEnd"/>
      <w:r>
        <w:t xml:space="preserve"> position på marknaden är skyddad och </w:t>
      </w:r>
      <w:r>
        <w:lastRenderedPageBreak/>
        <w:t xml:space="preserve">mindre riskfylld på grund av tillståndsbunden verksamhet och ensamrätt. Paf verkar således inte på normala marknadsmässiga villkor. </w:t>
      </w:r>
      <w:r w:rsidR="00D3682F">
        <w:t xml:space="preserve">I </w:t>
      </w:r>
      <w:r w:rsidR="0003617A">
        <w:t>högsta fö</w:t>
      </w:r>
      <w:r w:rsidR="0003617A">
        <w:t>r</w:t>
      </w:r>
      <w:r w:rsidR="0003617A">
        <w:t>valtningsdomstolens beslut tillämpas den blankettlag som gör rikets up</w:t>
      </w:r>
      <w:r w:rsidR="0003617A">
        <w:t>p</w:t>
      </w:r>
      <w:r w:rsidR="0003617A">
        <w:t xml:space="preserve">handlingslag gällande på Åland, dvs. domstolen utgår från att landskapets behörighet i samband med upphandlingar utsträcks till de offentligrättsliga organen. </w:t>
      </w:r>
      <w:r w:rsidR="00767177">
        <w:t>Samma slutsats bör</w:t>
      </w:r>
      <w:r w:rsidR="0003617A">
        <w:t xml:space="preserve"> dras i samband med tillämpningen av den f</w:t>
      </w:r>
      <w:r w:rsidR="0003617A">
        <w:t>ö</w:t>
      </w:r>
      <w:r w:rsidR="0003617A">
        <w:t>reslagna lagen</w:t>
      </w:r>
      <w:r w:rsidR="00C964C2">
        <w:t xml:space="preserve">. </w:t>
      </w:r>
      <w:r w:rsidR="00767177">
        <w:t>Paf bör anses vara ett sådant offentligrättsligt organ som a</w:t>
      </w:r>
      <w:r w:rsidR="00767177">
        <w:t>v</w:t>
      </w:r>
      <w:r w:rsidR="00767177">
        <w:t xml:space="preserve">ses i </w:t>
      </w:r>
      <w:r w:rsidR="0003617A">
        <w:t>den föreslagna lagen</w:t>
      </w:r>
      <w:r w:rsidR="00C964C2">
        <w:t xml:space="preserve">, men </w:t>
      </w:r>
      <w:proofErr w:type="spellStart"/>
      <w:r w:rsidR="00C964C2">
        <w:t>Paf:s</w:t>
      </w:r>
      <w:proofErr w:type="spellEnd"/>
      <w:r w:rsidR="00C964C2">
        <w:t xml:space="preserve"> verksamhet är av sådan karaktär att föreningen ska omfattas av det i 3</w:t>
      </w:r>
      <w:r w:rsidR="000C71DD">
        <w:t> mom.</w:t>
      </w:r>
      <w:r w:rsidR="00C964C2">
        <w:t xml:space="preserve"> föreslagna undantaget</w:t>
      </w:r>
      <w:r w:rsidR="00767177">
        <w:t>.</w:t>
      </w:r>
    </w:p>
    <w:p w14:paraId="466AC36B" w14:textId="4A5E68C5" w:rsidR="00C964C2" w:rsidRDefault="002C53BE" w:rsidP="002C53BE">
      <w:pPr>
        <w:pStyle w:val="ANormal"/>
      </w:pPr>
      <w:r>
        <w:tab/>
        <w:t xml:space="preserve">Enligt </w:t>
      </w:r>
      <w:r w:rsidRPr="002C53BE">
        <w:rPr>
          <w:i/>
        </w:rPr>
        <w:t>3</w:t>
      </w:r>
      <w:r w:rsidR="000C71DD">
        <w:rPr>
          <w:i/>
        </w:rPr>
        <w:t> mom.</w:t>
      </w:r>
      <w:r>
        <w:t xml:space="preserve"> ska l</w:t>
      </w:r>
      <w:r w:rsidRPr="002C53BE">
        <w:t xml:space="preserve">agen </w:t>
      </w:r>
      <w:r w:rsidR="00D56147" w:rsidRPr="00D56147">
        <w:t xml:space="preserve">endast </w:t>
      </w:r>
      <w:r w:rsidR="00D56147">
        <w:t xml:space="preserve">tillämpas </w:t>
      </w:r>
      <w:r w:rsidR="00D56147" w:rsidRPr="00D56147">
        <w:t>i förhållande till sådana offen</w:t>
      </w:r>
      <w:r w:rsidR="00D56147" w:rsidRPr="00D56147">
        <w:t>t</w:t>
      </w:r>
      <w:r w:rsidR="00D56147" w:rsidRPr="00D56147">
        <w:t>ligrättsliga organ som tillhandahåller tjänster som är väsentliga för allmä</w:t>
      </w:r>
      <w:r w:rsidR="00D56147" w:rsidRPr="00D56147">
        <w:t>n</w:t>
      </w:r>
      <w:r w:rsidR="00D56147" w:rsidRPr="00D56147">
        <w:t>heten eller tjänster som specifikt tillgodoser behoven för eller är avsedda för personer med funktionsnedsättning</w:t>
      </w:r>
      <w:r w:rsidR="00D56147">
        <w:t xml:space="preserve">. </w:t>
      </w:r>
      <w:r>
        <w:t>Detta undantag baserar sig på art</w:t>
      </w:r>
      <w:r>
        <w:t>i</w:t>
      </w:r>
      <w:r>
        <w:t>kel 1.3</w:t>
      </w:r>
      <w:r w:rsidR="007A7FF0">
        <w:t> </w:t>
      </w:r>
      <w:r>
        <w:t>b i tillgänglighetsdirektivet som anger att direktivet inte är tilläm</w:t>
      </w:r>
      <w:r>
        <w:t>p</w:t>
      </w:r>
      <w:r>
        <w:t>ligt på webbplatser och mobila applikationer tillhörande icke-statliga org</w:t>
      </w:r>
      <w:r>
        <w:t>a</w:t>
      </w:r>
      <w:r>
        <w:t>nisationer som inte tillhandahåller tjänster som är väsentliga för allmänhe</w:t>
      </w:r>
      <w:r>
        <w:t>t</w:t>
      </w:r>
      <w:r>
        <w:t xml:space="preserve">en eller tjänster som specifikt tillgodoser behoven för eller är avsedda för personer med funktionsnedsättning. Ur </w:t>
      </w:r>
      <w:r w:rsidRPr="002C53BE">
        <w:t xml:space="preserve">skäl 25 i direktivets ingress </w:t>
      </w:r>
      <w:r>
        <w:t xml:space="preserve">framgår </w:t>
      </w:r>
      <w:r w:rsidRPr="002C53BE">
        <w:t>att vissa icke-statliga organisationer, som är frivilliga självstyrande organ som inrättats huvudsakligen utan vinstsyfte, skulle kunna omfattas av d</w:t>
      </w:r>
      <w:r w:rsidRPr="002C53BE">
        <w:t>i</w:t>
      </w:r>
      <w:r w:rsidRPr="002C53BE">
        <w:t>rektiv</w:t>
      </w:r>
      <w:r w:rsidR="009D166B">
        <w:t>et</w:t>
      </w:r>
      <w:r w:rsidRPr="002C53BE">
        <w:t>s tillämpningsområde. För att undvika att lägga en oproportionell börda på sådana icke-statliga organisationer bör enligt skäl 25 direktivet inte vara tillämpligt på dem.</w:t>
      </w:r>
    </w:p>
    <w:p w14:paraId="441FCBEE" w14:textId="71FE5866" w:rsidR="006935C0" w:rsidRDefault="006935C0" w:rsidP="002C53BE">
      <w:pPr>
        <w:pStyle w:val="ANormal"/>
      </w:pPr>
      <w:r>
        <w:tab/>
      </w:r>
      <w:r w:rsidRPr="006935C0">
        <w:t>Artikel 1.3</w:t>
      </w:r>
      <w:r w:rsidR="00A71157">
        <w:t> </w:t>
      </w:r>
      <w:r w:rsidRPr="006935C0">
        <w:t>b i tillgänglighetsdirektivet tar särskilt sikte på verksamhe</w:t>
      </w:r>
      <w:r w:rsidRPr="006935C0">
        <w:t>t</w:t>
      </w:r>
      <w:r w:rsidRPr="006935C0">
        <w:t xml:space="preserve">ens karaktär vid avgränsningen av undantaget. Vid tillämpningen av </w:t>
      </w:r>
      <w:r w:rsidR="00CA4C38">
        <w:t>unda</w:t>
      </w:r>
      <w:r w:rsidR="00CA4C38">
        <w:t>n</w:t>
      </w:r>
      <w:r w:rsidR="00CA4C38">
        <w:t>taget enligt 3</w:t>
      </w:r>
      <w:r w:rsidR="000C71DD">
        <w:t> mom.</w:t>
      </w:r>
      <w:r w:rsidR="00CA4C38">
        <w:t xml:space="preserve"> </w:t>
      </w:r>
      <w:r w:rsidRPr="006935C0">
        <w:t>ska det enskilda offentligrättsliga organet kunna visa att organet varken tillhandahåller tjänster som är väsentliga för allmänheten e</w:t>
      </w:r>
      <w:r w:rsidRPr="006935C0">
        <w:t>l</w:t>
      </w:r>
      <w:r w:rsidRPr="006935C0">
        <w:t>ler tjänster som specifikt tillgodoser behoven för eller är avsedda för pers</w:t>
      </w:r>
      <w:r w:rsidRPr="006935C0">
        <w:t>o</w:t>
      </w:r>
      <w:r w:rsidRPr="006935C0">
        <w:t>ner med funktionsnedsättning. Vid bedömningen av om tjänsterna är v</w:t>
      </w:r>
      <w:r w:rsidRPr="006935C0">
        <w:t>ä</w:t>
      </w:r>
      <w:r w:rsidRPr="006935C0">
        <w:t xml:space="preserve">sentliga för allmänheten bör </w:t>
      </w:r>
      <w:r>
        <w:t xml:space="preserve">särskilt </w:t>
      </w:r>
      <w:r w:rsidRPr="006935C0">
        <w:t>beaktas om tjänsterna riktade till e</w:t>
      </w:r>
      <w:r w:rsidRPr="006935C0">
        <w:t>n</w:t>
      </w:r>
      <w:r w:rsidRPr="006935C0">
        <w:t xml:space="preserve">skilda är av offentligrättslig karaktär och i vilken omfattning tjänsterna är nödvändiga för enskilda. Trots att t.ex. Paf har inrättats för allmännyttiga ändamål är de tjänster som tillhandahålls på </w:t>
      </w:r>
      <w:proofErr w:type="spellStart"/>
      <w:r w:rsidRPr="006935C0">
        <w:t>Paf:s</w:t>
      </w:r>
      <w:proofErr w:type="spellEnd"/>
      <w:r w:rsidRPr="006935C0">
        <w:t xml:space="preserve"> webbplatser eller mobila applikationer varken nödvändiga för enskilda eller särskilt avsedda för pe</w:t>
      </w:r>
      <w:r w:rsidRPr="006935C0">
        <w:t>r</w:t>
      </w:r>
      <w:r w:rsidRPr="006935C0">
        <w:t xml:space="preserve">soner med funktionsnedsättning. </w:t>
      </w:r>
      <w:r>
        <w:t xml:space="preserve">Paf fungerar också inom en bransch där övriga aktörer som erbjuder motsvarande tjänster inte är föremål för kraven i tillgänglighetsdirektivet. </w:t>
      </w:r>
      <w:r w:rsidRPr="006935C0">
        <w:t>Därför ska den föreslagna lagen inte tillämpas i förhållande till Paf. I övrigt motiveras de</w:t>
      </w:r>
      <w:r>
        <w:t xml:space="preserve">n </w:t>
      </w:r>
      <w:r w:rsidRPr="006935C0">
        <w:t xml:space="preserve">föreslagna </w:t>
      </w:r>
      <w:r>
        <w:t xml:space="preserve">bestämmelsen </w:t>
      </w:r>
      <w:r w:rsidRPr="006935C0">
        <w:t>med att allmännyttiga juridiska personer (t.ex. föreningar och stiftelser) med knappa resurser som är offentligt finansierade eller styrda inte ska drabbas av krav som inte står i proportion till deras förmåga eller nyttoeffekten av anpassningen.</w:t>
      </w:r>
    </w:p>
    <w:p w14:paraId="031F6C9B" w14:textId="77777777" w:rsidR="00467BAB" w:rsidRDefault="00467BAB" w:rsidP="0007688B">
      <w:pPr>
        <w:pStyle w:val="ANormal"/>
      </w:pPr>
    </w:p>
    <w:p w14:paraId="0B4E6991" w14:textId="025D9323" w:rsidR="00985A42" w:rsidRDefault="00467BAB" w:rsidP="0007688B">
      <w:pPr>
        <w:pStyle w:val="ANormal"/>
      </w:pPr>
      <w:r>
        <w:t>4</w:t>
      </w:r>
      <w:r w:rsidR="000C71DD">
        <w:t> §</w:t>
      </w:r>
      <w:r>
        <w:t xml:space="preserve"> </w:t>
      </w:r>
      <w:r w:rsidRPr="00467BAB">
        <w:rPr>
          <w:i/>
        </w:rPr>
        <w:t>Undantag från tillämpningsområdet</w:t>
      </w:r>
      <w:r>
        <w:t xml:space="preserve">. </w:t>
      </w:r>
      <w:r w:rsidR="00632D42">
        <w:t>Enligt artikel 1.3 a i tillgängli</w:t>
      </w:r>
      <w:r w:rsidR="00632D42">
        <w:t>g</w:t>
      </w:r>
      <w:r w:rsidR="00632D42">
        <w:t>hetsdirektivet ska d</w:t>
      </w:r>
      <w:r w:rsidR="006D0CE1">
        <w:t>irektivet</w:t>
      </w:r>
      <w:r w:rsidR="00632D42">
        <w:t xml:space="preserve"> </w:t>
      </w:r>
      <w:r>
        <w:t>inte tillämpas på w</w:t>
      </w:r>
      <w:r w:rsidRPr="00467BAB">
        <w:t>ebbplatser och mobila a</w:t>
      </w:r>
      <w:r w:rsidRPr="00467BAB">
        <w:t>p</w:t>
      </w:r>
      <w:r w:rsidRPr="00467BAB">
        <w:t>plikationer tillhörande radio- och televisionsföretag med uppdrag i allmä</w:t>
      </w:r>
      <w:r w:rsidRPr="00467BAB">
        <w:t>n</w:t>
      </w:r>
      <w:r w:rsidRPr="00467BAB">
        <w:t>hetens tjänst samt deras dotterbolag, liksom för andra organ eller deras do</w:t>
      </w:r>
      <w:r w:rsidRPr="00467BAB">
        <w:t>t</w:t>
      </w:r>
      <w:r w:rsidRPr="00467BAB">
        <w:t>terbolag, för fullgörandet av ett uppdrag att verka i allmänhetens tjänst på radio- eller tv-området.</w:t>
      </w:r>
      <w:r w:rsidR="00985A42">
        <w:t xml:space="preserve"> </w:t>
      </w:r>
      <w:r w:rsidR="00632D42">
        <w:t>Direktivets undantag gäller radio- och television</w:t>
      </w:r>
      <w:r w:rsidR="00632D42">
        <w:t>s</w:t>
      </w:r>
      <w:r w:rsidR="00632D42">
        <w:t>företagen i sin helhet, dvs. oberoende av innehållet på deras webbplatser e</w:t>
      </w:r>
      <w:r w:rsidR="00632D42">
        <w:t>l</w:t>
      </w:r>
      <w:r w:rsidR="00632D42">
        <w:t xml:space="preserve">ler mobila applikationer. </w:t>
      </w:r>
      <w:r w:rsidR="00985A42" w:rsidRPr="00985A42">
        <w:t xml:space="preserve">Enligt </w:t>
      </w:r>
      <w:r w:rsidR="00445EEC" w:rsidRPr="00445EEC">
        <w:rPr>
          <w:i/>
        </w:rPr>
        <w:t>1</w:t>
      </w:r>
      <w:r w:rsidR="000C71DD">
        <w:rPr>
          <w:i/>
        </w:rPr>
        <w:t> mom.</w:t>
      </w:r>
      <w:r w:rsidR="00445EEC" w:rsidRPr="00445EEC">
        <w:rPr>
          <w:i/>
        </w:rPr>
        <w:t xml:space="preserve"> </w:t>
      </w:r>
      <w:r w:rsidR="00985A42" w:rsidRPr="00985A42">
        <w:t>ska lagen inte tillämpas i förhå</w:t>
      </w:r>
      <w:r w:rsidR="00985A42" w:rsidRPr="00985A42">
        <w:t>l</w:t>
      </w:r>
      <w:r w:rsidR="00985A42" w:rsidRPr="00985A42">
        <w:t>lande till webbplatser och mobila applikationer som tillhör radio- och tel</w:t>
      </w:r>
      <w:r w:rsidR="00985A42" w:rsidRPr="00985A42">
        <w:t>e</w:t>
      </w:r>
      <w:r w:rsidR="00985A42" w:rsidRPr="00985A42">
        <w:t>visionsföretag med uppdrag i allmänhetens tjänst.</w:t>
      </w:r>
      <w:r w:rsidR="00985A42">
        <w:t xml:space="preserve"> Radio- och television</w:t>
      </w:r>
      <w:r w:rsidR="00985A42">
        <w:t>s</w:t>
      </w:r>
      <w:r w:rsidR="00985A42">
        <w:t xml:space="preserve">verksamheten på Åland är föremål för </w:t>
      </w:r>
      <w:r w:rsidR="00985A42" w:rsidRPr="00985A42">
        <w:t>landskapslagen om radio- och tel</w:t>
      </w:r>
      <w:r w:rsidR="00985A42" w:rsidRPr="00985A42">
        <w:t>e</w:t>
      </w:r>
      <w:r w:rsidR="00985A42" w:rsidRPr="00985A42">
        <w:t>visionsverksamhet</w:t>
      </w:r>
      <w:r w:rsidR="00985A42">
        <w:t>. R</w:t>
      </w:r>
      <w:r w:rsidR="00985A42" w:rsidRPr="00985A42">
        <w:t>adio- och televisionsverksamhet som står i allmänhe</w:t>
      </w:r>
      <w:r w:rsidR="00985A42" w:rsidRPr="00985A42">
        <w:t>t</w:t>
      </w:r>
      <w:r w:rsidR="00985A42" w:rsidRPr="00985A42">
        <w:t xml:space="preserve">ens tjänst </w:t>
      </w:r>
      <w:r w:rsidR="00985A42">
        <w:t>hänvisar till s.k. public service</w:t>
      </w:r>
      <w:r w:rsidR="00F52330">
        <w:t xml:space="preserve"> eller </w:t>
      </w:r>
      <w:r w:rsidR="00F52330" w:rsidRPr="00F52330">
        <w:t>offentlig rundradioverksa</w:t>
      </w:r>
      <w:r w:rsidR="00F52330" w:rsidRPr="00F52330">
        <w:t>m</w:t>
      </w:r>
      <w:r w:rsidR="00F52330" w:rsidRPr="00F52330">
        <w:t>het</w:t>
      </w:r>
      <w:r w:rsidR="00985A42">
        <w:t xml:space="preserve">. I praktiken omfattar undantaget i bestämmelsen </w:t>
      </w:r>
      <w:r w:rsidR="00985A42" w:rsidRPr="00985A42">
        <w:t xml:space="preserve">Ålands Radio och TV </w:t>
      </w:r>
      <w:r w:rsidR="00985A42" w:rsidRPr="00985A42">
        <w:lastRenderedPageBreak/>
        <w:t>Ab</w:t>
      </w:r>
      <w:r w:rsidR="00985A42">
        <w:t xml:space="preserve">. Det bör noteras att </w:t>
      </w:r>
      <w:r w:rsidR="00985A42" w:rsidRPr="00985A42">
        <w:t>leverantörer av audiovisuella medietjänster</w:t>
      </w:r>
      <w:r w:rsidR="00985A42">
        <w:t xml:space="preserve"> är för</w:t>
      </w:r>
      <w:r w:rsidR="00985A42">
        <w:t>e</w:t>
      </w:r>
      <w:r w:rsidR="00985A42">
        <w:t xml:space="preserve">mål för andra tillgänglighetskrav enligt landskapslagstiftningen. </w:t>
      </w:r>
      <w:r w:rsidR="00985A42" w:rsidRPr="00985A42">
        <w:t>Enligt 13</w:t>
      </w:r>
      <w:r w:rsidR="000C71DD">
        <w:t> §</w:t>
      </w:r>
      <w:r w:rsidR="00985A42" w:rsidRPr="00985A42">
        <w:t xml:space="preserve"> i landskapslagen om radio- och televisionsverksamhet bör leverantörer av audiovisuella medietjänster eftersträva att tjänsterna utformas på ett sådant sätt att de med beaktande av leverantörens tekniska och finansiella föru</w:t>
      </w:r>
      <w:r w:rsidR="00985A42" w:rsidRPr="00985A42">
        <w:t>t</w:t>
      </w:r>
      <w:r w:rsidR="00985A42" w:rsidRPr="00985A42">
        <w:t>sättningar blir tillgängliga för personer med funktionsnedsättning genom programtextning, tolkning eller annan lämplig teknik.</w:t>
      </w:r>
    </w:p>
    <w:p w14:paraId="0896B648" w14:textId="390E7845" w:rsidR="000562B1" w:rsidRDefault="00632D42" w:rsidP="000562B1">
      <w:pPr>
        <w:pStyle w:val="ANormal"/>
      </w:pPr>
      <w:r>
        <w:tab/>
        <w:t xml:space="preserve">I </w:t>
      </w:r>
      <w:r w:rsidRPr="00632D42">
        <w:rPr>
          <w:i/>
        </w:rPr>
        <w:t>2</w:t>
      </w:r>
      <w:r w:rsidR="000C71DD">
        <w:rPr>
          <w:i/>
        </w:rPr>
        <w:t> mom.</w:t>
      </w:r>
      <w:r>
        <w:t xml:space="preserve"> behandlas de undantag från lagens tillämpningsområde som anknyter till ett visst innehåll på webbplatserna och de mobila applikatio</w:t>
      </w:r>
      <w:r>
        <w:t>n</w:t>
      </w:r>
      <w:r>
        <w:t xml:space="preserve">erna. Dessa undantag baserar sig på artikel 1.4 i tillgänglighetsdirektivet. Enligt </w:t>
      </w:r>
      <w:r w:rsidRPr="00632D42">
        <w:rPr>
          <w:i/>
        </w:rPr>
        <w:t>1</w:t>
      </w:r>
      <w:r w:rsidR="002F030A">
        <w:rPr>
          <w:i/>
        </w:rPr>
        <w:t> punkt</w:t>
      </w:r>
      <w:r w:rsidRPr="00632D42">
        <w:rPr>
          <w:i/>
        </w:rPr>
        <w:t>en</w:t>
      </w:r>
      <w:r>
        <w:t xml:space="preserve"> </w:t>
      </w:r>
      <w:r w:rsidR="000562B1">
        <w:t>ska lagen inte tillämpas på sådana direktsändningar av tidsberoende medier som avses i tillgänglighetsdirektivets artikel 1.4</w:t>
      </w:r>
      <w:r w:rsidR="007A7FF0">
        <w:t> </w:t>
      </w:r>
      <w:r w:rsidR="000562B1">
        <w:t>c. Med tidsberoende medier avses ljud eller video, en kombination av ljud och video, eller något av de föregående i kombination med möjligheter till i</w:t>
      </w:r>
      <w:r w:rsidR="000562B1">
        <w:t>n</w:t>
      </w:r>
      <w:r w:rsidR="000562B1">
        <w:t>teraktion. All media som har en spellängd utgör tidsberoende media. Enligt skäl 27 i direktivets ingress bör direktsändningar av tidsberoende medier som finns kvar på nätet eller som publiceras på nytt efter direktsändningen betraktas som förinspelade tidsberoende medier om den tid som är absolut nödvändig för att göra medier tillgängliga överskrids. Denna nödvändiga tidsperiod, räknat fr.o.m. dagen för den ursprungliga sändningen eller åte</w:t>
      </w:r>
      <w:r w:rsidR="000562B1">
        <w:t>r</w:t>
      </w:r>
      <w:r w:rsidR="000562B1">
        <w:t>publiceringen av det tidsberoende mediet, bör enligt skäl 27 i princip inte överstiga 14 dagar, men i motiverade fall kan denna tidsperiod undantag</w:t>
      </w:r>
      <w:r w:rsidR="000562B1">
        <w:t>s</w:t>
      </w:r>
      <w:r w:rsidR="000562B1">
        <w:t>vis förlängas till den kortaste tid som är nödvändig för att göra innehållet tillgängligt. Direktsänt material som finns tillgängligt längre än 14 dagar, eller som publiceras på nytt efter direktsändningen, ska som huvudregel inte längre omfattas av undantaget.</w:t>
      </w:r>
    </w:p>
    <w:p w14:paraId="34EBC8FF" w14:textId="1F65B37E" w:rsidR="00926903" w:rsidRDefault="000562B1" w:rsidP="000562B1">
      <w:pPr>
        <w:pStyle w:val="ANormal"/>
      </w:pPr>
      <w:r>
        <w:tab/>
      </w:r>
      <w:r w:rsidR="00926903">
        <w:t>Enligt a</w:t>
      </w:r>
      <w:r>
        <w:t>rtikel 1.4</w:t>
      </w:r>
      <w:r w:rsidR="007A7FF0">
        <w:t> </w:t>
      </w:r>
      <w:r>
        <w:t xml:space="preserve">d i tillgänglighetsdirektivet </w:t>
      </w:r>
      <w:r w:rsidR="00926903">
        <w:t>undantas o</w:t>
      </w:r>
      <w:r w:rsidR="00926903" w:rsidRPr="00926903">
        <w:t>nlinekartor och onlinekarttjänster, så länge som väsentlig information tillhandahålls på ett tillgängligt digitalt sätt för kartor som är avsedda för navigering.</w:t>
      </w:r>
      <w:r w:rsidR="00926903">
        <w:t xml:space="preserve"> </w:t>
      </w:r>
      <w:r>
        <w:t>Av skäl 29 i direktivets ingress framgår att när kartor är avsedda för navigering, och inte som en geografisk beskrivning, kan tillgänglig information vara nö</w:t>
      </w:r>
      <w:r>
        <w:t>d</w:t>
      </w:r>
      <w:r>
        <w:t>vändig för att hjälpa personer som inte kan använda visuell information e</w:t>
      </w:r>
      <w:r>
        <w:t>l</w:t>
      </w:r>
      <w:r>
        <w:t>ler komplicerade navigeringsfunktioner på rätt sätt, t.ex. för att lokalisera fastigheter eller områden där tjänster tillhandahålls. Ett tillgängligt altern</w:t>
      </w:r>
      <w:r>
        <w:t>a</w:t>
      </w:r>
      <w:r>
        <w:t>tiv bör därför enligt samma skäl tillhandahållas i form av t.ex. postadresser och närliggande hållplatser för kollektivtrafik, eller namn på orter eller re</w:t>
      </w:r>
      <w:r>
        <w:t>g</w:t>
      </w:r>
      <w:r>
        <w:t xml:space="preserve">ioner som ofta redan finns tillgängliga för den offentliga myndigheten i en form som är enkel och läsbar för de flesta användare. </w:t>
      </w:r>
      <w:r w:rsidR="00B60CFA">
        <w:t>En karta kan anvä</w:t>
      </w:r>
      <w:r w:rsidR="00B60CFA">
        <w:t>n</w:t>
      </w:r>
      <w:r w:rsidR="00B60CFA">
        <w:t>das för olika syften men avgörande för tillämpningen av undantaget ska inte vara vad kartan objektivt kunde användas till, utan undantaget ska ti</w:t>
      </w:r>
      <w:r w:rsidR="00B60CFA">
        <w:t>l</w:t>
      </w:r>
      <w:r w:rsidR="00B60CFA">
        <w:t xml:space="preserve">lämpas om </w:t>
      </w:r>
      <w:r w:rsidR="00B60CFA" w:rsidRPr="00B60CFA">
        <w:t>kartans huvudsakliga syfte</w:t>
      </w:r>
      <w:r w:rsidR="00B60CFA">
        <w:t xml:space="preserve"> i praktiken</w:t>
      </w:r>
      <w:r w:rsidR="00B60CFA" w:rsidRPr="00B60CFA">
        <w:t xml:space="preserve"> är </w:t>
      </w:r>
      <w:r w:rsidR="00B60CFA">
        <w:t xml:space="preserve">något annat än </w:t>
      </w:r>
      <w:r w:rsidR="00B60CFA" w:rsidRPr="00B60CFA">
        <w:t>navig</w:t>
      </w:r>
      <w:r w:rsidR="00B60CFA" w:rsidRPr="00B60CFA">
        <w:t>e</w:t>
      </w:r>
      <w:r w:rsidR="00B60CFA" w:rsidRPr="00B60CFA">
        <w:t>ring</w:t>
      </w:r>
      <w:r w:rsidR="00B60CFA">
        <w:t xml:space="preserve">. </w:t>
      </w:r>
      <w:r w:rsidR="00926903" w:rsidRPr="00926903">
        <w:t xml:space="preserve">Kartor som inte är avsedda för navigering ska enligt </w:t>
      </w:r>
      <w:r w:rsidR="00926903" w:rsidRPr="00FE6C16">
        <w:rPr>
          <w:i/>
        </w:rPr>
        <w:t>2</w:t>
      </w:r>
      <w:r w:rsidR="002F030A">
        <w:rPr>
          <w:i/>
        </w:rPr>
        <w:t> punkt</w:t>
      </w:r>
      <w:r w:rsidR="00926903" w:rsidRPr="00FE6C16">
        <w:rPr>
          <w:i/>
        </w:rPr>
        <w:t>en</w:t>
      </w:r>
      <w:r w:rsidR="00926903" w:rsidRPr="00926903">
        <w:t xml:space="preserve"> unda</w:t>
      </w:r>
      <w:r w:rsidR="00926903" w:rsidRPr="00926903">
        <w:t>n</w:t>
      </w:r>
      <w:r w:rsidR="00926903" w:rsidRPr="00926903">
        <w:t>tas från lagens tillämpningsområde.</w:t>
      </w:r>
      <w:r w:rsidR="00FE6C16">
        <w:t xml:space="preserve"> </w:t>
      </w:r>
      <w:r w:rsidR="00926903">
        <w:t xml:space="preserve">Enligt bestämmelsen </w:t>
      </w:r>
      <w:r w:rsidR="00926903" w:rsidRPr="00926903">
        <w:t xml:space="preserve">ska lagen </w:t>
      </w:r>
      <w:r w:rsidR="00926903">
        <w:t>eme</w:t>
      </w:r>
      <w:r w:rsidR="00926903">
        <w:t>l</w:t>
      </w:r>
      <w:r w:rsidR="00926903">
        <w:t xml:space="preserve">lertid </w:t>
      </w:r>
      <w:r w:rsidR="00926903" w:rsidRPr="00926903">
        <w:t>inte heller vara tillämplig på kartor avsedda för navigering, om v</w:t>
      </w:r>
      <w:r w:rsidR="00926903" w:rsidRPr="00926903">
        <w:t>ä</w:t>
      </w:r>
      <w:r w:rsidR="00926903" w:rsidRPr="00926903">
        <w:t xml:space="preserve">sentlig information om dessa tillhandahålls på ett </w:t>
      </w:r>
      <w:r w:rsidR="00FE6C16">
        <w:t xml:space="preserve">sådant </w:t>
      </w:r>
      <w:r w:rsidR="00926903" w:rsidRPr="00926903">
        <w:t>tillgängligt digitalt sätt</w:t>
      </w:r>
      <w:r w:rsidR="00FE6C16">
        <w:t xml:space="preserve"> som avses i </w:t>
      </w:r>
      <w:r w:rsidR="00FE6C16" w:rsidRPr="00FE6C16">
        <w:t>skäl 29 i direktivets ingress</w:t>
      </w:r>
      <w:r w:rsidR="00926903" w:rsidRPr="00926903">
        <w:t>.</w:t>
      </w:r>
    </w:p>
    <w:p w14:paraId="06A57B15" w14:textId="61CA7537" w:rsidR="00791A35" w:rsidRDefault="00B60CFA" w:rsidP="0002711E">
      <w:pPr>
        <w:pStyle w:val="ANormal"/>
      </w:pPr>
      <w:r>
        <w:tab/>
        <w:t xml:space="preserve">Enligt </w:t>
      </w:r>
      <w:r w:rsidRPr="00B60CFA">
        <w:rPr>
          <w:i/>
        </w:rPr>
        <w:t>3</w:t>
      </w:r>
      <w:r w:rsidR="002F030A">
        <w:rPr>
          <w:i/>
        </w:rPr>
        <w:t> punkt</w:t>
      </w:r>
      <w:r w:rsidRPr="00B60CFA">
        <w:rPr>
          <w:i/>
        </w:rPr>
        <w:t>en</w:t>
      </w:r>
      <w:r>
        <w:t xml:space="preserve"> ska lagen inte tillämpas på </w:t>
      </w:r>
      <w:r w:rsidRPr="00B60CFA">
        <w:t>innehåll från tredje part som varken har finansierats eller tagits fram av den berörda offentliga myndi</w:t>
      </w:r>
      <w:r w:rsidRPr="00B60CFA">
        <w:t>g</w:t>
      </w:r>
      <w:r w:rsidRPr="00B60CFA">
        <w:t>heten eller står under dess kontroll</w:t>
      </w:r>
      <w:r>
        <w:t xml:space="preserve">. Undantaget stöder sig på </w:t>
      </w:r>
      <w:r w:rsidRPr="00B60CFA">
        <w:t>artikel 1.4</w:t>
      </w:r>
      <w:r w:rsidR="007A7FF0">
        <w:t> </w:t>
      </w:r>
      <w:r w:rsidRPr="00B60CFA">
        <w:t>e</w:t>
      </w:r>
      <w:r>
        <w:t xml:space="preserve"> i tillgänglighetsdirektivet. </w:t>
      </w:r>
      <w:r w:rsidR="000562B1">
        <w:t>Enligt skäl 30 i direktivets ingress bör inbäddat innehåll omfattas av direktivet. Med inbäddat innehåll avses t.ex. ett fil</w:t>
      </w:r>
      <w:r w:rsidR="000562B1">
        <w:t>m</w:t>
      </w:r>
      <w:r w:rsidR="000562B1">
        <w:t>klipp som hämtas från en extern källa, men som visas på den egna web</w:t>
      </w:r>
      <w:r w:rsidR="000562B1">
        <w:t>b</w:t>
      </w:r>
      <w:r w:rsidR="000562B1">
        <w:t xml:space="preserve">platsen. Det finns </w:t>
      </w:r>
      <w:r w:rsidR="009D0A6E">
        <w:t>också</w:t>
      </w:r>
      <w:r w:rsidR="000562B1">
        <w:t xml:space="preserve"> situationer då innehåll kan komma att läggas till senare och som myndigheten varken har kontroll över eller som är känt vid den ursprungliga publiceringen. Sådant innehåll från tredje part bör enligt skäl 30 undantas från tillämpningsområdet, förutsatt att det varken har f</w:t>
      </w:r>
      <w:r w:rsidR="000562B1">
        <w:t>i</w:t>
      </w:r>
      <w:r w:rsidR="000562B1">
        <w:t>nansierats eller tagits fram av den berörda aktören eller står under dess ko</w:t>
      </w:r>
      <w:r w:rsidR="000562B1">
        <w:t>n</w:t>
      </w:r>
      <w:r w:rsidR="000562B1">
        <w:lastRenderedPageBreak/>
        <w:t xml:space="preserve">troll. </w:t>
      </w:r>
      <w:r w:rsidR="0002711E">
        <w:t>I praktiken kan undantaget avse t.ex. sådana situationer då myndi</w:t>
      </w:r>
      <w:r w:rsidR="0002711E">
        <w:t>g</w:t>
      </w:r>
      <w:r w:rsidR="0002711E">
        <w:t>heten tillhandahåller allmännyttig information i sociala media, så att i</w:t>
      </w:r>
      <w:r w:rsidR="0002711E">
        <w:t>n</w:t>
      </w:r>
      <w:r w:rsidR="0002711E">
        <w:t>formationen också finns tillgänglig på myndighetens egen webbplats eller mobila</w:t>
      </w:r>
      <w:r w:rsidR="00C86BA1">
        <w:t xml:space="preserve"> a</w:t>
      </w:r>
      <w:r w:rsidR="0002711E">
        <w:t xml:space="preserve">pplikation. </w:t>
      </w:r>
      <w:r w:rsidR="00510ECD">
        <w:t>Kontrollen över innehållet är väsentlig för om lagen ska tillämpas. Om det inbäddade innehållet är känt då myndigheten ska publ</w:t>
      </w:r>
      <w:r w:rsidR="00510ECD">
        <w:t>i</w:t>
      </w:r>
      <w:r w:rsidR="00510ECD">
        <w:t xml:space="preserve">cera det är det ett aktivt val </w:t>
      </w:r>
      <w:r w:rsidR="000562B1">
        <w:t xml:space="preserve">från </w:t>
      </w:r>
      <w:r w:rsidR="00510ECD">
        <w:t xml:space="preserve">myndighetens sida att </w:t>
      </w:r>
      <w:r w:rsidR="000562B1">
        <w:t>publicera material</w:t>
      </w:r>
      <w:r w:rsidR="00510ECD">
        <w:t>et. Eftersom myndigheten har kontroll över innehållet ska undantaget inte ti</w:t>
      </w:r>
      <w:r w:rsidR="00510ECD">
        <w:t>l</w:t>
      </w:r>
      <w:r w:rsidR="00510ECD">
        <w:t>lämpas i en sådan situation.</w:t>
      </w:r>
    </w:p>
    <w:p w14:paraId="09F37B32" w14:textId="246CD4E4" w:rsidR="00F52330" w:rsidRDefault="00F52330" w:rsidP="00F52330">
      <w:pPr>
        <w:pStyle w:val="ANormal"/>
      </w:pPr>
      <w:r>
        <w:tab/>
        <w:t xml:space="preserve">Enligt </w:t>
      </w:r>
      <w:r w:rsidRPr="00F52330">
        <w:rPr>
          <w:i/>
        </w:rPr>
        <w:t>4</w:t>
      </w:r>
      <w:r w:rsidR="002F030A">
        <w:rPr>
          <w:i/>
        </w:rPr>
        <w:t> punkt</w:t>
      </w:r>
      <w:r w:rsidRPr="00F52330">
        <w:rPr>
          <w:i/>
        </w:rPr>
        <w:t>en</w:t>
      </w:r>
      <w:r>
        <w:t xml:space="preserve"> ska lagen inte tillämpas på </w:t>
      </w:r>
      <w:r w:rsidRPr="00F52330">
        <w:t>reproduktioner av föremål från kulturarvssamlingar som inte kan göras fullständigt tillgängliga utan betydande hinder</w:t>
      </w:r>
      <w:r>
        <w:t>. A</w:t>
      </w:r>
      <w:r w:rsidRPr="00F52330">
        <w:t>v direktivets artikel 1.4</w:t>
      </w:r>
      <w:r w:rsidR="007A7FF0">
        <w:t> </w:t>
      </w:r>
      <w:r w:rsidRPr="00F52330">
        <w:t>f följer att d</w:t>
      </w:r>
      <w:r>
        <w:t xml:space="preserve">irektivet </w:t>
      </w:r>
      <w:r w:rsidRPr="00F52330">
        <w:t>inte omfa</w:t>
      </w:r>
      <w:r w:rsidRPr="00F52330">
        <w:t>t</w:t>
      </w:r>
      <w:r w:rsidRPr="00F52330">
        <w:t>tar reproduktioner av föremål från kulturarvssamlingar som inte kan göras fullständigt tillgängliga på grund av</w:t>
      </w:r>
      <w:r>
        <w:t xml:space="preserve"> </w:t>
      </w:r>
      <w:r w:rsidRPr="00F52330">
        <w:t>att tillgänglighetskraven inte är före</w:t>
      </w:r>
      <w:r w:rsidRPr="00F52330">
        <w:t>n</w:t>
      </w:r>
      <w:r w:rsidRPr="00F52330">
        <w:t>liga med antingen det berörda föremålets bevarande eller reproduktionens autenticitet (t.ex. vad gäller kontrast), eller att det saknas automatiska lö</w:t>
      </w:r>
      <w:r w:rsidRPr="00F52330">
        <w:t>s</w:t>
      </w:r>
      <w:r w:rsidRPr="00F52330">
        <w:t>ningar till överkomligt pris som skulle göra det lätt att överföra text i han</w:t>
      </w:r>
      <w:r w:rsidRPr="00F52330">
        <w:t>d</w:t>
      </w:r>
      <w:r w:rsidRPr="00F52330">
        <w:t>skrift</w:t>
      </w:r>
      <w:r>
        <w:t>e</w:t>
      </w:r>
      <w:r w:rsidRPr="00F52330">
        <w:t>r eller andra föremål från kulturarvssamlingar till presentationsformat som är förenliga med tillgänglighetskraven.</w:t>
      </w:r>
      <w:r>
        <w:t xml:space="preserve"> </w:t>
      </w:r>
      <w:r w:rsidRPr="00F52330">
        <w:t>Föremål från kulturarvssa</w:t>
      </w:r>
      <w:r w:rsidRPr="00F52330">
        <w:t>m</w:t>
      </w:r>
      <w:r w:rsidRPr="00F52330">
        <w:t>lingar definieras i artikel 3.7 i direktivet som privat eller offentligt ägda f</w:t>
      </w:r>
      <w:r w:rsidRPr="00F52330">
        <w:t>ö</w:t>
      </w:r>
      <w:r w:rsidRPr="00F52330">
        <w:t>remål av historiskt, konstnärligt, arkeologiskt, estetiskt, vetenskapligt eller tekniskt intresse som ingår i samlingar som bevaras av kulturella institu</w:t>
      </w:r>
      <w:r w:rsidRPr="00F52330">
        <w:t>t</w:t>
      </w:r>
      <w:r w:rsidRPr="00F52330">
        <w:t>ioner, som bibliotek, arkiv och museer.</w:t>
      </w:r>
    </w:p>
    <w:p w14:paraId="1FF03126" w14:textId="0E2EFA54" w:rsidR="00F52330" w:rsidRPr="00F52330" w:rsidRDefault="00F52330" w:rsidP="00F52330">
      <w:pPr>
        <w:pStyle w:val="ANormal"/>
      </w:pPr>
      <w:r>
        <w:tab/>
      </w:r>
      <w:r w:rsidRPr="00F52330">
        <w:t>Det bör noteras att tillgänglighetsdirektivet inte ställer krav på att för</w:t>
      </w:r>
      <w:r w:rsidRPr="00F52330">
        <w:t>e</w:t>
      </w:r>
      <w:r w:rsidRPr="00F52330">
        <w:t>mål från kulturarvssamlingar ska tillhandahållas i digital form. Kraven a</w:t>
      </w:r>
      <w:r w:rsidRPr="00F52330">
        <w:t>k</w:t>
      </w:r>
      <w:r w:rsidRPr="00F52330">
        <w:t>tualiseras endast för reproduktioner som tillhandahålls digitalt. Exakt vad som menas med att tillgänglighetskraven inte är förenliga med antingen det berörda föremålets bevarande eller reproduktionens autenticitet framgår inte av direktivet. Med tanke på de stora praktiska och ekonomiska hinder som kan f</w:t>
      </w:r>
      <w:r w:rsidR="0002711E">
        <w:t xml:space="preserve">innas med </w:t>
      </w:r>
      <w:r w:rsidRPr="00F52330">
        <w:t>att</w:t>
      </w:r>
      <w:r w:rsidR="0002711E">
        <w:t xml:space="preserve"> </w:t>
      </w:r>
      <w:r w:rsidRPr="00F52330">
        <w:t>tillgängliggöra vissa reproduktioner av föremål från kulturarvssamlingar bör undantaget även införas i den föreslagna lan</w:t>
      </w:r>
      <w:r w:rsidRPr="00F52330">
        <w:t>d</w:t>
      </w:r>
      <w:r w:rsidRPr="00F52330">
        <w:t>skapslagen. Det är inte ändamålsenligt att i lagtexten återge undantaget såsom det är formulerat i direktivet. Det föreslås att i lagtexten i stället a</w:t>
      </w:r>
      <w:r w:rsidRPr="00F52330">
        <w:t>n</w:t>
      </w:r>
      <w:r w:rsidRPr="00F52330">
        <w:t>vänds uttrycket betydande hinder. Med betydande hinder avses då inget a</w:t>
      </w:r>
      <w:r w:rsidRPr="00F52330">
        <w:t>n</w:t>
      </w:r>
      <w:r w:rsidRPr="00F52330">
        <w:t>nat än undantagen som framgår av artikel 1.4</w:t>
      </w:r>
      <w:r w:rsidR="007A7FF0">
        <w:t> </w:t>
      </w:r>
      <w:r w:rsidRPr="00F52330">
        <w:t>f.</w:t>
      </w:r>
      <w:r w:rsidRPr="00F52330">
        <w:rPr>
          <w:vertAlign w:val="superscript"/>
        </w:rPr>
        <w:footnoteReference w:id="27"/>
      </w:r>
    </w:p>
    <w:p w14:paraId="42178E9B" w14:textId="25B17BE4" w:rsidR="00A826F4" w:rsidRDefault="0002711E" w:rsidP="009518BC">
      <w:pPr>
        <w:pStyle w:val="ANormal"/>
      </w:pPr>
      <w:r>
        <w:tab/>
      </w:r>
      <w:r w:rsidR="00A826F4" w:rsidRPr="00A826F4">
        <w:t>Artikel 1.5 i tillgänglighetsdirektivet medger undantag för webbplatser och mobila applikationer tillhörande skolor, daghem och förskolor, med undantag av innehåll som hänför sig till väsentliga administrativa funktio</w:t>
      </w:r>
      <w:r w:rsidR="00A826F4" w:rsidRPr="00A826F4">
        <w:t>n</w:t>
      </w:r>
      <w:r w:rsidR="00A826F4" w:rsidRPr="00A826F4">
        <w:t xml:space="preserve">er online. </w:t>
      </w:r>
      <w:r>
        <w:t xml:space="preserve">I </w:t>
      </w:r>
      <w:r w:rsidRPr="0002711E">
        <w:rPr>
          <w:i/>
        </w:rPr>
        <w:t>5</w:t>
      </w:r>
      <w:r w:rsidR="002F030A">
        <w:rPr>
          <w:i/>
        </w:rPr>
        <w:t> punkt</w:t>
      </w:r>
      <w:r w:rsidRPr="0002711E">
        <w:rPr>
          <w:i/>
        </w:rPr>
        <w:t>en</w:t>
      </w:r>
      <w:r>
        <w:t xml:space="preserve"> finns ett undantag gällande skolors och daghems webbplatser och mobila applikationer. </w:t>
      </w:r>
      <w:r w:rsidR="00A826F4" w:rsidRPr="00A826F4">
        <w:t>Enligt förslag till bestämmelse ska undantaget omfatta skolors och daghems webbplatser och mobila applika</w:t>
      </w:r>
      <w:r w:rsidR="00A826F4" w:rsidRPr="00A826F4">
        <w:t>t</w:t>
      </w:r>
      <w:r w:rsidR="00A826F4" w:rsidRPr="00A826F4">
        <w:t xml:space="preserve">ioner, </w:t>
      </w:r>
      <w:r w:rsidR="00A826F4">
        <w:t xml:space="preserve">förutom </w:t>
      </w:r>
      <w:r w:rsidR="00A826F4" w:rsidRPr="00A826F4">
        <w:t>innehåll som hänför sig till väsentliga administrativa funk</w:t>
      </w:r>
      <w:r w:rsidR="00A826F4" w:rsidRPr="00A826F4">
        <w:t>t</w:t>
      </w:r>
      <w:r w:rsidR="00A826F4" w:rsidRPr="00A826F4">
        <w:t>ioner på webbplatsen eller den mobila applikationen.</w:t>
      </w:r>
      <w:r w:rsidR="00A826F4">
        <w:t xml:space="preserve"> </w:t>
      </w:r>
      <w:r w:rsidR="00A826F4" w:rsidRPr="00A826F4">
        <w:t>De verksamheter som på Åland bedöms omfattas av undantaget är den verksamhet som sker inom daghem och skolor på Åland, bl.a. inom ramen för de daghem och den fö</w:t>
      </w:r>
      <w:r w:rsidR="00A826F4" w:rsidRPr="00A826F4">
        <w:t>r</w:t>
      </w:r>
      <w:r w:rsidR="00A826F4" w:rsidRPr="00A826F4">
        <w:t>undervisning som avses i barnomsorgslagen (2011:86) för landskapet Åland och den grundskoleundervisning som avses i grundskolelagen</w:t>
      </w:r>
      <w:r w:rsidR="00A826F4">
        <w:t xml:space="preserve"> </w:t>
      </w:r>
      <w:r w:rsidR="00A826F4" w:rsidRPr="00A826F4">
        <w:t>(1995:18) för landskapet Åland. Även den utbildning som avses i lan</w:t>
      </w:r>
      <w:r w:rsidR="00A826F4" w:rsidRPr="00A826F4">
        <w:t>d</w:t>
      </w:r>
      <w:r w:rsidR="00A826F4" w:rsidRPr="00A826F4">
        <w:t>skapslagen (2011:13) om gymnasieutbildning och landskapslagen (2002:81) om Högskolan på Åland ska omfattas av undantaget.</w:t>
      </w:r>
    </w:p>
    <w:p w14:paraId="0D79E904" w14:textId="2526F5B6" w:rsidR="00A826F4" w:rsidRDefault="00A826F4" w:rsidP="009518BC">
      <w:pPr>
        <w:pStyle w:val="ANormal"/>
      </w:pPr>
      <w:r>
        <w:tab/>
      </w:r>
      <w:r w:rsidR="0045185E" w:rsidRPr="0045185E">
        <w:t xml:space="preserve">Någon vägledning för vad som avses med väsentliga administrativa funktioner finns inte i direktivet. Undantaget bör dock vara tillämpligt för allt som skapas inom ramen för utbildningsverksamheten, t.ex. text, bild, ljud eller video som elever publicerar på en skolas webbplats. Kraven på tillgänglighet ska inte utgöra ett hinder för att använda </w:t>
      </w:r>
      <w:r w:rsidR="0045185E">
        <w:t xml:space="preserve">webbplatser och mobila applikationer </w:t>
      </w:r>
      <w:r w:rsidR="0045185E" w:rsidRPr="0045185E">
        <w:t>som ett pedagogiskt verktyg eller för elevers möjli</w:t>
      </w:r>
      <w:r w:rsidR="0045185E" w:rsidRPr="0045185E">
        <w:t>g</w:t>
      </w:r>
      <w:r w:rsidR="0045185E" w:rsidRPr="0045185E">
        <w:lastRenderedPageBreak/>
        <w:t>het att publicera sådant de skapat.</w:t>
      </w:r>
      <w:r>
        <w:t xml:space="preserve"> </w:t>
      </w:r>
      <w:r w:rsidR="0045185E" w:rsidRPr="0045185E">
        <w:t xml:space="preserve">När det gäller </w:t>
      </w:r>
      <w:r w:rsidR="0045185E">
        <w:t xml:space="preserve">vad </w:t>
      </w:r>
      <w:r w:rsidR="0045185E" w:rsidRPr="0045185E">
        <w:t xml:space="preserve">som faktiskt får anses utgöra väsentliga administrativa funktioner är det en skälig utgångspunkt att inkludera </w:t>
      </w:r>
      <w:r w:rsidR="0045185E">
        <w:t xml:space="preserve">skötseln av sådana </w:t>
      </w:r>
      <w:r w:rsidR="0045185E" w:rsidRPr="0045185E">
        <w:t xml:space="preserve">administrativa förfaranden </w:t>
      </w:r>
      <w:r w:rsidR="00AD747E">
        <w:t xml:space="preserve">som påverkar enskildas </w:t>
      </w:r>
      <w:r w:rsidR="00AD747E" w:rsidRPr="00AD747E">
        <w:t>rätt, fördel eller skyldighet enligt lag</w:t>
      </w:r>
      <w:r w:rsidR="00AD747E">
        <w:t>. Till väsentliga administr</w:t>
      </w:r>
      <w:r w:rsidR="00AD747E">
        <w:t>a</w:t>
      </w:r>
      <w:r w:rsidR="00AD747E">
        <w:t xml:space="preserve">tiva funktioner kan räknas funktioner om t.ex. </w:t>
      </w:r>
      <w:r w:rsidR="00AD747E" w:rsidRPr="00AD747E">
        <w:t>frånvaro, antagning, discipl</w:t>
      </w:r>
      <w:r w:rsidR="00AD747E" w:rsidRPr="00AD747E">
        <w:t>i</w:t>
      </w:r>
      <w:r w:rsidR="00AD747E" w:rsidRPr="00AD747E">
        <w:t>nära åtgärder eller information om läxor och annan information från ver</w:t>
      </w:r>
      <w:r w:rsidR="00AD747E" w:rsidRPr="00AD747E">
        <w:t>k</w:t>
      </w:r>
      <w:r w:rsidR="00AD747E" w:rsidRPr="00AD747E">
        <w:t>samheten till vårdnadshavare eller elever</w:t>
      </w:r>
      <w:r w:rsidR="00AD747E">
        <w:t>. Däremot ska utnyttjandet av u</w:t>
      </w:r>
      <w:r w:rsidR="00AD747E">
        <w:t>n</w:t>
      </w:r>
      <w:r w:rsidR="00AD747E">
        <w:t xml:space="preserve">dantaget innebära att </w:t>
      </w:r>
      <w:r w:rsidR="00AD747E" w:rsidRPr="00AD747E">
        <w:t>t.ex. sådant som skapas av eleverna inom ramen för utbildningsverksamheten (t.ex. bild eller video) kan publiceras på en skolas webbplats utan tillgänglighetskrav</w:t>
      </w:r>
      <w:r w:rsidR="00AD747E">
        <w:t>en</w:t>
      </w:r>
      <w:r w:rsidR="00AD747E" w:rsidRPr="00AD747E">
        <w:t xml:space="preserve"> blir tillämpliga. Kraven på tillgän</w:t>
      </w:r>
      <w:r w:rsidR="00AD747E" w:rsidRPr="00AD747E">
        <w:t>g</w:t>
      </w:r>
      <w:r w:rsidR="00AD747E" w:rsidRPr="00AD747E">
        <w:t>lighet ska inte utgöra ett hinder för att använda webbplats</w:t>
      </w:r>
      <w:r w:rsidR="00DA7AD2">
        <w:t>en</w:t>
      </w:r>
      <w:r w:rsidR="00AD747E" w:rsidRPr="00AD747E">
        <w:t xml:space="preserve"> eller </w:t>
      </w:r>
      <w:r w:rsidR="00DA7AD2">
        <w:t xml:space="preserve">den </w:t>
      </w:r>
      <w:r w:rsidR="00AD747E" w:rsidRPr="00AD747E">
        <w:t>m</w:t>
      </w:r>
      <w:r w:rsidR="00AD747E" w:rsidRPr="00AD747E">
        <w:t>o</w:t>
      </w:r>
      <w:r w:rsidR="00AD747E" w:rsidRPr="00AD747E">
        <w:t>bil</w:t>
      </w:r>
      <w:r w:rsidR="00DA7AD2">
        <w:t>a</w:t>
      </w:r>
      <w:r w:rsidR="00AD747E" w:rsidRPr="00AD747E">
        <w:t xml:space="preserve"> applikation</w:t>
      </w:r>
      <w:r w:rsidR="00DA7AD2">
        <w:t>en</w:t>
      </w:r>
      <w:r w:rsidR="00AD747E" w:rsidRPr="00AD747E">
        <w:t xml:space="preserve"> som ett pedagogiskt verktyg eller för el</w:t>
      </w:r>
      <w:r w:rsidR="00AD747E">
        <w:t>e</w:t>
      </w:r>
      <w:r w:rsidR="00AD747E" w:rsidRPr="00AD747E">
        <w:t>vers möjlighet att publicera sådant de skapat.</w:t>
      </w:r>
    </w:p>
    <w:p w14:paraId="31ADDCA9" w14:textId="526A1CFF" w:rsidR="00FE6C16" w:rsidRDefault="00FE6C16" w:rsidP="009518BC">
      <w:pPr>
        <w:pStyle w:val="ANormal"/>
      </w:pPr>
      <w:r w:rsidRPr="00FE6C16">
        <w:tab/>
        <w:t xml:space="preserve">Enligt </w:t>
      </w:r>
      <w:r w:rsidR="003D4569">
        <w:rPr>
          <w:i/>
        </w:rPr>
        <w:t>3</w:t>
      </w:r>
      <w:r w:rsidR="000C71DD">
        <w:rPr>
          <w:i/>
        </w:rPr>
        <w:t> mom.</w:t>
      </w:r>
      <w:r w:rsidRPr="00FE6C16">
        <w:t xml:space="preserve"> ska innehållet på webbplatser och mobila applikationer som tillhandahålls av myndigheter via en teknisk lösning som står under tredje parts kontroll, så långt det är möjligt, följa tillgänglighetskraven i l</w:t>
      </w:r>
      <w:r w:rsidRPr="00FE6C16">
        <w:t>a</w:t>
      </w:r>
      <w:r w:rsidRPr="00FE6C16">
        <w:t>g</w:t>
      </w:r>
      <w:r>
        <w:t>en</w:t>
      </w:r>
      <w:r w:rsidRPr="00FE6C16">
        <w:t>. Bestämmelsen motiveras av att de webbplatser och mobila applika</w:t>
      </w:r>
      <w:r w:rsidRPr="00FE6C16">
        <w:t>t</w:t>
      </w:r>
      <w:r w:rsidRPr="00FE6C16">
        <w:t>ioner som myndigheterna utnyttjar ofta utgör tekniska lösningar som står under tredje parts kontroll. Till den del en myndighet kontrollerar den te</w:t>
      </w:r>
      <w:r w:rsidRPr="00FE6C16">
        <w:t>k</w:t>
      </w:r>
      <w:r w:rsidRPr="00FE6C16">
        <w:t>niska lösningen ska tillgänglighetskraven i den föreslagna lagen givetvis gälla. Däremot är det i praktiken inte möjligt att kräva att myndigheterna tillämpar kraven fullt ut för tekniska lösningar som inte står under deras kontroll. Dock är det skäligt att innehållet på webbplatser och mobila a</w:t>
      </w:r>
      <w:r w:rsidRPr="00FE6C16">
        <w:t>p</w:t>
      </w:r>
      <w:r w:rsidRPr="00FE6C16">
        <w:t>plikationer som tillhandahålls via en teknisk lösning som står under tredje parts kontroll ska, så långt det är möjligt, följer tillgänglighetskraven i den föreslagna lagen. Kraven som följer av lagen ska bara uppfyllas om det är möjligt att helt eller delvis uppfylla dem inom ramen för den tekniska lö</w:t>
      </w:r>
      <w:r w:rsidRPr="00FE6C16">
        <w:t>s</w:t>
      </w:r>
      <w:r w:rsidRPr="00FE6C16">
        <w:t>ningen. Kontrollen över den tekniska lösningen är nära förknippad med kontrollen över innehållet på webbplatser och i mobila applikationer. I art</w:t>
      </w:r>
      <w:r w:rsidRPr="00FE6C16">
        <w:t>i</w:t>
      </w:r>
      <w:r w:rsidRPr="00FE6C16">
        <w:t>kel 1.4</w:t>
      </w:r>
      <w:r w:rsidR="007A7FF0">
        <w:t> </w:t>
      </w:r>
      <w:r w:rsidRPr="00FE6C16">
        <w:t>e i tillgänglighetsdirektivet framgår att innehåll från tredje part som varken har finansierats eller tagits fram av den berörda offentliga myndi</w:t>
      </w:r>
      <w:r w:rsidRPr="00FE6C16">
        <w:t>g</w:t>
      </w:r>
      <w:r w:rsidRPr="00FE6C16">
        <w:t>heten eller står under dess kontroll undantas från direktivets tillämpning</w:t>
      </w:r>
      <w:r w:rsidRPr="00FE6C16">
        <w:t>s</w:t>
      </w:r>
      <w:r w:rsidRPr="00FE6C16">
        <w:t>område. Det undantaget har beaktats i förslag till 4</w:t>
      </w:r>
      <w:r w:rsidR="000C71DD">
        <w:t> §</w:t>
      </w:r>
      <w:r w:rsidRPr="00FE6C16">
        <w:t xml:space="preserve"> 2</w:t>
      </w:r>
      <w:r w:rsidR="000C71DD">
        <w:t> mom.</w:t>
      </w:r>
      <w:r w:rsidRPr="00FE6C16">
        <w:t xml:space="preserve"> 3</w:t>
      </w:r>
      <w:r w:rsidR="002F030A">
        <w:t> punkt</w:t>
      </w:r>
      <w:r w:rsidRPr="00FE6C16">
        <w:t>en</w:t>
      </w:r>
      <w:r>
        <w:t>.</w:t>
      </w:r>
    </w:p>
    <w:p w14:paraId="6D622275" w14:textId="77777777" w:rsidR="005D48DA" w:rsidRDefault="005D48DA" w:rsidP="0007688B">
      <w:pPr>
        <w:pStyle w:val="ANormal"/>
      </w:pPr>
    </w:p>
    <w:p w14:paraId="127C3D80" w14:textId="02669638" w:rsidR="00FB0C21" w:rsidRDefault="001D0DEA" w:rsidP="001D0DEA">
      <w:pPr>
        <w:pStyle w:val="ANormal"/>
      </w:pPr>
      <w:r>
        <w:t>5</w:t>
      </w:r>
      <w:r w:rsidR="000C71DD">
        <w:t> §</w:t>
      </w:r>
      <w:r>
        <w:t xml:space="preserve"> </w:t>
      </w:r>
      <w:r w:rsidRPr="001D0DEA">
        <w:rPr>
          <w:i/>
        </w:rPr>
        <w:t>Tillgänglighetskrav</w:t>
      </w:r>
      <w:r>
        <w:t xml:space="preserve">. </w:t>
      </w:r>
      <w:r w:rsidR="003D286C">
        <w:t xml:space="preserve">Enligt </w:t>
      </w:r>
      <w:r w:rsidR="003D286C" w:rsidRPr="003D286C">
        <w:rPr>
          <w:i/>
        </w:rPr>
        <w:t>1</w:t>
      </w:r>
      <w:r w:rsidR="000C71DD">
        <w:rPr>
          <w:i/>
        </w:rPr>
        <w:t> mom.</w:t>
      </w:r>
      <w:r w:rsidR="003D286C">
        <w:t xml:space="preserve"> ska m</w:t>
      </w:r>
      <w:r w:rsidR="003D286C" w:rsidRPr="003D286C">
        <w:t>yndigheternas webbplatser och mobila applikationer vara tillgängliga så att de är möjliga att uppfatta, hanterbara, begripliga och robusta.</w:t>
      </w:r>
      <w:r w:rsidR="003D286C">
        <w:t xml:space="preserve"> Bestämmelsen har sin grund i artikel 4 i tillgänglighetsdirektivet som föreskriver att </w:t>
      </w:r>
      <w:r w:rsidR="003D286C" w:rsidRPr="003D286C">
        <w:t xml:space="preserve">medlemsstaterna </w:t>
      </w:r>
      <w:r w:rsidR="003D286C">
        <w:t xml:space="preserve">ska </w:t>
      </w:r>
      <w:r w:rsidR="003D286C" w:rsidRPr="003D286C">
        <w:t xml:space="preserve">säkerställa att offentliga myndigheter vidtar de åtgärder som är nödvändiga för att göra sina webbplatser och mobila applikationer mer tillgängliga genom att göra dem möjliga att uppfatta, hanterbara, begripliga och robusta. </w:t>
      </w:r>
      <w:r w:rsidR="003D286C">
        <w:t xml:space="preserve">Dessa fyra principer utgör grunden för de internationella standarder som innehåller de konkreta tillgänglighetskraven. </w:t>
      </w:r>
      <w:r w:rsidR="00FB0C21">
        <w:t>Möjligheten att uppfatta innebär att infor</w:t>
      </w:r>
      <w:r w:rsidR="00FB0C21">
        <w:t>m</w:t>
      </w:r>
      <w:r w:rsidR="00FB0C21">
        <w:t>ationen och komponenterna i ett användargränssnitt måste presenteras för användarna på sätt som de kan uppfatta. Hanterbarheten hänvisar till att komponenterna i ett användargränssnitt och navigeringen måste vara ha</w:t>
      </w:r>
      <w:r w:rsidR="00FB0C21">
        <w:t>n</w:t>
      </w:r>
      <w:r w:rsidR="00FB0C21">
        <w:t>terbara. Begriplighet innebär att informationen och hanteringen av anvä</w:t>
      </w:r>
      <w:r w:rsidR="00FB0C21">
        <w:t>n</w:t>
      </w:r>
      <w:r w:rsidR="00FB0C21">
        <w:t>dargränssnittet måste vara begripliga och driftsäkerhet innebär att innehå</w:t>
      </w:r>
      <w:r w:rsidR="00FB0C21">
        <w:t>l</w:t>
      </w:r>
      <w:r w:rsidR="00FB0C21">
        <w:t>let måste vara tillräckligt driftsäkert för att kunna tolkas på ett tillförlitligt sätt av ett brett spektrum av användarprogram, inklusive hjälpmedel.</w:t>
      </w:r>
    </w:p>
    <w:p w14:paraId="68EB0FD1" w14:textId="1BDCF2BA" w:rsidR="00A3247D" w:rsidRDefault="003D286C" w:rsidP="00D948DC">
      <w:pPr>
        <w:pStyle w:val="ANormal"/>
      </w:pPr>
      <w:r>
        <w:tab/>
      </w:r>
      <w:r w:rsidR="00A93230" w:rsidRPr="00A93230">
        <w:t>Artikel 6 i tillgänglighetsdirektivet innehåller de närmare föreskrifterna om vilka standarder som ska gälla för webbplatserna och de mobila appl</w:t>
      </w:r>
      <w:r w:rsidR="00A93230" w:rsidRPr="00A93230">
        <w:t>i</w:t>
      </w:r>
      <w:r w:rsidR="00A93230" w:rsidRPr="00A93230">
        <w:t>kationerna. Regleringen utgår från en presumtion om att förenlighet med dessa standarder också utgör överensstämmelse med tillgänglighetskraven.</w:t>
      </w:r>
      <w:r w:rsidR="00A93230">
        <w:t xml:space="preserve"> </w:t>
      </w:r>
      <w:r>
        <w:t xml:space="preserve">I </w:t>
      </w:r>
      <w:r w:rsidRPr="00D948DC">
        <w:rPr>
          <w:i/>
        </w:rPr>
        <w:t>2</w:t>
      </w:r>
      <w:r w:rsidR="000C71DD">
        <w:rPr>
          <w:i/>
        </w:rPr>
        <w:t> mom.</w:t>
      </w:r>
      <w:r>
        <w:t xml:space="preserve"> </w:t>
      </w:r>
      <w:r w:rsidR="00A93230">
        <w:t xml:space="preserve">anges </w:t>
      </w:r>
      <w:r w:rsidR="00D948DC">
        <w:t>att i</w:t>
      </w:r>
      <w:r w:rsidR="00D948DC" w:rsidRPr="00D948DC">
        <w:t xml:space="preserve">nnehåll </w:t>
      </w:r>
      <w:r w:rsidR="00A93230" w:rsidRPr="00A93230">
        <w:t>på webbplatser och mobila applikationer som överensstämmer med de harmoniserade standarder eller delar av dem till vilka hänvisningar har offentliggjorts i Europeiska unionens officiella ti</w:t>
      </w:r>
      <w:r w:rsidR="00A93230" w:rsidRPr="00A93230">
        <w:t>d</w:t>
      </w:r>
      <w:r w:rsidR="00A93230" w:rsidRPr="00A93230">
        <w:lastRenderedPageBreak/>
        <w:t>ning ska förutsättas överensstämma med tillgänglighetskraven i denna lag.</w:t>
      </w:r>
      <w:r w:rsidR="00A93230">
        <w:t xml:space="preserve"> Under beredningen av de</w:t>
      </w:r>
      <w:r w:rsidR="00241391">
        <w:t>tta</w:t>
      </w:r>
      <w:r w:rsidR="00A93230">
        <w:t xml:space="preserve"> lag</w:t>
      </w:r>
      <w:r w:rsidR="00241391">
        <w:t>förslag</w:t>
      </w:r>
      <w:r w:rsidR="00A93230">
        <w:t xml:space="preserve"> hade kommissionen inte ännu publ</w:t>
      </w:r>
      <w:r w:rsidR="00A93230">
        <w:t>i</w:t>
      </w:r>
      <w:r w:rsidR="00A93230">
        <w:t>cerat de standarder som i första hand ska tillämpas enligt tillgänglighetsd</w:t>
      </w:r>
      <w:r w:rsidR="00A93230">
        <w:t>i</w:t>
      </w:r>
      <w:r w:rsidR="00A93230">
        <w:t>rektivet. Artikel 6 i direktivet innehåller komplicerade bestämmelser om olika alternativ för</w:t>
      </w:r>
      <w:r w:rsidR="00411E19">
        <w:t xml:space="preserve"> </w:t>
      </w:r>
      <w:r w:rsidR="00A93230">
        <w:t xml:space="preserve">hur tillgänglighetskraven bestäms då de standarder som i första hand ska tillämpas inte ännu har publicerats. </w:t>
      </w:r>
      <w:r w:rsidR="005C7B2D">
        <w:t>I</w:t>
      </w:r>
      <w:r w:rsidR="005C7B2D" w:rsidRPr="005C7B2D">
        <w:t xml:space="preserve"> artikel 6.2 och 6.3 </w:t>
      </w:r>
      <w:r w:rsidR="005C7B2D">
        <w:t xml:space="preserve">i direktivet </w:t>
      </w:r>
      <w:r w:rsidR="005C7B2D" w:rsidRPr="005C7B2D">
        <w:t xml:space="preserve">föreskrivs vad som ska gälla </w:t>
      </w:r>
      <w:r w:rsidR="005C7B2D">
        <w:t xml:space="preserve">tills </w:t>
      </w:r>
      <w:r w:rsidR="005C7B2D" w:rsidRPr="005C7B2D">
        <w:t xml:space="preserve">de standarder som </w:t>
      </w:r>
      <w:r w:rsidR="005C7B2D">
        <w:t>avses i</w:t>
      </w:r>
      <w:r w:rsidR="005C7B2D" w:rsidRPr="005C7B2D">
        <w:t xml:space="preserve"> art</w:t>
      </w:r>
      <w:r w:rsidR="005C7B2D" w:rsidRPr="005C7B2D">
        <w:t>i</w:t>
      </w:r>
      <w:r w:rsidR="005C7B2D" w:rsidRPr="005C7B2D">
        <w:t xml:space="preserve">kel 6.1 i direktivet </w:t>
      </w:r>
      <w:r w:rsidR="005C7B2D">
        <w:t xml:space="preserve">har publicerats av Europeiska kommissionen. </w:t>
      </w:r>
      <w:r w:rsidR="00A93230">
        <w:t>Den ko</w:t>
      </w:r>
      <w:r w:rsidR="00A93230">
        <w:t>m</w:t>
      </w:r>
      <w:r w:rsidR="00A93230">
        <w:t>plicerade mallen i direktivet föreslås inte bli införd i lagen, utan lagen utgår från att kommissionen</w:t>
      </w:r>
      <w:r w:rsidR="00D53870">
        <w:t xml:space="preserve"> </w:t>
      </w:r>
      <w:r w:rsidR="00A93230">
        <w:t xml:space="preserve">har vidtagit de åtgärder som direktivet förutsätter före lagen träder i kraft. Motsvarande lösning finns i </w:t>
      </w:r>
      <w:r w:rsidR="00411E19">
        <w:t>rikets proposition</w:t>
      </w:r>
      <w:r w:rsidR="00CA72B0">
        <w:t xml:space="preserve"> (</w:t>
      </w:r>
      <w:r w:rsidR="00CA72B0" w:rsidRPr="00CA72B0">
        <w:t xml:space="preserve">RP 60/2018 </w:t>
      </w:r>
      <w:proofErr w:type="spellStart"/>
      <w:r w:rsidR="00CA72B0" w:rsidRPr="00CA72B0">
        <w:t>rd</w:t>
      </w:r>
      <w:proofErr w:type="spellEnd"/>
      <w:r w:rsidR="00CA72B0" w:rsidRPr="00CA72B0">
        <w:t>, s. 73</w:t>
      </w:r>
      <w:r w:rsidR="00CA72B0">
        <w:rPr>
          <w:lang w:val="sv-FI"/>
        </w:rPr>
        <w:t>)</w:t>
      </w:r>
      <w:r w:rsidR="00411E19">
        <w:t xml:space="preserve">. </w:t>
      </w:r>
      <w:r w:rsidR="00CA72B0">
        <w:t xml:space="preserve">Enligt </w:t>
      </w:r>
      <w:r w:rsidR="00A3247D">
        <w:t>9</w:t>
      </w:r>
      <w:r w:rsidR="000C71DD">
        <w:t> §</w:t>
      </w:r>
      <w:r w:rsidR="00A3247D">
        <w:t xml:space="preserve"> </w:t>
      </w:r>
      <w:r w:rsidR="00CA72B0">
        <w:t xml:space="preserve">ska </w:t>
      </w:r>
      <w:r w:rsidR="00A3247D">
        <w:t>landskapsregeringen fungera som til</w:t>
      </w:r>
      <w:r w:rsidR="00A3247D">
        <w:t>l</w:t>
      </w:r>
      <w:r w:rsidR="00A3247D">
        <w:t>synsmyndighet. Med tanke på denna uppgift är det ändamålsenligt att lan</w:t>
      </w:r>
      <w:r w:rsidR="00A3247D">
        <w:t>d</w:t>
      </w:r>
      <w:r w:rsidR="00A3247D">
        <w:t>skapsregeringen informerar om de tillämpliga standarderna på lämpligt sätt, t.ex. genom att hålla dem tillgängliga på sin webbplats.</w:t>
      </w:r>
    </w:p>
    <w:p w14:paraId="689C2847" w14:textId="0BF2E4D6" w:rsidR="00FE6C16" w:rsidRDefault="00FE6C16" w:rsidP="00D948DC">
      <w:pPr>
        <w:pStyle w:val="ANormal"/>
      </w:pPr>
      <w:r>
        <w:tab/>
        <w:t xml:space="preserve">Enligt </w:t>
      </w:r>
      <w:r w:rsidRPr="00D12546">
        <w:rPr>
          <w:i/>
        </w:rPr>
        <w:t>3</w:t>
      </w:r>
      <w:r w:rsidR="000C71DD">
        <w:rPr>
          <w:i/>
        </w:rPr>
        <w:t> mom.</w:t>
      </w:r>
      <w:r>
        <w:t xml:space="preserve"> har v</w:t>
      </w:r>
      <w:r w:rsidRPr="00FE6C16">
        <w:t>ar och en rätt att elektroniskt lämna in meddelanden till berörd myndighet om att webbplatsen eller den mobila applikationen inte anses vara förenlig med tillgänglighetskraven i denna lag. Myndighe</w:t>
      </w:r>
      <w:r w:rsidRPr="00FE6C16">
        <w:t>t</w:t>
      </w:r>
      <w:r w:rsidRPr="00FE6C16">
        <w:t xml:space="preserve">en ska utan dröjsmål lämna ett svar på ett sådant meddelande. </w:t>
      </w:r>
      <w:r w:rsidR="00D12546" w:rsidRPr="00D12546">
        <w:t>I artikel 7.1 i tillgänglighetsdirektivet hänvisas till att meddelanden ska kunna skickas in till myndigheterna genom en kommentarsfunktion. I den föreslagna b</w:t>
      </w:r>
      <w:r w:rsidR="00D12546" w:rsidRPr="00D12546">
        <w:t>e</w:t>
      </w:r>
      <w:r w:rsidR="00D12546" w:rsidRPr="00D12546">
        <w:t>stämmelsen hänvisas enbart till att meddelandena ska kunna lämnas in elektroniskt till myndigheterna och det anges inte vilken teknisk lösning det rör sig om. Lösningen ska vara tillgänglig och ändamålsenlig, t.ex. en för ändamålet utvecklad särskild elektronisk blankett. Meddelandet kan också sändas per e-post om det inte är tekniskt eller funktionellt möjligt att på webbplatsen ha en blankett som uppfyller tillgänglighetskraven.</w:t>
      </w:r>
    </w:p>
    <w:p w14:paraId="75076E8A" w14:textId="7BCF2379" w:rsidR="009041D7" w:rsidRDefault="009041D7" w:rsidP="00D948DC">
      <w:pPr>
        <w:pStyle w:val="ANormal"/>
      </w:pPr>
    </w:p>
    <w:p w14:paraId="2EA93B11" w14:textId="23A5F285" w:rsidR="00055FFF" w:rsidRDefault="005C7B2D" w:rsidP="00055FFF">
      <w:pPr>
        <w:pStyle w:val="ANormal"/>
      </w:pPr>
      <w:r>
        <w:t>6</w:t>
      </w:r>
      <w:r w:rsidR="000C71DD">
        <w:t> §</w:t>
      </w:r>
      <w:r>
        <w:t xml:space="preserve"> </w:t>
      </w:r>
      <w:r w:rsidRPr="005C7B2D">
        <w:rPr>
          <w:i/>
        </w:rPr>
        <w:t>Oproportionell börda</w:t>
      </w:r>
      <w:r>
        <w:t xml:space="preserve">. </w:t>
      </w:r>
      <w:r w:rsidR="007E41C9">
        <w:t>I paragrafen föreslås det bestämmelser om avv</w:t>
      </w:r>
      <w:r w:rsidR="007E41C9">
        <w:t>i</w:t>
      </w:r>
      <w:r w:rsidR="007E41C9">
        <w:t>kelser från tillgänglighetskraven på grund av en oproportionell börda. G</w:t>
      </w:r>
      <w:r w:rsidR="007E41C9">
        <w:t>e</w:t>
      </w:r>
      <w:r w:rsidR="007E41C9">
        <w:t>nom paragrafen genomförs artikel 5 i tillgänglighetsdirektivet. Enligt art</w:t>
      </w:r>
      <w:r w:rsidR="007E41C9">
        <w:t>i</w:t>
      </w:r>
      <w:r w:rsidR="007E41C9">
        <w:t>kel 5.1 ska medlemsstaterna säkerställa att offentliga myndigheter tillämpar tillgänglighetskraven i artikel 4 i den utsträckning som dessa krav inte lä</w:t>
      </w:r>
      <w:r w:rsidR="007E41C9">
        <w:t>g</w:t>
      </w:r>
      <w:r w:rsidR="007E41C9">
        <w:t>ger en oproportionell börda på de offentliga myndigheterna vid tilläm</w:t>
      </w:r>
      <w:r w:rsidR="007E41C9">
        <w:t>p</w:t>
      </w:r>
      <w:r w:rsidR="007E41C9">
        <w:t xml:space="preserve">ningen av den artikeln. </w:t>
      </w:r>
      <w:r w:rsidR="00055FFF">
        <w:t xml:space="preserve">I artikel 5.3 föreskrivs att den berörda offentliga myndigheten, utan att det påverkar tillämpningen av </w:t>
      </w:r>
      <w:r w:rsidR="00522E36">
        <w:t>artikel</w:t>
      </w:r>
      <w:r w:rsidR="00055FFF">
        <w:t xml:space="preserve"> 5.1, ska göra den inledande bedömningen av i vilken utsträckning överensstämmelse med tillgänglighetskraven i artikel 4 innebär en oproportionell börda.</w:t>
      </w:r>
    </w:p>
    <w:p w14:paraId="0482205B" w14:textId="708E6047" w:rsidR="00247D03" w:rsidRDefault="00055FFF" w:rsidP="00247D03">
      <w:pPr>
        <w:pStyle w:val="ANormal"/>
      </w:pPr>
      <w:r>
        <w:tab/>
        <w:t xml:space="preserve">Enligt </w:t>
      </w:r>
      <w:r w:rsidR="007E41C9" w:rsidRPr="007E41C9">
        <w:rPr>
          <w:i/>
        </w:rPr>
        <w:t>1</w:t>
      </w:r>
      <w:r w:rsidR="000C71DD">
        <w:rPr>
          <w:i/>
        </w:rPr>
        <w:t> mom.</w:t>
      </w:r>
      <w:r w:rsidR="007E41C9">
        <w:t xml:space="preserve"> </w:t>
      </w:r>
      <w:r>
        <w:t xml:space="preserve">kan </w:t>
      </w:r>
      <w:r w:rsidR="007E41C9">
        <w:t>en</w:t>
      </w:r>
      <w:r w:rsidRPr="00055FFF">
        <w:t xml:space="preserve"> myndighet avvika från tillgänglighetskraven i 5</w:t>
      </w:r>
      <w:r w:rsidR="000C71DD">
        <w:t> §</w:t>
      </w:r>
      <w:r w:rsidRPr="00055FFF">
        <w:t xml:space="preserve"> om myndigheten med stöd av en förhandsbedömning kan visa att iaktt</w:t>
      </w:r>
      <w:r w:rsidRPr="00055FFF">
        <w:t>a</w:t>
      </w:r>
      <w:r w:rsidRPr="00055FFF">
        <w:t>gandet av kraven skulle lägga en oproportionell börda på myndigheten.</w:t>
      </w:r>
      <w:r>
        <w:t xml:space="preserve"> B</w:t>
      </w:r>
      <w:r>
        <w:t>e</w:t>
      </w:r>
      <w:r>
        <w:t>stämmelsen innebär att myndigheten i förväg ska bedöma om det finns grunder för att till någon del avvika från tillgänglighetskraven. En sådan bedömning behöver endast göras om myndigheten kan få svårigheter med att iaktta tillgänglighetskraven då webbplatsen eller den mobila applika</w:t>
      </w:r>
      <w:r>
        <w:t>t</w:t>
      </w:r>
      <w:r>
        <w:t>ionen utvecklas eller underhålls.</w:t>
      </w:r>
      <w:r w:rsidR="00247D03">
        <w:t xml:space="preserve"> </w:t>
      </w:r>
      <w:r w:rsidR="00247D03" w:rsidRPr="00247D03">
        <w:t>I skäl 39 i tillgänglighetsdirektivets i</w:t>
      </w:r>
      <w:r w:rsidR="00247D03" w:rsidRPr="00247D03">
        <w:t>n</w:t>
      </w:r>
      <w:r w:rsidR="00247D03" w:rsidRPr="00247D03">
        <w:t>gress anges att det i motiverade fall kanske inte är rimligt att en offentlig myndighet ska ha möjlighet att göra visst innehåll helt tillgängligt. Den o</w:t>
      </w:r>
      <w:r w:rsidR="00247D03" w:rsidRPr="00247D03">
        <w:t>f</w:t>
      </w:r>
      <w:r w:rsidR="00247D03" w:rsidRPr="00247D03">
        <w:t>fentliga myndigheten bör emellertid fortfarande göra detta innehåll så til</w:t>
      </w:r>
      <w:r w:rsidR="00247D03" w:rsidRPr="00247D03">
        <w:t>l</w:t>
      </w:r>
      <w:r w:rsidR="00247D03" w:rsidRPr="00247D03">
        <w:t>gängligt som möjligt och göra annat innehåll helt tillgängligt.</w:t>
      </w:r>
      <w:r w:rsidR="00247D03">
        <w:t xml:space="preserve"> Bedömnin</w:t>
      </w:r>
      <w:r w:rsidR="00247D03">
        <w:t>g</w:t>
      </w:r>
      <w:r w:rsidR="00247D03">
        <w:t>en ska göras så att avvikelserna från tillgänglighetskraven begränsas till det nödvändiga. Grunderna för en oproportionell börda ska framgå av det til</w:t>
      </w:r>
      <w:r w:rsidR="00247D03">
        <w:t>l</w:t>
      </w:r>
      <w:r w:rsidR="00247D03">
        <w:t>gänglighetsutlåtande som det föreskrivs om i 7</w:t>
      </w:r>
      <w:r w:rsidR="000C71DD">
        <w:t> §</w:t>
      </w:r>
      <w:r w:rsidR="00247D03">
        <w:t>.</w:t>
      </w:r>
    </w:p>
    <w:p w14:paraId="504980A9" w14:textId="120F08EA" w:rsidR="006E7D1C" w:rsidRDefault="00247D03" w:rsidP="005C7B2D">
      <w:pPr>
        <w:pStyle w:val="ANormal"/>
      </w:pPr>
      <w:r>
        <w:tab/>
        <w:t xml:space="preserve">I </w:t>
      </w:r>
      <w:r w:rsidRPr="00247D03">
        <w:rPr>
          <w:i/>
        </w:rPr>
        <w:t>2</w:t>
      </w:r>
      <w:r w:rsidR="000C71DD">
        <w:rPr>
          <w:i/>
        </w:rPr>
        <w:t> mom.</w:t>
      </w:r>
      <w:r>
        <w:t xml:space="preserve"> hänvisas till det som särskilt ska beaktas vid bedömningen av om en anpassning är oproportionell. </w:t>
      </w:r>
      <w:r w:rsidR="007E41C9" w:rsidRPr="007E41C9">
        <w:t xml:space="preserve">Av artikel 5.2 </w:t>
      </w:r>
      <w:r>
        <w:t>i tillgänglighetsdirekt</w:t>
      </w:r>
      <w:r>
        <w:t>i</w:t>
      </w:r>
      <w:r>
        <w:t xml:space="preserve">vet </w:t>
      </w:r>
      <w:r w:rsidR="007E41C9" w:rsidRPr="007E41C9">
        <w:t>följer att relevanta omständigheter i sammanhanget kan vara den b</w:t>
      </w:r>
      <w:r w:rsidR="007E41C9" w:rsidRPr="007E41C9">
        <w:t>e</w:t>
      </w:r>
      <w:r w:rsidR="007E41C9" w:rsidRPr="007E41C9">
        <w:t xml:space="preserve">rörda offentliga myndighetens storlek, art och resurser. Andra relevanta </w:t>
      </w:r>
      <w:r w:rsidR="007E41C9" w:rsidRPr="007E41C9">
        <w:lastRenderedPageBreak/>
        <w:t>omständigheter kan enligt artikel 5.2 vara att uppskattade kostnader och fördelar för den berörda offentliga myndigheten i förhållande till de up</w:t>
      </w:r>
      <w:r w:rsidR="007E41C9" w:rsidRPr="007E41C9">
        <w:t>p</w:t>
      </w:r>
      <w:r w:rsidR="007E41C9" w:rsidRPr="007E41C9">
        <w:t>skattade fördelarna för personer med funktionsnedsättning, med hänsyn t</w:t>
      </w:r>
      <w:r w:rsidR="007E41C9" w:rsidRPr="007E41C9">
        <w:t>a</w:t>
      </w:r>
      <w:r w:rsidR="007E41C9" w:rsidRPr="007E41C9">
        <w:t>gen till hur ofta och under hur lång tid den specifika webbplatsen och m</w:t>
      </w:r>
      <w:r w:rsidR="007E41C9" w:rsidRPr="007E41C9">
        <w:t>o</w:t>
      </w:r>
      <w:r w:rsidR="007E41C9" w:rsidRPr="007E41C9">
        <w:t xml:space="preserve">bila applikationen används. </w:t>
      </w:r>
      <w:r w:rsidR="006E7D1C" w:rsidRPr="006E7D1C">
        <w:t>Enligt skäl 39 i tillgänglighetsdirektivet bör undantag från uppfyllandet av tillgänglighetskraven inte gå utöver vad som är absolut nödvändigt för att begränsa denna börda i förhållande till det b</w:t>
      </w:r>
      <w:r w:rsidR="006E7D1C" w:rsidRPr="006E7D1C">
        <w:t>e</w:t>
      </w:r>
      <w:r w:rsidR="006E7D1C" w:rsidRPr="006E7D1C">
        <w:t>rörda särskilda innehållet i varje enskilt fall. Åtgärder som skulle leda till en oproportionell börda bör vidare enligt samma skäl anses innebära åtgä</w:t>
      </w:r>
      <w:r w:rsidR="006E7D1C" w:rsidRPr="006E7D1C">
        <w:t>r</w:t>
      </w:r>
      <w:r w:rsidR="006E7D1C" w:rsidRPr="006E7D1C">
        <w:t>der som skulle lägga en för stor organisatorisk eller ekonomisk börda på en offentlig myndighet, eller som skulle äventyra myndighetens kapacitet att antingen fullgöra sin uppgift eller att offentliggöra information som är nö</w:t>
      </w:r>
      <w:r w:rsidR="006E7D1C" w:rsidRPr="006E7D1C">
        <w:t>d</w:t>
      </w:r>
      <w:r w:rsidR="006E7D1C" w:rsidRPr="006E7D1C">
        <w:t>vändig eller relevant för dess uppgifter eller tjänster, när man samtidigt b</w:t>
      </w:r>
      <w:r w:rsidR="006E7D1C" w:rsidRPr="006E7D1C">
        <w:t>e</w:t>
      </w:r>
      <w:r w:rsidR="006E7D1C" w:rsidRPr="006E7D1C">
        <w:t>aktar de förväntade fördelarna eller nackdelarna för medborgarna, särskilt personer med funktionsnedsättning. Av skäl 39 framgår även att endast b</w:t>
      </w:r>
      <w:r w:rsidR="006E7D1C" w:rsidRPr="006E7D1C">
        <w:t>e</w:t>
      </w:r>
      <w:r w:rsidR="006E7D1C" w:rsidRPr="006E7D1C">
        <w:t>rättigade skäl bör beaktas när man bedömer i vilken utsträckning tillgän</w:t>
      </w:r>
      <w:r w:rsidR="006E7D1C" w:rsidRPr="006E7D1C">
        <w:t>g</w:t>
      </w:r>
      <w:r w:rsidR="006E7D1C" w:rsidRPr="006E7D1C">
        <w:t>lighetskraven inte kan uppfyllas.</w:t>
      </w:r>
    </w:p>
    <w:p w14:paraId="0C86FBFE" w14:textId="08045302" w:rsidR="003F78B7" w:rsidRDefault="006E7D1C" w:rsidP="005C7B2D">
      <w:pPr>
        <w:pStyle w:val="ANormal"/>
      </w:pPr>
      <w:r>
        <w:tab/>
        <w:t xml:space="preserve">I momentet föreslås ingå sådana </w:t>
      </w:r>
      <w:r w:rsidRPr="006E7D1C">
        <w:t xml:space="preserve">närmare kriterier som </w:t>
      </w:r>
      <w:r>
        <w:t xml:space="preserve">ska </w:t>
      </w:r>
      <w:r w:rsidRPr="006E7D1C">
        <w:t>ligg</w:t>
      </w:r>
      <w:r>
        <w:t>a</w:t>
      </w:r>
      <w:r w:rsidRPr="006E7D1C">
        <w:t xml:space="preserve"> till grund för bedömningar av när det förekommer en oproportionell börda.</w:t>
      </w:r>
      <w:r w:rsidR="006975FA">
        <w:t xml:space="preserve"> E</w:t>
      </w:r>
      <w:r w:rsidR="006975FA">
        <w:t>n</w:t>
      </w:r>
      <w:r w:rsidR="006975FA">
        <w:t xml:space="preserve">ligt </w:t>
      </w:r>
      <w:r w:rsidR="006975FA" w:rsidRPr="006975FA">
        <w:rPr>
          <w:i/>
        </w:rPr>
        <w:t>1</w:t>
      </w:r>
      <w:r w:rsidR="002F030A">
        <w:rPr>
          <w:i/>
        </w:rPr>
        <w:t> punkt</w:t>
      </w:r>
      <w:r w:rsidR="006975FA" w:rsidRPr="006975FA">
        <w:rPr>
          <w:i/>
        </w:rPr>
        <w:t>en</w:t>
      </w:r>
      <w:r w:rsidR="006975FA">
        <w:t xml:space="preserve"> </w:t>
      </w:r>
      <w:r w:rsidR="003F78B7">
        <w:t xml:space="preserve">ska </w:t>
      </w:r>
      <w:r w:rsidR="006975FA">
        <w:t xml:space="preserve">myndigheten </w:t>
      </w:r>
      <w:r w:rsidR="003F78B7">
        <w:t xml:space="preserve">vid bedömningen av en oproportionell börda särskilt beakta det behov som personer med funktionsnedsättning har av att använda </w:t>
      </w:r>
      <w:r w:rsidR="006975FA">
        <w:t>webbplatsen eller den mobila applikationen</w:t>
      </w:r>
      <w:r w:rsidR="003F78B7">
        <w:t xml:space="preserve"> i fråga</w:t>
      </w:r>
      <w:r w:rsidR="006975FA">
        <w:t xml:space="preserve">. </w:t>
      </w:r>
      <w:r w:rsidR="006975FA" w:rsidRPr="006975FA">
        <w:t>I b</w:t>
      </w:r>
      <w:r w:rsidR="006975FA" w:rsidRPr="006975FA">
        <w:t>e</w:t>
      </w:r>
      <w:r w:rsidR="006975FA" w:rsidRPr="006975FA">
        <w:t>stämmelsen avses</w:t>
      </w:r>
      <w:r w:rsidR="006975FA">
        <w:t xml:space="preserve"> </w:t>
      </w:r>
      <w:r w:rsidR="006975FA" w:rsidRPr="006975FA">
        <w:t>med personer med funktionsnedsättning personer med varaktiga fysiska, psykiska, intellektuella eller sensoriska funktionsnedsät</w:t>
      </w:r>
      <w:r w:rsidR="006975FA" w:rsidRPr="006975FA">
        <w:t>t</w:t>
      </w:r>
      <w:r w:rsidR="006975FA" w:rsidRPr="006975FA">
        <w:t>ningar som i samspel med andra hinder motverkar personernas fulla och verkliga deltagande i samhället på lika villkor som andra.</w:t>
      </w:r>
      <w:r w:rsidR="006975FA">
        <w:t xml:space="preserve"> Enligt </w:t>
      </w:r>
      <w:r w:rsidR="006975FA" w:rsidRPr="006975FA">
        <w:rPr>
          <w:i/>
        </w:rPr>
        <w:t>2</w:t>
      </w:r>
      <w:r w:rsidR="002F030A">
        <w:rPr>
          <w:i/>
        </w:rPr>
        <w:t> punkt</w:t>
      </w:r>
      <w:r w:rsidR="006975FA" w:rsidRPr="006975FA">
        <w:rPr>
          <w:i/>
        </w:rPr>
        <w:t>en</w:t>
      </w:r>
      <w:r w:rsidR="006975FA">
        <w:t xml:space="preserve"> </w:t>
      </w:r>
      <w:bookmarkStart w:id="30" w:name="_Hlk513538731"/>
      <w:r w:rsidR="006975FA">
        <w:t xml:space="preserve">ska myndigheten särskilt beakta </w:t>
      </w:r>
      <w:bookmarkEnd w:id="30"/>
      <w:r w:rsidR="006975FA" w:rsidRPr="006975FA">
        <w:t>myndighetens storlek och ekonomiska ställning</w:t>
      </w:r>
      <w:r w:rsidR="006975FA">
        <w:t xml:space="preserve">, dvs. den </w:t>
      </w:r>
      <w:r w:rsidR="006975FA" w:rsidRPr="006975FA">
        <w:t>organisatorisk</w:t>
      </w:r>
      <w:r w:rsidR="006975FA">
        <w:t>a</w:t>
      </w:r>
      <w:r w:rsidR="006975FA" w:rsidRPr="006975FA">
        <w:t xml:space="preserve"> eller ekonomisk</w:t>
      </w:r>
      <w:r w:rsidR="006975FA">
        <w:t>a</w:t>
      </w:r>
      <w:r w:rsidR="006975FA" w:rsidRPr="006975FA">
        <w:t xml:space="preserve"> börda</w:t>
      </w:r>
      <w:r w:rsidR="006975FA">
        <w:t xml:space="preserve"> som läggs på en mycket liten myndighet kan vara oproportionell medan den inte är det i förhållande till en större myndighet. Enligt </w:t>
      </w:r>
      <w:r w:rsidR="006975FA" w:rsidRPr="006975FA">
        <w:rPr>
          <w:i/>
        </w:rPr>
        <w:t>3</w:t>
      </w:r>
      <w:r w:rsidR="002F030A">
        <w:rPr>
          <w:i/>
        </w:rPr>
        <w:t> punkt</w:t>
      </w:r>
      <w:r w:rsidR="006975FA" w:rsidRPr="006975FA">
        <w:rPr>
          <w:i/>
        </w:rPr>
        <w:t>en</w:t>
      </w:r>
      <w:r w:rsidR="006975FA">
        <w:t xml:space="preserve"> </w:t>
      </w:r>
      <w:r w:rsidR="006975FA" w:rsidRPr="006975FA">
        <w:t>ska myndigheten sä</w:t>
      </w:r>
      <w:r w:rsidR="006975FA" w:rsidRPr="006975FA">
        <w:t>r</w:t>
      </w:r>
      <w:r w:rsidR="006975FA" w:rsidRPr="006975FA">
        <w:t>skilt beakta verksamhetens art och omfattning.</w:t>
      </w:r>
      <w:r w:rsidR="006975FA">
        <w:t xml:space="preserve"> Myndigheterna ska </w:t>
      </w:r>
      <w:r w:rsidR="003F78B7">
        <w:t>göra en helhetsbedömning av avvikelserna från tillgänglighetskraven</w:t>
      </w:r>
      <w:r w:rsidR="006975FA">
        <w:t xml:space="preserve"> för den </w:t>
      </w:r>
      <w:proofErr w:type="gramStart"/>
      <w:r w:rsidR="006975FA">
        <w:t>ifr</w:t>
      </w:r>
      <w:r w:rsidR="006975FA">
        <w:t>å</w:t>
      </w:r>
      <w:r w:rsidR="006975FA">
        <w:t>gavarande</w:t>
      </w:r>
      <w:proofErr w:type="gramEnd"/>
      <w:r w:rsidR="006975FA">
        <w:t xml:space="preserve"> webbplatsen och mobila applikationen</w:t>
      </w:r>
      <w:r w:rsidR="003F78B7">
        <w:t xml:space="preserve">. En oproportionell börda kan således åberopas </w:t>
      </w:r>
      <w:r w:rsidR="006975FA">
        <w:t xml:space="preserve">till den del tillgänglighetskraven är oproportionella. </w:t>
      </w:r>
      <w:r w:rsidR="003F78B7">
        <w:t>D</w:t>
      </w:r>
      <w:r w:rsidR="006975FA">
        <w:t>ock ska det i regel</w:t>
      </w:r>
      <w:r w:rsidR="003F78B7">
        <w:t xml:space="preserve"> inte gå att åberopa en oproportionell börda i situationer där nya </w:t>
      </w:r>
      <w:r w:rsidR="006975FA">
        <w:t xml:space="preserve">webbplatser eller mobila applikationer </w:t>
      </w:r>
      <w:r w:rsidR="003F78B7">
        <w:t xml:space="preserve">anskaffas, </w:t>
      </w:r>
      <w:r w:rsidR="00647BE9">
        <w:t>dvs. en myndi</w:t>
      </w:r>
      <w:r w:rsidR="00647BE9">
        <w:t>g</w:t>
      </w:r>
      <w:r w:rsidR="00647BE9">
        <w:t>het ska i regel inte anskaffa eller utveckla nya webbplatser eller mobila a</w:t>
      </w:r>
      <w:r w:rsidR="00647BE9">
        <w:t>p</w:t>
      </w:r>
      <w:r w:rsidR="00647BE9">
        <w:t>plikationer som innebär en oproportionell börda för myndigheten.</w:t>
      </w:r>
    </w:p>
    <w:p w14:paraId="4D3DB601" w14:textId="77777777" w:rsidR="00647BE9" w:rsidRDefault="00647BE9" w:rsidP="005C7B2D">
      <w:pPr>
        <w:pStyle w:val="ANormal"/>
      </w:pPr>
    </w:p>
    <w:p w14:paraId="2E2B5DAE" w14:textId="62A08A3A" w:rsidR="0019580C" w:rsidRDefault="00051E32" w:rsidP="00051E32">
      <w:pPr>
        <w:pStyle w:val="ANormal"/>
      </w:pPr>
      <w:r>
        <w:t>7</w:t>
      </w:r>
      <w:r w:rsidR="000C71DD">
        <w:t> §</w:t>
      </w:r>
      <w:r>
        <w:t xml:space="preserve"> </w:t>
      </w:r>
      <w:r w:rsidRPr="00051E32">
        <w:rPr>
          <w:i/>
        </w:rPr>
        <w:t>Tillgänglighetsutlåtande</w:t>
      </w:r>
      <w:r>
        <w:t xml:space="preserve">. </w:t>
      </w:r>
      <w:r w:rsidR="0091337D">
        <w:t xml:space="preserve">Paragrafen gäller de tillgänglighetsutlåtanden som </w:t>
      </w:r>
      <w:r w:rsidR="0091337D" w:rsidRPr="0091337D">
        <w:t xml:space="preserve">artikel 7.1 i tillgänglighetsdirektivet </w:t>
      </w:r>
      <w:r w:rsidR="0091337D">
        <w:t xml:space="preserve">förutsätter att </w:t>
      </w:r>
      <w:r w:rsidR="0091337D" w:rsidRPr="0091337D">
        <w:t>offentliga myndi</w:t>
      </w:r>
      <w:r w:rsidR="0091337D" w:rsidRPr="0091337D">
        <w:t>g</w:t>
      </w:r>
      <w:r w:rsidR="0091337D" w:rsidRPr="0091337D">
        <w:t xml:space="preserve">heter ska tillhandahålla ett tillgänglighetsutlåtande. </w:t>
      </w:r>
      <w:r w:rsidR="00507678">
        <w:t>I artikel 7.1 i tillgän</w:t>
      </w:r>
      <w:r w:rsidR="00507678">
        <w:t>g</w:t>
      </w:r>
      <w:r w:rsidR="00507678">
        <w:t>lighetsdirektivet anges vad tillgänglighetsutlåtandet ska innehålla. Det ska innehålla:</w:t>
      </w:r>
    </w:p>
    <w:p w14:paraId="10DA7368" w14:textId="59F84BE1" w:rsidR="0019580C" w:rsidRDefault="0019580C" w:rsidP="00051E32">
      <w:pPr>
        <w:pStyle w:val="ANormal"/>
      </w:pPr>
      <w:r>
        <w:tab/>
      </w:r>
      <w:r w:rsidR="00507678">
        <w:t>1</w:t>
      </w:r>
      <w:r>
        <w:t>)</w:t>
      </w:r>
      <w:r w:rsidR="00507678">
        <w:t xml:space="preserve"> en förklaring avseende de delar av innehållet som inte är tillgängliga och de skäl som ligger till grund för att de inte är tillgängliga och, i för</w:t>
      </w:r>
      <w:r w:rsidR="00507678">
        <w:t>e</w:t>
      </w:r>
      <w:r w:rsidR="00507678">
        <w:t>kommande fall, de tillgängliga alternativ som finns,</w:t>
      </w:r>
    </w:p>
    <w:p w14:paraId="58AA133B" w14:textId="4E63DE3D" w:rsidR="0019580C" w:rsidRDefault="0019580C" w:rsidP="00051E32">
      <w:pPr>
        <w:pStyle w:val="ANormal"/>
      </w:pPr>
      <w:r>
        <w:tab/>
      </w:r>
      <w:r w:rsidR="00507678">
        <w:t>2</w:t>
      </w:r>
      <w:r>
        <w:t>)</w:t>
      </w:r>
      <w:r w:rsidR="00507678">
        <w:t xml:space="preserve"> en beskrivning av, och en länk till, en kommentarsfunktion som gör det möjligt för vem som helst att meddela den berörda offentliga myndi</w:t>
      </w:r>
      <w:r w:rsidR="00507678">
        <w:t>g</w:t>
      </w:r>
      <w:r w:rsidR="00507678">
        <w:t>heten att dess webbplats eller mobila applikation inte uppfyller tillgängli</w:t>
      </w:r>
      <w:r w:rsidR="00507678">
        <w:t>g</w:t>
      </w:r>
      <w:r w:rsidR="00507678">
        <w:t xml:space="preserve">hetskraven i artikel 4 och att </w:t>
      </w:r>
      <w:bookmarkStart w:id="31" w:name="_Hlk513550765"/>
      <w:r w:rsidR="00507678">
        <w:t>begära ut information som uteslutits i enlighet med artiklarna 1.4 och 5</w:t>
      </w:r>
      <w:bookmarkEnd w:id="31"/>
      <w:r w:rsidR="00507678">
        <w:t>,</w:t>
      </w:r>
    </w:p>
    <w:p w14:paraId="5B579792" w14:textId="1D559976" w:rsidR="00507678" w:rsidRDefault="0019580C" w:rsidP="00051E32">
      <w:pPr>
        <w:pStyle w:val="ANormal"/>
      </w:pPr>
      <w:r>
        <w:tab/>
      </w:r>
      <w:r w:rsidR="00507678">
        <w:t>3</w:t>
      </w:r>
      <w:r>
        <w:t>)</w:t>
      </w:r>
      <w:r w:rsidR="00507678">
        <w:t xml:space="preserve"> en länk till det uppföljningsförfarande som föreskrivs i artikel 9 och som kan åberopas i händelse av ett otillfredsställande svar på meddelandet eller begäran.</w:t>
      </w:r>
    </w:p>
    <w:p w14:paraId="2FA8B8C5" w14:textId="50A30A17" w:rsidR="00EA66E4" w:rsidRDefault="000B567B" w:rsidP="005607E2">
      <w:pPr>
        <w:pStyle w:val="ANormal"/>
      </w:pPr>
      <w:r>
        <w:tab/>
      </w:r>
      <w:r w:rsidR="00507678" w:rsidRPr="00507678">
        <w:t xml:space="preserve">Av </w:t>
      </w:r>
      <w:r w:rsidR="00507678" w:rsidRPr="00507678">
        <w:rPr>
          <w:i/>
        </w:rPr>
        <w:t>1</w:t>
      </w:r>
      <w:r w:rsidR="000C71DD">
        <w:rPr>
          <w:i/>
        </w:rPr>
        <w:t> mom.</w:t>
      </w:r>
      <w:r w:rsidR="00507678" w:rsidRPr="00507678">
        <w:t xml:space="preserve"> framgår inledningsvis att varje myndighet ska på den rel</w:t>
      </w:r>
      <w:r w:rsidR="00507678" w:rsidRPr="00507678">
        <w:t>e</w:t>
      </w:r>
      <w:r w:rsidR="00507678" w:rsidRPr="00507678">
        <w:t>vanta webbplatsen eller i anslutning till den mobila applikationen tillha</w:t>
      </w:r>
      <w:r w:rsidR="00507678" w:rsidRPr="00507678">
        <w:t>n</w:t>
      </w:r>
      <w:r w:rsidR="00507678" w:rsidRPr="00507678">
        <w:lastRenderedPageBreak/>
        <w:t>dahålla ett tillgänglighetsutlåtande. Detta innebär att tillgänglighetsutlåta</w:t>
      </w:r>
      <w:r w:rsidR="00507678" w:rsidRPr="00507678">
        <w:t>n</w:t>
      </w:r>
      <w:r w:rsidR="00507678" w:rsidRPr="00507678">
        <w:t>det ska finnas på myndighetens webbplats i en tillgänglig form. Även det tillgänglighetsutlåtande som gäller mobila applikationer ska vara i tillgän</w:t>
      </w:r>
      <w:r w:rsidR="00507678" w:rsidRPr="00507678">
        <w:t>g</w:t>
      </w:r>
      <w:r w:rsidR="00507678" w:rsidRPr="00507678">
        <w:t>lig form, och det ska finnas att tillgå när den mobila applikationen laddas ner</w:t>
      </w:r>
      <w:r w:rsidR="00507678">
        <w:t xml:space="preserve">. I momentet </w:t>
      </w:r>
      <w:r w:rsidR="005C7E9A">
        <w:t>räknas upp det som åtminstone ska finnas i tillgänglighet</w:t>
      </w:r>
      <w:r w:rsidR="005C7E9A">
        <w:t>s</w:t>
      </w:r>
      <w:r w:rsidR="005C7E9A">
        <w:t xml:space="preserve">utlåtandet. Enligt </w:t>
      </w:r>
      <w:r w:rsidR="005C7E9A" w:rsidRPr="005C7E9A">
        <w:rPr>
          <w:i/>
        </w:rPr>
        <w:t>1</w:t>
      </w:r>
      <w:r w:rsidR="002F030A">
        <w:rPr>
          <w:i/>
        </w:rPr>
        <w:t> punkt</w:t>
      </w:r>
      <w:r w:rsidR="005C7E9A" w:rsidRPr="005C7E9A">
        <w:rPr>
          <w:i/>
        </w:rPr>
        <w:t>en</w:t>
      </w:r>
      <w:r w:rsidR="005C7E9A">
        <w:t xml:space="preserve"> ska i utlåtandet finnas en </w:t>
      </w:r>
      <w:r w:rsidR="005C7E9A" w:rsidRPr="005C7E9A">
        <w:t>redogörelse för vilka delar av innehållet på webbplatsen och den mobila applikationen som inte uppfyller tillgänglighetskraven samt skälen till avvikelser från dessa krav</w:t>
      </w:r>
      <w:r w:rsidR="005C7E9A">
        <w:t xml:space="preserve">. Det kan röra sig om avvikelser på grund av </w:t>
      </w:r>
      <w:r w:rsidR="00030CA8">
        <w:t xml:space="preserve">en </w:t>
      </w:r>
      <w:r w:rsidR="005C7E9A">
        <w:t>oproportionell börda enligt 6</w:t>
      </w:r>
      <w:r w:rsidR="000C71DD">
        <w:t> §</w:t>
      </w:r>
      <w:r w:rsidR="005C7E9A">
        <w:t xml:space="preserve">, men det </w:t>
      </w:r>
      <w:r w:rsidR="00507678">
        <w:t xml:space="preserve">kan </w:t>
      </w:r>
      <w:r w:rsidR="005C7E9A">
        <w:t xml:space="preserve">också vara fråga om innehåll som </w:t>
      </w:r>
      <w:r w:rsidR="00507678">
        <w:t xml:space="preserve">har </w:t>
      </w:r>
      <w:r w:rsidR="005C7E9A">
        <w:t>undanta</w:t>
      </w:r>
      <w:r w:rsidR="00507678">
        <w:t>git</w:t>
      </w:r>
      <w:r w:rsidR="005C7E9A">
        <w:t>s från ti</w:t>
      </w:r>
      <w:r w:rsidR="005C7E9A">
        <w:t>l</w:t>
      </w:r>
      <w:r w:rsidR="005C7E9A">
        <w:t>lämpningsområdet enligt 4</w:t>
      </w:r>
      <w:r w:rsidR="000C71DD">
        <w:t> §</w:t>
      </w:r>
      <w:r w:rsidR="005C7E9A">
        <w:t xml:space="preserve">. </w:t>
      </w:r>
      <w:r w:rsidR="00B9476C">
        <w:t>Det kan också vara så att visst innehåll på webbplatsen eller den mobila applikationen har undantagits temporärt e</w:t>
      </w:r>
      <w:r w:rsidR="00B9476C">
        <w:t>n</w:t>
      </w:r>
      <w:r w:rsidR="00B9476C">
        <w:t>ligt 15</w:t>
      </w:r>
      <w:r w:rsidR="000C71DD">
        <w:t> §</w:t>
      </w:r>
      <w:r w:rsidR="00B9476C">
        <w:t>.</w:t>
      </w:r>
    </w:p>
    <w:p w14:paraId="5E99A302" w14:textId="2B01F145" w:rsidR="001C53D4" w:rsidRDefault="00EA66E4" w:rsidP="005607E2">
      <w:pPr>
        <w:pStyle w:val="ANormal"/>
      </w:pPr>
      <w:r>
        <w:tab/>
      </w:r>
      <w:r w:rsidR="00D12546" w:rsidRPr="00D12546">
        <w:t xml:space="preserve">Enligt </w:t>
      </w:r>
      <w:r w:rsidR="00013F02">
        <w:rPr>
          <w:i/>
        </w:rPr>
        <w:t>2</w:t>
      </w:r>
      <w:r w:rsidR="002F030A">
        <w:rPr>
          <w:i/>
        </w:rPr>
        <w:t> punkt</w:t>
      </w:r>
      <w:r w:rsidR="00D12546" w:rsidRPr="00D12546">
        <w:rPr>
          <w:i/>
        </w:rPr>
        <w:t>en</w:t>
      </w:r>
      <w:r w:rsidR="00D12546" w:rsidRPr="00D12546">
        <w:t xml:space="preserve"> ska ur tillgänglighetsutlåtandet framgå anvisningar för hur användare av webbplatsen och den mobila applikationen kan elektr</w:t>
      </w:r>
      <w:r w:rsidR="00D12546" w:rsidRPr="00D12546">
        <w:t>o</w:t>
      </w:r>
      <w:r w:rsidR="00D12546" w:rsidRPr="00D12546">
        <w:t>niskt lämna in till myndigheten i 5</w:t>
      </w:r>
      <w:r w:rsidR="000C71DD">
        <w:t> §</w:t>
      </w:r>
      <w:r w:rsidR="00D12546" w:rsidRPr="00D12546">
        <w:t xml:space="preserve"> 3</w:t>
      </w:r>
      <w:r w:rsidR="000C71DD">
        <w:t> mom.</w:t>
      </w:r>
      <w:r w:rsidR="00D12546" w:rsidRPr="00D12546">
        <w:t xml:space="preserve"> avsett meddelande om oföre</w:t>
      </w:r>
      <w:r w:rsidR="00D12546" w:rsidRPr="00D12546">
        <w:t>n</w:t>
      </w:r>
      <w:r w:rsidR="00D12546" w:rsidRPr="00D12546">
        <w:t>lighet med tillgänglighetskraven</w:t>
      </w:r>
      <w:r w:rsidR="00B9476C">
        <w:t xml:space="preserve">. </w:t>
      </w:r>
      <w:r w:rsidR="00013F02" w:rsidRPr="00013F02">
        <w:t xml:space="preserve">I </w:t>
      </w:r>
      <w:r w:rsidR="00013F02" w:rsidRPr="00013F02">
        <w:rPr>
          <w:i/>
        </w:rPr>
        <w:t>3</w:t>
      </w:r>
      <w:r w:rsidR="000C71DD">
        <w:rPr>
          <w:i/>
        </w:rPr>
        <w:t> punkt</w:t>
      </w:r>
      <w:r w:rsidR="00013F02" w:rsidRPr="00013F02">
        <w:rPr>
          <w:i/>
        </w:rPr>
        <w:t>en</w:t>
      </w:r>
      <w:r w:rsidR="00013F02" w:rsidRPr="00013F02">
        <w:t xml:space="preserve"> förutsätts anvisningar för att på ett alternativt sätt få den från tillgänglighetskraven uteslutna informa</w:t>
      </w:r>
      <w:r w:rsidR="00013F02" w:rsidRPr="00013F02">
        <w:t>t</w:t>
      </w:r>
      <w:r w:rsidR="00013F02" w:rsidRPr="00013F02">
        <w:t>ionen som finns på webbplatsen eller i anslutning till den mobila applika</w:t>
      </w:r>
      <w:r w:rsidR="00013F02" w:rsidRPr="00013F02">
        <w:t>t</w:t>
      </w:r>
      <w:r w:rsidR="00013F02" w:rsidRPr="00013F02">
        <w:t>ionen. Det ska också framgå information om hur en person kan till my</w:t>
      </w:r>
      <w:r w:rsidR="00013F02" w:rsidRPr="00013F02">
        <w:t>n</w:t>
      </w:r>
      <w:r w:rsidR="00013F02" w:rsidRPr="00013F02">
        <w:t>digheten lämna in elektroniskt i 8</w:t>
      </w:r>
      <w:r w:rsidR="000C71DD">
        <w:t> §</w:t>
      </w:r>
      <w:r w:rsidR="00013F02" w:rsidRPr="00013F02">
        <w:t xml:space="preserve"> 2</w:t>
      </w:r>
      <w:r w:rsidR="000C71DD">
        <w:t> mom.</w:t>
      </w:r>
      <w:r w:rsidR="00013F02" w:rsidRPr="00013F02">
        <w:t xml:space="preserve"> avsedd begäran om att få inn</w:t>
      </w:r>
      <w:r w:rsidR="00013F02" w:rsidRPr="00013F02">
        <w:t>e</w:t>
      </w:r>
      <w:r w:rsidR="00013F02" w:rsidRPr="00013F02">
        <w:t>hållet i en tillgänglig form. I 8</w:t>
      </w:r>
      <w:r w:rsidR="000C71DD">
        <w:t> §</w:t>
      </w:r>
      <w:r w:rsidR="00013F02" w:rsidRPr="00013F02">
        <w:t xml:space="preserve"> föreskrivs om en begränsad rätt att få i</w:t>
      </w:r>
      <w:r w:rsidR="00013F02" w:rsidRPr="00013F02">
        <w:t>n</w:t>
      </w:r>
      <w:r w:rsidR="00013F02" w:rsidRPr="00013F02">
        <w:t xml:space="preserve">nehåll i en form som uppfyller tillgänglighetskraven eller på något annat sätt, trots att innehållet som finns på myndighetens webbplats eller mobila applikation har uteslutits från tillgänglighetskraven. </w:t>
      </w:r>
      <w:r w:rsidR="0045657C">
        <w:t xml:space="preserve">Enligt </w:t>
      </w:r>
      <w:r w:rsidR="00D12546">
        <w:rPr>
          <w:i/>
        </w:rPr>
        <w:t>4</w:t>
      </w:r>
      <w:r w:rsidR="002F030A">
        <w:rPr>
          <w:i/>
        </w:rPr>
        <w:t> punkt</w:t>
      </w:r>
      <w:r w:rsidR="0045657C" w:rsidRPr="0045657C">
        <w:rPr>
          <w:i/>
        </w:rPr>
        <w:t>en</w:t>
      </w:r>
      <w:r w:rsidR="0045657C">
        <w:t xml:space="preserve"> ska i tillgänglighetsutlåtandet också finnas </w:t>
      </w:r>
      <w:r w:rsidR="0045657C" w:rsidRPr="0045657C">
        <w:t xml:space="preserve">en länk till landskapsregeringens webbplats där klagomål </w:t>
      </w:r>
      <w:r w:rsidR="005375F6">
        <w:t xml:space="preserve">enligt </w:t>
      </w:r>
      <w:r w:rsidR="0019092F">
        <w:t>9</w:t>
      </w:r>
      <w:r w:rsidR="000C71DD">
        <w:t> §</w:t>
      </w:r>
      <w:r w:rsidR="005375F6">
        <w:t xml:space="preserve"> </w:t>
      </w:r>
      <w:r w:rsidR="0045657C" w:rsidRPr="0045657C">
        <w:t>kan anföras.</w:t>
      </w:r>
      <w:r w:rsidR="0045657C">
        <w:t xml:space="preserve"> Detta hänvisar till lan</w:t>
      </w:r>
      <w:r w:rsidR="0045657C">
        <w:t>d</w:t>
      </w:r>
      <w:r w:rsidR="0045657C">
        <w:t>skapsregering</w:t>
      </w:r>
      <w:r w:rsidR="0019092F">
        <w:t>en</w:t>
      </w:r>
      <w:r w:rsidR="0045657C">
        <w:t>s uppgift som tillsynsmyndighet</w:t>
      </w:r>
      <w:r w:rsidR="007945E9">
        <w:t xml:space="preserve"> </w:t>
      </w:r>
      <w:r w:rsidR="005375F6">
        <w:t xml:space="preserve">och landskapsregeringen kan </w:t>
      </w:r>
      <w:r w:rsidR="0019092F">
        <w:t xml:space="preserve">inom ramen för sina befogenheter </w:t>
      </w:r>
      <w:r w:rsidR="005375F6">
        <w:t>vidta åtgärder med anledning av så</w:t>
      </w:r>
      <w:r w:rsidR="005375F6">
        <w:t>d</w:t>
      </w:r>
      <w:r w:rsidR="005375F6">
        <w:t>ana klagomål</w:t>
      </w:r>
      <w:r w:rsidR="0019092F">
        <w:t>.</w:t>
      </w:r>
    </w:p>
    <w:p w14:paraId="6F4FCDCC" w14:textId="0A5BFE22" w:rsidR="00A3247D" w:rsidRDefault="001C53D4" w:rsidP="001C53D4">
      <w:pPr>
        <w:pStyle w:val="ANormal"/>
      </w:pPr>
      <w:r w:rsidRPr="001C53D4">
        <w:tab/>
        <w:t>Enligt artikel 7.2 i tillgänglighetsdirektivet ska kommissionen anta g</w:t>
      </w:r>
      <w:r>
        <w:t>e</w:t>
      </w:r>
      <w:r w:rsidRPr="001C53D4">
        <w:t>nomförandeakter om fastställande av en mall för tillgänglighetsutlåtanden. Senast den 23 december 2018 ska kommissionen anta den första genomf</w:t>
      </w:r>
      <w:r w:rsidRPr="001C53D4">
        <w:t>ö</w:t>
      </w:r>
      <w:r w:rsidRPr="001C53D4">
        <w:t xml:space="preserve">randeakten. I </w:t>
      </w:r>
      <w:r w:rsidRPr="001C53D4">
        <w:rPr>
          <w:i/>
        </w:rPr>
        <w:t>3</w:t>
      </w:r>
      <w:r w:rsidR="000C71DD">
        <w:rPr>
          <w:i/>
        </w:rPr>
        <w:t> mom.</w:t>
      </w:r>
      <w:r w:rsidRPr="001C53D4">
        <w:t xml:space="preserve"> hänvisas till den mall för tillgänglighetsutlåtandena som kommissionen ska fastställa. Enligt mom</w:t>
      </w:r>
      <w:r w:rsidR="00CF6E79">
        <w:t>entet</w:t>
      </w:r>
      <w:r w:rsidRPr="001C53D4">
        <w:t xml:space="preserve"> ska myndigheterna til</w:t>
      </w:r>
      <w:r w:rsidRPr="001C53D4">
        <w:t>l</w:t>
      </w:r>
      <w:r w:rsidRPr="001C53D4">
        <w:t>handhålla tillgänglighetsutlåtandena på det sätt som föreskrivs i av ko</w:t>
      </w:r>
      <w:r w:rsidRPr="001C53D4">
        <w:t>m</w:t>
      </w:r>
      <w:r w:rsidRPr="001C53D4">
        <w:t>missionen antagen genomförandeakt som avses i artikel 7.2 i tillgängli</w:t>
      </w:r>
      <w:r w:rsidRPr="001C53D4">
        <w:t>g</w:t>
      </w:r>
      <w:r w:rsidRPr="001C53D4">
        <w:t xml:space="preserve">hetsdirektivet. </w:t>
      </w:r>
      <w:r w:rsidR="00CF6E79">
        <w:t xml:space="preserve">Enligt </w:t>
      </w:r>
      <w:r w:rsidR="00A3247D" w:rsidRPr="00A3247D">
        <w:t>9</w:t>
      </w:r>
      <w:r w:rsidR="000C71DD">
        <w:t> §</w:t>
      </w:r>
      <w:r w:rsidR="00A3247D" w:rsidRPr="00A3247D">
        <w:t xml:space="preserve"> föreslås landskapsregeringen fungera som til</w:t>
      </w:r>
      <w:r w:rsidR="00A3247D" w:rsidRPr="00A3247D">
        <w:t>l</w:t>
      </w:r>
      <w:r w:rsidR="00A3247D" w:rsidRPr="00A3247D">
        <w:t>synsmyndighet. Med tanke på denna uppgift är det ändamålsenligt att lan</w:t>
      </w:r>
      <w:r w:rsidR="00A3247D" w:rsidRPr="00A3247D">
        <w:t>d</w:t>
      </w:r>
      <w:r w:rsidR="00A3247D" w:rsidRPr="00A3247D">
        <w:t xml:space="preserve">skapsregeringen informerar om </w:t>
      </w:r>
      <w:r w:rsidR="00A3247D">
        <w:t xml:space="preserve">mallen för tillgänglighetsutlåtandena </w:t>
      </w:r>
      <w:r w:rsidR="00A3247D" w:rsidRPr="00A3247D">
        <w:t>på lämpligt sätt, t.ex. genom att hålla dem tillgängliga på sin webbplats.</w:t>
      </w:r>
    </w:p>
    <w:p w14:paraId="35B01C64" w14:textId="77777777" w:rsidR="001C53D4" w:rsidRDefault="001C53D4" w:rsidP="005607E2">
      <w:pPr>
        <w:pStyle w:val="ANormal"/>
      </w:pPr>
    </w:p>
    <w:p w14:paraId="30A1B599" w14:textId="167EE04F" w:rsidR="0061082C" w:rsidRDefault="001C53D4" w:rsidP="00261555">
      <w:pPr>
        <w:pStyle w:val="ANormal"/>
      </w:pPr>
      <w:r>
        <w:t>8</w:t>
      </w:r>
      <w:r w:rsidR="000C71DD">
        <w:t> §</w:t>
      </w:r>
      <w:r>
        <w:t xml:space="preserve"> </w:t>
      </w:r>
      <w:r w:rsidRPr="001C53D4">
        <w:rPr>
          <w:i/>
        </w:rPr>
        <w:t>Rätt att få innehåll i en tillgänglig form</w:t>
      </w:r>
      <w:r>
        <w:t xml:space="preserve">. </w:t>
      </w:r>
      <w:r w:rsidR="00261555" w:rsidRPr="00261555">
        <w:t>Artikel 7.1 i tillgänglighetsd</w:t>
      </w:r>
      <w:r w:rsidR="00261555" w:rsidRPr="00261555">
        <w:t>i</w:t>
      </w:r>
      <w:r w:rsidR="00261555" w:rsidRPr="00261555">
        <w:t>rektivet utgår från att det ska vara möjligt att begära ut information som har uteslutits från tillgänglighetskraven. Av skäl 46 i webbtillgänglighetsdire</w:t>
      </w:r>
      <w:r w:rsidR="00261555" w:rsidRPr="00261555">
        <w:t>k</w:t>
      </w:r>
      <w:r w:rsidR="00261555" w:rsidRPr="00261555">
        <w:t>tivets ingress framgår att det som kan begäras ut enligt artikel 7.1 är nö</w:t>
      </w:r>
      <w:r w:rsidR="00261555" w:rsidRPr="00261555">
        <w:t>d</w:t>
      </w:r>
      <w:r w:rsidR="00261555" w:rsidRPr="00261555">
        <w:t>vändig information, inklusive tjänster och dokument. Av direktivet framgår att den information som efter begäran ska tillhandahållas är den som utesl</w:t>
      </w:r>
      <w:r w:rsidR="00261555" w:rsidRPr="00261555">
        <w:t>u</w:t>
      </w:r>
      <w:r w:rsidR="00261555" w:rsidRPr="00261555">
        <w:t>tits från tillämpningsområdet för att tillgängliggörandet inte utgjort en sk</w:t>
      </w:r>
      <w:r w:rsidR="00261555" w:rsidRPr="00261555">
        <w:t>ä</w:t>
      </w:r>
      <w:r w:rsidR="00261555" w:rsidRPr="00261555">
        <w:t xml:space="preserve">lig anpassning eller är sådant innehåll som uteslutits efter att ha bedömts omfattas av undantagen i direktivet. Av skäl 46 framgår även att en begäran ska vara berättigad och rimlig. </w:t>
      </w:r>
      <w:r w:rsidR="008153F3">
        <w:t xml:space="preserve">I paragrafen </w:t>
      </w:r>
      <w:r w:rsidR="00CA7064">
        <w:t xml:space="preserve">föreslås en begränsad </w:t>
      </w:r>
      <w:r w:rsidR="001D192A">
        <w:t xml:space="preserve">rätt att begära </w:t>
      </w:r>
      <w:r w:rsidR="008153F3">
        <w:t xml:space="preserve">från tillgänglighetskraven utesluten information </w:t>
      </w:r>
      <w:r w:rsidR="001D192A">
        <w:t>som</w:t>
      </w:r>
      <w:r w:rsidR="008153F3" w:rsidRPr="008153F3">
        <w:t xml:space="preserve"> finns på my</w:t>
      </w:r>
      <w:r w:rsidR="008153F3" w:rsidRPr="008153F3">
        <w:t>n</w:t>
      </w:r>
      <w:r w:rsidR="008153F3" w:rsidRPr="008153F3">
        <w:t>dighetens webbplats eller mobila applikation</w:t>
      </w:r>
      <w:r w:rsidR="008153F3">
        <w:t xml:space="preserve">. </w:t>
      </w:r>
      <w:r w:rsidR="008153F3" w:rsidRPr="008153F3">
        <w:t xml:space="preserve">Myndigheten kan ha uteslutit innehåll från lagens tillämpningsområde eller </w:t>
      </w:r>
      <w:r w:rsidR="008153F3">
        <w:t xml:space="preserve">för </w:t>
      </w:r>
      <w:r w:rsidR="008153F3" w:rsidRPr="008153F3">
        <w:t>att tillgänglighetskraven skulle lägga en oproportionell börda på myndigheten.</w:t>
      </w:r>
      <w:r w:rsidR="00322345">
        <w:t xml:space="preserve"> P</w:t>
      </w:r>
      <w:r w:rsidR="00261555">
        <w:t>aragraf</w:t>
      </w:r>
      <w:r w:rsidR="00322345">
        <w:t>en</w:t>
      </w:r>
      <w:r w:rsidR="00261555">
        <w:t xml:space="preserve"> utgår från att skyldighet</w:t>
      </w:r>
      <w:r w:rsidR="00CA7064">
        <w:t>en</w:t>
      </w:r>
      <w:r w:rsidR="00261555">
        <w:t xml:space="preserve"> att tillmötesgå en begäran om information bör knyta an till </w:t>
      </w:r>
      <w:r w:rsidR="00261555">
        <w:lastRenderedPageBreak/>
        <w:t>särskilda och konkreta behov som en enskild person har av information som finns på en webbplats eller en mobil applikation som uteslutits från tillgänglighetskraven. Det bör således handla om information som den e</w:t>
      </w:r>
      <w:r w:rsidR="00261555">
        <w:t>n</w:t>
      </w:r>
      <w:r w:rsidR="00261555">
        <w:t>skilde visserligen har tillgång till, men som personen inte kan ta del av till följd av sin funktionsnedsättning.</w:t>
      </w:r>
    </w:p>
    <w:p w14:paraId="66EE7B27" w14:textId="257CCD0F" w:rsidR="00D4062F" w:rsidRDefault="0061082C" w:rsidP="0061082C">
      <w:pPr>
        <w:pStyle w:val="ANormal"/>
      </w:pPr>
      <w:r>
        <w:tab/>
        <w:t xml:space="preserve">Enligt </w:t>
      </w:r>
      <w:r w:rsidRPr="0061082C">
        <w:rPr>
          <w:i/>
        </w:rPr>
        <w:t>1</w:t>
      </w:r>
      <w:r w:rsidR="000C71DD">
        <w:rPr>
          <w:i/>
        </w:rPr>
        <w:t> mom.</w:t>
      </w:r>
      <w:r>
        <w:t xml:space="preserve"> </w:t>
      </w:r>
      <w:r w:rsidRPr="0061082C">
        <w:t>har en enskild person rätt att i specifika fall få innehåll</w:t>
      </w:r>
      <w:r>
        <w:t xml:space="preserve"> </w:t>
      </w:r>
      <w:r w:rsidRPr="0061082C">
        <w:t xml:space="preserve">som finns på myndighetens webbplats eller mobila applikation </w:t>
      </w:r>
      <w:r>
        <w:t xml:space="preserve">och som </w:t>
      </w:r>
      <w:r w:rsidRPr="0061082C">
        <w:t>har uteslutits från tillgänglighetskraven</w:t>
      </w:r>
      <w:r>
        <w:t xml:space="preserve">. </w:t>
      </w:r>
      <w:r w:rsidR="00D4062F">
        <w:t xml:space="preserve">En förutsättning för att den enskilde ska få innehållet i en form som uppfyller tillgänglighetskraven är att den som </w:t>
      </w:r>
      <w:r w:rsidR="004A7D27">
        <w:t xml:space="preserve">lämnar in en </w:t>
      </w:r>
      <w:r w:rsidR="00D4062F">
        <w:t xml:space="preserve">begäran har åtkomst till webbplatsen eller </w:t>
      </w:r>
      <w:r w:rsidR="00C86BA1">
        <w:t xml:space="preserve">den </w:t>
      </w:r>
      <w:r w:rsidR="00D4062F">
        <w:t>mobila</w:t>
      </w:r>
      <w:r w:rsidR="00C86BA1">
        <w:t xml:space="preserve"> a</w:t>
      </w:r>
      <w:r w:rsidR="00D4062F">
        <w:t>p</w:t>
      </w:r>
      <w:r w:rsidR="00D4062F">
        <w:t xml:space="preserve">plikationen för att kunna specificera sin begäran. Bestämmelsen medför ingen rätt till information från vilket material som helst, utan det handlar om innehåll som den enskilde i sig har rätt att få men som inte </w:t>
      </w:r>
      <w:r w:rsidR="004A7D27">
        <w:t xml:space="preserve">finns </w:t>
      </w:r>
      <w:r w:rsidR="00D4062F">
        <w:t>i til</w:t>
      </w:r>
      <w:r w:rsidR="00D4062F">
        <w:t>l</w:t>
      </w:r>
      <w:r w:rsidR="00D4062F">
        <w:t xml:space="preserve">gänglig form. Det bör också observeras att rätten till information enligt den föreslagna bestämmelsen inte ska sammanblandas med t.ex. </w:t>
      </w:r>
      <w:r w:rsidR="00A55439">
        <w:t>begäran att ta del av en allmän handling enligt landskapslagen (1977:72) om allmänna handlingars offentlighet eller den registrerades rätt till information enligt dataskyddsförordningen.</w:t>
      </w:r>
    </w:p>
    <w:p w14:paraId="468A81AF" w14:textId="436F2312" w:rsidR="0061082C" w:rsidRDefault="00A55439" w:rsidP="0061082C">
      <w:pPr>
        <w:pStyle w:val="ANormal"/>
      </w:pPr>
      <w:r>
        <w:tab/>
      </w:r>
      <w:r w:rsidR="0061082C">
        <w:t>Den</w:t>
      </w:r>
      <w:r>
        <w:t xml:space="preserve"> föreslagna rätten till innehåll i en tillgänglig form </w:t>
      </w:r>
      <w:r w:rsidR="0061082C">
        <w:t xml:space="preserve">ska gälla om </w:t>
      </w:r>
      <w:r w:rsidR="0061082C" w:rsidRPr="0061082C">
        <w:t>pe</w:t>
      </w:r>
      <w:r w:rsidR="0061082C" w:rsidRPr="0061082C">
        <w:t>r</w:t>
      </w:r>
      <w:r w:rsidR="0061082C" w:rsidRPr="0061082C">
        <w:t>sonens rätt, fördel eller skyldighet enligt lag kan direkt påverkas av inn</w:t>
      </w:r>
      <w:r w:rsidR="0061082C" w:rsidRPr="0061082C">
        <w:t>e</w:t>
      </w:r>
      <w:r w:rsidR="0061082C" w:rsidRPr="0061082C">
        <w:t>hållet.</w:t>
      </w:r>
      <w:r w:rsidR="0061082C">
        <w:t xml:space="preserve"> Personen ska då få innehållet </w:t>
      </w:r>
      <w:r w:rsidR="0061082C" w:rsidRPr="0061082C">
        <w:t>i en form som uppfyller tillgängli</w:t>
      </w:r>
      <w:r w:rsidR="0061082C" w:rsidRPr="0061082C">
        <w:t>g</w:t>
      </w:r>
      <w:r w:rsidR="0061082C" w:rsidRPr="0061082C">
        <w:t>hetskraven eller på något annat sätt om personens rätt, fördel eller skyldi</w:t>
      </w:r>
      <w:r w:rsidR="0061082C" w:rsidRPr="0061082C">
        <w:t>g</w:t>
      </w:r>
      <w:r w:rsidR="0061082C" w:rsidRPr="0061082C">
        <w:t>het enligt lag kan direkt påverkas av innehållet.</w:t>
      </w:r>
      <w:r w:rsidR="0061082C">
        <w:t xml:space="preserve"> </w:t>
      </w:r>
      <w:r w:rsidR="0061082C" w:rsidRPr="0061082C">
        <w:t xml:space="preserve">Enligt förslaget ska rätten utgå från det partsbegrepp som </w:t>
      </w:r>
      <w:r w:rsidR="0061082C">
        <w:t xml:space="preserve">redan </w:t>
      </w:r>
      <w:r w:rsidR="0061082C" w:rsidRPr="0061082C">
        <w:t>finns i annan lagstiftning</w:t>
      </w:r>
      <w:r w:rsidR="0061082C">
        <w:t>. En a</w:t>
      </w:r>
      <w:r w:rsidR="0061082C">
        <w:t>v</w:t>
      </w:r>
      <w:r w:rsidR="0061082C">
        <w:t xml:space="preserve">gränsning är nödvändig eftersom det inte är </w:t>
      </w:r>
      <w:r w:rsidR="0061082C" w:rsidRPr="0061082C">
        <w:t>rimligt att en myndighet först undantar en hel webbplats från tillgänglighetskraven</w:t>
      </w:r>
      <w:r w:rsidR="0061082C">
        <w:t xml:space="preserve"> </w:t>
      </w:r>
      <w:r w:rsidR="00022898">
        <w:t>enligt</w:t>
      </w:r>
      <w:r w:rsidR="0061082C">
        <w:t xml:space="preserve"> 4</w:t>
      </w:r>
      <w:r w:rsidR="000C71DD">
        <w:t> §</w:t>
      </w:r>
      <w:r w:rsidR="0061082C">
        <w:t xml:space="preserve"> eller 6</w:t>
      </w:r>
      <w:r w:rsidR="000C71DD">
        <w:t> §</w:t>
      </w:r>
      <w:r w:rsidR="0061082C">
        <w:t xml:space="preserve"> </w:t>
      </w:r>
      <w:r w:rsidR="004A7D27">
        <w:t xml:space="preserve">men </w:t>
      </w:r>
      <w:r w:rsidR="0061082C" w:rsidRPr="0061082C">
        <w:t xml:space="preserve">senare skulle vara skyldig att tillgängliggöra hela webbplatsen efter att en person lämnar in en </w:t>
      </w:r>
      <w:r w:rsidR="00022898">
        <w:t xml:space="preserve">sådan </w:t>
      </w:r>
      <w:r w:rsidR="0061082C" w:rsidRPr="0061082C">
        <w:t xml:space="preserve">begäran om information som avses i artikel 7.1 i </w:t>
      </w:r>
      <w:r w:rsidR="0061082C">
        <w:t>tillgängslighets</w:t>
      </w:r>
      <w:r w:rsidR="0061082C" w:rsidRPr="0061082C">
        <w:t>direktivet.</w:t>
      </w:r>
    </w:p>
    <w:p w14:paraId="5AD88461" w14:textId="5B848441" w:rsidR="0061082C" w:rsidRDefault="0061082C" w:rsidP="0061082C">
      <w:pPr>
        <w:pStyle w:val="ANormal"/>
      </w:pPr>
      <w:r>
        <w:tab/>
        <w:t xml:space="preserve">Frågan om när </w:t>
      </w:r>
      <w:r w:rsidRPr="0061082C">
        <w:t>personens rätt, fördel eller skyldighet enligt lag kan d</w:t>
      </w:r>
      <w:r w:rsidRPr="0061082C">
        <w:t>i</w:t>
      </w:r>
      <w:r w:rsidRPr="0061082C">
        <w:t>rekt påverkas av innehållet</w:t>
      </w:r>
      <w:r>
        <w:t xml:space="preserve"> är situationsbunde</w:t>
      </w:r>
      <w:r w:rsidR="00022898">
        <w:t>n</w:t>
      </w:r>
      <w:r>
        <w:t xml:space="preserve">. </w:t>
      </w:r>
      <w:r w:rsidR="00722D5C">
        <w:t>Tolkningen av motsv</w:t>
      </w:r>
      <w:r w:rsidR="00722D5C">
        <w:t>a</w:t>
      </w:r>
      <w:r w:rsidR="00722D5C">
        <w:t xml:space="preserve">rande begrepp i annan lagstiftning är vägledande, </w:t>
      </w:r>
      <w:r w:rsidRPr="0061082C">
        <w:t>särskilt 8</w:t>
      </w:r>
      <w:r w:rsidR="000C71DD">
        <w:t> §</w:t>
      </w:r>
      <w:r w:rsidRPr="0061082C">
        <w:t xml:space="preserve"> i förvaltning</w:t>
      </w:r>
      <w:r w:rsidRPr="0061082C">
        <w:t>s</w:t>
      </w:r>
      <w:r w:rsidRPr="0061082C">
        <w:t>lagen för landskapet Åland och 6</w:t>
      </w:r>
      <w:r w:rsidR="000C71DD">
        <w:t> §</w:t>
      </w:r>
      <w:r w:rsidRPr="0061082C">
        <w:t xml:space="preserve"> i förvaltningsprocesslagen (FFS 586/1996)</w:t>
      </w:r>
      <w:r w:rsidR="00722D5C" w:rsidRPr="00591FB0">
        <w:t>.</w:t>
      </w:r>
      <w:r w:rsidR="00722D5C">
        <w:rPr>
          <w:rStyle w:val="Fotnotsreferens"/>
        </w:rPr>
        <w:footnoteReference w:id="28"/>
      </w:r>
      <w:r w:rsidR="00722D5C">
        <w:t xml:space="preserve"> </w:t>
      </w:r>
      <w:r>
        <w:t xml:space="preserve">Till exempel kan det anses att en person direkt påverkas av </w:t>
      </w:r>
      <w:r w:rsidR="00722D5C">
        <w:t>sådana</w:t>
      </w:r>
      <w:r>
        <w:t xml:space="preserve"> blanketter och </w:t>
      </w:r>
      <w:r w:rsidR="00722D5C">
        <w:t>sådan</w:t>
      </w:r>
      <w:r>
        <w:t xml:space="preserve"> information som ansluter till ett tillståndsförf</w:t>
      </w:r>
      <w:r>
        <w:t>a</w:t>
      </w:r>
      <w:r>
        <w:t>rande som baserar sig på lag. En person med funktionsnedsättning ska få sådana blanketter och sådan information i en form som uppfyller tillgän</w:t>
      </w:r>
      <w:r>
        <w:t>g</w:t>
      </w:r>
      <w:r>
        <w:t>lighetskraven eller annars få innehållet på något annat sätt, om informatio</w:t>
      </w:r>
      <w:r>
        <w:t>n</w:t>
      </w:r>
      <w:r>
        <w:t xml:space="preserve">en inte finns på webbplats eller mobil applikation i en tillgänglig form. Det bör noteras att förslaget bygger på att myndigheten </w:t>
      </w:r>
      <w:r w:rsidR="00722D5C">
        <w:t xml:space="preserve">ska </w:t>
      </w:r>
      <w:r>
        <w:t>bedöma om det b</w:t>
      </w:r>
      <w:r>
        <w:t>e</w:t>
      </w:r>
      <w:r>
        <w:t>gärda innehållet ska överföras i en form som uppfyller tillgänglighetskr</w:t>
      </w:r>
      <w:r>
        <w:t>a</w:t>
      </w:r>
      <w:r>
        <w:t>ven eller om den som har begärt informationen ska få den på något annat sätt. Hänvisningen till något annat sätt innebär att myndigheten inte nö</w:t>
      </w:r>
      <w:r>
        <w:t>d</w:t>
      </w:r>
      <w:r>
        <w:t xml:space="preserve">vändigtvis behöver ge informationen i en digital form. Tillhandahållandet av informationen kan också ske </w:t>
      </w:r>
      <w:r w:rsidR="00F87B5C">
        <w:t xml:space="preserve">t.ex. </w:t>
      </w:r>
      <w:r>
        <w:t>genom en muntlig redogörelse om det</w:t>
      </w:r>
      <w:r w:rsidR="00F87B5C">
        <w:t>ta</w:t>
      </w:r>
      <w:r>
        <w:t xml:space="preserve"> innebär att personen kan ta del av informationen på ett tillfredstä</w:t>
      </w:r>
      <w:r>
        <w:t>l</w:t>
      </w:r>
      <w:r>
        <w:t>lande sätt.</w:t>
      </w:r>
    </w:p>
    <w:p w14:paraId="202A54B4" w14:textId="11E0E2E7" w:rsidR="00296684" w:rsidRDefault="00A55439" w:rsidP="00D4062F">
      <w:pPr>
        <w:pStyle w:val="ANormal"/>
      </w:pPr>
      <w:r>
        <w:tab/>
        <w:t xml:space="preserve">Enligt </w:t>
      </w:r>
      <w:r w:rsidRPr="00337E9A">
        <w:rPr>
          <w:i/>
        </w:rPr>
        <w:t>2</w:t>
      </w:r>
      <w:r w:rsidR="000C71DD">
        <w:rPr>
          <w:i/>
        </w:rPr>
        <w:t> mom.</w:t>
      </w:r>
      <w:r>
        <w:t xml:space="preserve"> </w:t>
      </w:r>
      <w:r w:rsidR="00200FBF">
        <w:t xml:space="preserve">ska </w:t>
      </w:r>
      <w:r w:rsidR="003E28AD">
        <w:t>v</w:t>
      </w:r>
      <w:r w:rsidR="003E28AD" w:rsidRPr="003E28AD">
        <w:t xml:space="preserve">ar och en </w:t>
      </w:r>
      <w:r w:rsidR="00200FBF">
        <w:t xml:space="preserve">ha </w:t>
      </w:r>
      <w:r w:rsidR="003E28AD" w:rsidRPr="003E28AD">
        <w:t>rätt att elektroniskt lämna in en begäran om att få det innehåll som avses i 1</w:t>
      </w:r>
      <w:r w:rsidR="000C71DD">
        <w:t> mom.</w:t>
      </w:r>
      <w:r w:rsidR="003E28AD" w:rsidRPr="003E28AD">
        <w:t xml:space="preserve"> och berörd myndighet ska lämna ett svar </w:t>
      </w:r>
      <w:bookmarkStart w:id="32" w:name="_Hlk513644831"/>
      <w:r w:rsidR="003E28AD" w:rsidRPr="003E28AD">
        <w:t>senast fyra veckor efter att begäran lämnades in</w:t>
      </w:r>
      <w:bookmarkEnd w:id="32"/>
      <w:r w:rsidR="003E28AD" w:rsidRPr="003E28AD">
        <w:t>.</w:t>
      </w:r>
      <w:r w:rsidR="003E28AD">
        <w:t xml:space="preserve"> Kravet på att myndigheten ska ge ett svar </w:t>
      </w:r>
      <w:r w:rsidR="003E28AD" w:rsidRPr="003E28AD">
        <w:t>senast fyra veckor efter att begäran lämnades in</w:t>
      </w:r>
      <w:r w:rsidR="003E28AD">
        <w:t xml:space="preserve"> motiveras med att det rör sig om en rättighet för enskild och innehållet kan vara viktigt för den enskilde personen. </w:t>
      </w:r>
      <w:r w:rsidR="0040253B">
        <w:t xml:space="preserve">I bestämmelsen föreskrivs också </w:t>
      </w:r>
      <w:r w:rsidR="0040253B">
        <w:lastRenderedPageBreak/>
        <w:t xml:space="preserve">att den berörda myndigheten ska fatta ett beslut </w:t>
      </w:r>
      <w:r w:rsidR="0040253B" w:rsidRPr="0040253B">
        <w:t>som innehåller en mot</w:t>
      </w:r>
      <w:r w:rsidR="0040253B" w:rsidRPr="0040253B">
        <w:t>i</w:t>
      </w:r>
      <w:r w:rsidR="0040253B" w:rsidRPr="0040253B">
        <w:t>vering till att begäran har avslagits</w:t>
      </w:r>
      <w:r w:rsidR="0040253B">
        <w:t>, o</w:t>
      </w:r>
      <w:r w:rsidR="0040253B" w:rsidRPr="0040253B">
        <w:t>m informationen inte lämnas till pe</w:t>
      </w:r>
      <w:r w:rsidR="0040253B" w:rsidRPr="0040253B">
        <w:t>r</w:t>
      </w:r>
      <w:r w:rsidR="0040253B" w:rsidRPr="0040253B">
        <w:t>sonen i en tillgänglig form</w:t>
      </w:r>
      <w:r w:rsidR="0040253B">
        <w:t xml:space="preserve">. </w:t>
      </w:r>
      <w:r w:rsidR="003E28AD">
        <w:t xml:space="preserve">Även detta beslut ska fattas </w:t>
      </w:r>
      <w:r w:rsidR="003E28AD" w:rsidRPr="003E28AD">
        <w:t>senast fyra veckor efter att begäran lämnades in</w:t>
      </w:r>
      <w:r w:rsidR="003E28AD">
        <w:t xml:space="preserve">. </w:t>
      </w:r>
      <w:r w:rsidR="00296684">
        <w:t>Detta beslut utgör ett överklagbart förval</w:t>
      </w:r>
      <w:r w:rsidR="00296684">
        <w:t>t</w:t>
      </w:r>
      <w:r w:rsidR="00296684">
        <w:t>ningsbeslut vars laglighet kan prövas i förvaltningsdomstol</w:t>
      </w:r>
      <w:r w:rsidR="00631104">
        <w:t xml:space="preserve"> eftersom besl</w:t>
      </w:r>
      <w:r w:rsidR="00631104">
        <w:t>u</w:t>
      </w:r>
      <w:r w:rsidR="00631104">
        <w:t xml:space="preserve">tet </w:t>
      </w:r>
      <w:r w:rsidR="00631104" w:rsidRPr="00631104">
        <w:t>berör någons rätt, fördel eller skyldighet</w:t>
      </w:r>
      <w:r w:rsidR="00631104">
        <w:t xml:space="preserve">. Besvärsinstans bestäms då </w:t>
      </w:r>
      <w:r w:rsidR="00631104" w:rsidRPr="00631104">
        <w:t>i enlighet med 25</w:t>
      </w:r>
      <w:r w:rsidR="000C71DD">
        <w:t> §</w:t>
      </w:r>
      <w:r w:rsidR="00631104" w:rsidRPr="00631104">
        <w:t xml:space="preserve"> i självstyrelselagen.</w:t>
      </w:r>
      <w:r w:rsidR="00631104">
        <w:t xml:space="preserve"> </w:t>
      </w:r>
      <w:r w:rsidR="00296684">
        <w:t>Den enskilde kan också vända sig till tillsynsmyndigheten som</w:t>
      </w:r>
      <w:r w:rsidR="00B80716">
        <w:t xml:space="preserve"> enligt </w:t>
      </w:r>
      <w:r w:rsidR="00200FBF">
        <w:t xml:space="preserve">förslag till </w:t>
      </w:r>
      <w:r w:rsidR="00B80716">
        <w:t>11</w:t>
      </w:r>
      <w:r w:rsidR="000C71DD">
        <w:t> §</w:t>
      </w:r>
      <w:r w:rsidR="00B80716">
        <w:t xml:space="preserve"> 3</w:t>
      </w:r>
      <w:r w:rsidR="002F030A">
        <w:t> punkt</w:t>
      </w:r>
      <w:r w:rsidR="00B80716">
        <w:t>en</w:t>
      </w:r>
      <w:r w:rsidR="00296684">
        <w:t xml:space="preserve"> kan ålägga myndigheten att ge personen innehållet </w:t>
      </w:r>
      <w:r w:rsidR="00296684" w:rsidRPr="00296684">
        <w:t>i en form som uppfyller tillgängli</w:t>
      </w:r>
      <w:r w:rsidR="00296684" w:rsidRPr="00296684">
        <w:t>g</w:t>
      </w:r>
      <w:r w:rsidR="00296684" w:rsidRPr="00296684">
        <w:t>hetskraven eller på något annat sätt</w:t>
      </w:r>
      <w:r w:rsidR="00296684">
        <w:t xml:space="preserve">, förutsatt att </w:t>
      </w:r>
      <w:r w:rsidR="00296684" w:rsidRPr="00296684">
        <w:t>personens rätt, fördel eller skyldighet enligt lag kan direkt påverkas av innehållet.</w:t>
      </w:r>
    </w:p>
    <w:p w14:paraId="633D3B64" w14:textId="77777777" w:rsidR="0040253B" w:rsidRDefault="0040253B" w:rsidP="00D4062F">
      <w:pPr>
        <w:pStyle w:val="ANormal"/>
      </w:pPr>
    </w:p>
    <w:p w14:paraId="1A67D9F8" w14:textId="2E312536" w:rsidR="00167110" w:rsidRDefault="005352B4" w:rsidP="00206CD4">
      <w:pPr>
        <w:pStyle w:val="ANormal"/>
      </w:pPr>
      <w:r>
        <w:t>9</w:t>
      </w:r>
      <w:r w:rsidR="000C71DD">
        <w:t> §</w:t>
      </w:r>
      <w:r>
        <w:t xml:space="preserve"> </w:t>
      </w:r>
      <w:r w:rsidRPr="005352B4">
        <w:rPr>
          <w:i/>
        </w:rPr>
        <w:t>Tillsynsmyndighet</w:t>
      </w:r>
      <w:r>
        <w:t>.</w:t>
      </w:r>
      <w:r w:rsidR="0081547D">
        <w:t xml:space="preserve"> </w:t>
      </w:r>
      <w:r w:rsidR="00167110">
        <w:t xml:space="preserve">Enligt artikel 9 </w:t>
      </w:r>
      <w:r w:rsidR="00B80716">
        <w:t xml:space="preserve">i tillgänglighetsdirektivet </w:t>
      </w:r>
      <w:r w:rsidR="00167110">
        <w:t>ska me</w:t>
      </w:r>
      <w:r w:rsidR="00167110">
        <w:t>d</w:t>
      </w:r>
      <w:r w:rsidR="00167110">
        <w:t xml:space="preserve">lemsstaterna genom nationella uppföljningsförfaranden säkerställa att var och en har möjlighet att kontakta en laglighetsövervakningsmyndighet (ombudsman). </w:t>
      </w:r>
      <w:r w:rsidR="00167110" w:rsidRPr="00167110">
        <w:t xml:space="preserve">Enligt </w:t>
      </w:r>
      <w:r w:rsidR="00042B67" w:rsidRPr="00042B67">
        <w:rPr>
          <w:i/>
        </w:rPr>
        <w:t>1</w:t>
      </w:r>
      <w:r w:rsidR="000C71DD">
        <w:rPr>
          <w:i/>
        </w:rPr>
        <w:t> mom.</w:t>
      </w:r>
      <w:r w:rsidR="00042B67">
        <w:t xml:space="preserve"> </w:t>
      </w:r>
      <w:r w:rsidR="00167110" w:rsidRPr="00167110">
        <w:t>ska landskapsregeringen fungera som til</w:t>
      </w:r>
      <w:r w:rsidR="00167110" w:rsidRPr="00167110">
        <w:t>l</w:t>
      </w:r>
      <w:r w:rsidR="00167110" w:rsidRPr="00167110">
        <w:t>synsmyndighet enligt lagen.</w:t>
      </w:r>
      <w:r w:rsidR="00167110">
        <w:t xml:space="preserve"> När det gäller </w:t>
      </w:r>
      <w:r w:rsidR="00884B5F">
        <w:t>tillsynen av landskapsregerin</w:t>
      </w:r>
      <w:r w:rsidR="00884B5F">
        <w:t>g</w:t>
      </w:r>
      <w:r w:rsidR="00884B5F">
        <w:t>ens egna webbplatser och mobila applikationer konstateras att d</w:t>
      </w:r>
      <w:r w:rsidR="00167110">
        <w:t>en som</w:t>
      </w:r>
      <w:r w:rsidR="00884B5F">
        <w:t xml:space="preserve"> </w:t>
      </w:r>
      <w:r w:rsidR="00167110">
        <w:t>a</w:t>
      </w:r>
      <w:r w:rsidR="00167110">
        <w:t>n</w:t>
      </w:r>
      <w:r w:rsidR="00167110">
        <w:t xml:space="preserve">vänder </w:t>
      </w:r>
      <w:r w:rsidR="00884B5F">
        <w:t xml:space="preserve">dessa </w:t>
      </w:r>
      <w:r w:rsidR="00167110">
        <w:t>också</w:t>
      </w:r>
      <w:r w:rsidR="00884B5F">
        <w:t xml:space="preserve"> </w:t>
      </w:r>
      <w:r w:rsidR="00720CE2">
        <w:t xml:space="preserve">kan </w:t>
      </w:r>
      <w:r w:rsidR="00167110">
        <w:t xml:space="preserve">få rättsskydd </w:t>
      </w:r>
      <w:r w:rsidR="00884B5F">
        <w:t xml:space="preserve">t.ex. </w:t>
      </w:r>
      <w:r w:rsidR="00167110">
        <w:t>via justitiekanslern</w:t>
      </w:r>
      <w:r w:rsidR="00884B5F">
        <w:t xml:space="preserve"> </w:t>
      </w:r>
      <w:r w:rsidR="00167110">
        <w:t>i statsrådet och riksdagens justitieombudsman</w:t>
      </w:r>
      <w:r w:rsidR="00884B5F">
        <w:t>. Den eller de tjänstemän inom lan</w:t>
      </w:r>
      <w:r w:rsidR="00884B5F">
        <w:t>d</w:t>
      </w:r>
      <w:r w:rsidR="00884B5F">
        <w:t xml:space="preserve">skapsregeringen som ansvarar för tillsynen av denna lag bör inte samtidigt ansvara för utvecklandet av landskapsregeringens webbplats eller mobila applikationer. </w:t>
      </w:r>
      <w:r w:rsidR="0084392C">
        <w:t xml:space="preserve">I de rapporter som </w:t>
      </w:r>
      <w:r w:rsidR="00206CD4">
        <w:t xml:space="preserve">tillsynsmyndigheterna ska </w:t>
      </w:r>
      <w:r w:rsidR="0084392C">
        <w:t xml:space="preserve">lämna </w:t>
      </w:r>
      <w:r w:rsidR="00206CD4">
        <w:t xml:space="preserve">till </w:t>
      </w:r>
      <w:r w:rsidR="0084392C">
        <w:t xml:space="preserve">Europeiska kommissionen </w:t>
      </w:r>
      <w:r w:rsidR="00206CD4">
        <w:t>ska också framgå hur landskapsregeringens webbplatser och mobila applikationer är förenliga med tillgänglighetskr</w:t>
      </w:r>
      <w:r w:rsidR="00206CD4">
        <w:t>a</w:t>
      </w:r>
      <w:r w:rsidR="00206CD4">
        <w:t>ven.</w:t>
      </w:r>
    </w:p>
    <w:p w14:paraId="408B3B2E" w14:textId="79009CC6" w:rsidR="002E411F" w:rsidRDefault="00206CD4" w:rsidP="00631104">
      <w:pPr>
        <w:pStyle w:val="ANormal"/>
      </w:pPr>
      <w:r>
        <w:tab/>
        <w:t xml:space="preserve">Enligt </w:t>
      </w:r>
      <w:r w:rsidR="00B80716">
        <w:t xml:space="preserve">den föreslagna bestämmelsen </w:t>
      </w:r>
      <w:r>
        <w:t>ska v</w:t>
      </w:r>
      <w:r w:rsidRPr="00206CD4">
        <w:t>ar och en k</w:t>
      </w:r>
      <w:r>
        <w:t xml:space="preserve">unna </w:t>
      </w:r>
      <w:r w:rsidRPr="00206CD4">
        <w:t>anföra kl</w:t>
      </w:r>
      <w:r w:rsidRPr="00206CD4">
        <w:t>a</w:t>
      </w:r>
      <w:r w:rsidRPr="00206CD4">
        <w:t>gomål hos landskapsregeringen om att en myndighets webbplats eller m</w:t>
      </w:r>
      <w:r w:rsidRPr="00206CD4">
        <w:t>o</w:t>
      </w:r>
      <w:r w:rsidRPr="00206CD4">
        <w:t>bila applikation inte uppfyller kraven i lag</w:t>
      </w:r>
      <w:r>
        <w:t>en</w:t>
      </w:r>
      <w:r w:rsidRPr="00206CD4">
        <w:t>.</w:t>
      </w:r>
      <w:r w:rsidR="00B80716">
        <w:t xml:space="preserve"> </w:t>
      </w:r>
      <w:r w:rsidR="00DF1AE1">
        <w:t>Begreppet klagomål ska här främst jämföras med det som benämns förvaltningsklagan i rikslagstif</w:t>
      </w:r>
      <w:r w:rsidR="00DF1AE1">
        <w:t>t</w:t>
      </w:r>
      <w:r w:rsidR="00DF1AE1">
        <w:t>ningen. I 8a</w:t>
      </w:r>
      <w:r w:rsidR="000C71DD">
        <w:t> kap.</w:t>
      </w:r>
      <w:r w:rsidR="00DF1AE1">
        <w:t xml:space="preserve"> i rikets förvaltningslag finns närmare bestämmelser om förvaltningsklagan. </w:t>
      </w:r>
      <w:r w:rsidR="00E56114">
        <w:t>I förarbetena till den åländska förvaltningslagen anges att m</w:t>
      </w:r>
      <w:r w:rsidR="00E56114" w:rsidRPr="002E411F">
        <w:t>ed förvaltningsklagan avses enligt finsk rätt en anmälan som en person kan göra hos en högre eller övervakande myndighet om ett förfarande eller verksamhet anses vara lagstridigt, felaktigt eller inkorrekt. Klagan är for</w:t>
      </w:r>
      <w:r w:rsidR="00E56114" w:rsidRPr="002E411F">
        <w:t>m</w:t>
      </w:r>
      <w:r w:rsidR="00E56114" w:rsidRPr="002E411F">
        <w:t xml:space="preserve">fri och utgör en del av förvaltningsförfarandet. </w:t>
      </w:r>
      <w:r w:rsidR="00E56114">
        <w:t>T</w:t>
      </w:r>
      <w:r w:rsidR="00E56114" w:rsidRPr="002E411F">
        <w:t xml:space="preserve">rots att </w:t>
      </w:r>
      <w:r w:rsidR="00E56114">
        <w:t xml:space="preserve">det inte föreslogs särskilda bestämmelser i </w:t>
      </w:r>
      <w:r w:rsidR="00E56114" w:rsidRPr="002E411F">
        <w:t>förvaltningslagen om förvaltningsklagan hindra</w:t>
      </w:r>
      <w:r w:rsidR="00E56114">
        <w:t>r detta</w:t>
      </w:r>
      <w:r w:rsidR="00E56114" w:rsidRPr="002E411F">
        <w:t xml:space="preserve"> inte den enskilde från att lämna in anmälningar om felaktigheter och lagstridigheter till exempelvis landskapsregeringen i ärenden som lan</w:t>
      </w:r>
      <w:r w:rsidR="00E56114" w:rsidRPr="002E411F">
        <w:t>d</w:t>
      </w:r>
      <w:r w:rsidR="00E56114" w:rsidRPr="002E411F">
        <w:t>skapsregeringen är tillsynsmyndighet över.</w:t>
      </w:r>
      <w:r w:rsidR="00E56114">
        <w:rPr>
          <w:rStyle w:val="Fotnotsreferens"/>
        </w:rPr>
        <w:footnoteReference w:id="29"/>
      </w:r>
      <w:r w:rsidR="00E56114">
        <w:t xml:space="preserve"> De klagomål som var och en kan anföra hos landskapsregeringen utgör därmed </w:t>
      </w:r>
      <w:r w:rsidR="00FE126C">
        <w:t>inte ett besvärsinstitut enligt 25</w:t>
      </w:r>
      <w:r w:rsidR="000C71DD">
        <w:t> §</w:t>
      </w:r>
      <w:r w:rsidR="00FE126C">
        <w:t xml:space="preserve"> i själstyrelselagen</w:t>
      </w:r>
      <w:r w:rsidR="00E56114">
        <w:t>, men klagomålet kan föranleda att landskap</w:t>
      </w:r>
      <w:r w:rsidR="00E56114">
        <w:t>s</w:t>
      </w:r>
      <w:r w:rsidR="00E56114">
        <w:t>regeringen ålägger myndigheterna att uppfylla sina skyldigheter enligt den föreslagna lagen.</w:t>
      </w:r>
    </w:p>
    <w:p w14:paraId="2B17EA2E" w14:textId="190C7C6C" w:rsidR="0080534E" w:rsidRDefault="00042B67" w:rsidP="005352B4">
      <w:pPr>
        <w:pStyle w:val="ANormal"/>
      </w:pPr>
      <w:r>
        <w:tab/>
        <w:t xml:space="preserve">Enligt </w:t>
      </w:r>
      <w:r w:rsidRPr="00042B67">
        <w:rPr>
          <w:i/>
        </w:rPr>
        <w:t>2</w:t>
      </w:r>
      <w:r w:rsidR="000C71DD">
        <w:rPr>
          <w:i/>
        </w:rPr>
        <w:t> mom.</w:t>
      </w:r>
      <w:r>
        <w:t xml:space="preserve"> ska l</w:t>
      </w:r>
      <w:r w:rsidRPr="00042B67">
        <w:t>andskapsregeringen i brådskande ordning behandla ett klagomål som gäller en myndighets behandling av en begäran om att få innehåll i en tillgänglig form enligt 8</w:t>
      </w:r>
      <w:r w:rsidR="000C71DD">
        <w:t> §</w:t>
      </w:r>
      <w:r w:rsidRPr="00042B67">
        <w:t>.</w:t>
      </w:r>
      <w:r>
        <w:t xml:space="preserve"> </w:t>
      </w:r>
      <w:r w:rsidR="0076003C">
        <w:t xml:space="preserve">I </w:t>
      </w:r>
      <w:r w:rsidR="001100C2">
        <w:t>8</w:t>
      </w:r>
      <w:r w:rsidR="000C71DD">
        <w:t> §</w:t>
      </w:r>
      <w:r w:rsidR="001100C2">
        <w:t xml:space="preserve"> </w:t>
      </w:r>
      <w:r w:rsidR="0076003C">
        <w:t xml:space="preserve">föreskrivs om en begränsad rätt för </w:t>
      </w:r>
      <w:r w:rsidR="0080534E">
        <w:t xml:space="preserve">enskild person att få </w:t>
      </w:r>
      <w:r w:rsidR="0080534E" w:rsidRPr="0080534E">
        <w:t>innehåll som har uteslutits från tillgänglighet</w:t>
      </w:r>
      <w:r w:rsidR="0080534E" w:rsidRPr="0080534E">
        <w:t>s</w:t>
      </w:r>
      <w:r w:rsidR="0080534E" w:rsidRPr="0080534E">
        <w:t>kraven</w:t>
      </w:r>
      <w:r w:rsidR="007A7FF0">
        <w:t xml:space="preserve"> </w:t>
      </w:r>
      <w:r w:rsidR="0080534E" w:rsidRPr="0080534E">
        <w:t>i en form som uppfyller tillgänglighetskraven eller på något annat sätt om personens rätt, fördel eller skyldighet enligt lag kan direkt påverkas av innehållet.</w:t>
      </w:r>
      <w:r w:rsidR="0080534E">
        <w:t xml:space="preserve"> Om en myndighet inte ger ett svar eller inte fattar ett beslut inom fyra veckor efter inlämnandet av en begäran enligt 8</w:t>
      </w:r>
      <w:r w:rsidR="000C71DD">
        <w:t> §</w:t>
      </w:r>
      <w:r w:rsidR="0080534E">
        <w:t xml:space="preserve"> 2</w:t>
      </w:r>
      <w:r w:rsidR="000C71DD">
        <w:t> mom.</w:t>
      </w:r>
      <w:r w:rsidR="0080534E">
        <w:t xml:space="preserve"> kan det uppstå en situation där en enskild person med funktionsnedsättning inte kan ta del av information som är väsentlig för personen och som denna är berättigad att få </w:t>
      </w:r>
      <w:r w:rsidR="0080534E" w:rsidRPr="0080534E">
        <w:t xml:space="preserve">i en form som uppfyller tillgänglighetskraven eller på något </w:t>
      </w:r>
      <w:r w:rsidR="0080534E" w:rsidRPr="0080534E">
        <w:lastRenderedPageBreak/>
        <w:t>annat sätt.</w:t>
      </w:r>
      <w:r w:rsidR="0080534E">
        <w:t xml:space="preserve"> Därför ska landskapsregeringen behandla ett sådant klagomål i brådskande ordning och vid behov ålägga myndigheten enligt 11</w:t>
      </w:r>
      <w:r w:rsidR="000C71DD">
        <w:t> §</w:t>
      </w:r>
      <w:r w:rsidR="0080534E">
        <w:t xml:space="preserve"> 3</w:t>
      </w:r>
      <w:r w:rsidR="002F030A">
        <w:t> punkt</w:t>
      </w:r>
      <w:r w:rsidR="0080534E">
        <w:t xml:space="preserve">en att </w:t>
      </w:r>
      <w:r w:rsidR="0080534E" w:rsidRPr="0080534E">
        <w:t>lämna innehållet åt person</w:t>
      </w:r>
      <w:r w:rsidR="0080534E">
        <w:t>en</w:t>
      </w:r>
      <w:r w:rsidR="0080534E" w:rsidRPr="0080534E">
        <w:t xml:space="preserve"> i en form som uppfyller tillgän</w:t>
      </w:r>
      <w:r w:rsidR="0080534E" w:rsidRPr="0080534E">
        <w:t>g</w:t>
      </w:r>
      <w:r w:rsidR="0080534E" w:rsidRPr="0080534E">
        <w:t>lighetskraven eller på något annat sätt.</w:t>
      </w:r>
    </w:p>
    <w:p w14:paraId="79D13BF8" w14:textId="733AF010" w:rsidR="0061082C" w:rsidRDefault="0061082C" w:rsidP="00261555">
      <w:pPr>
        <w:pStyle w:val="ANormal"/>
      </w:pPr>
    </w:p>
    <w:p w14:paraId="5315AC82" w14:textId="488F4040" w:rsidR="00E311C2" w:rsidRDefault="00DE496C" w:rsidP="00DE496C">
      <w:pPr>
        <w:pStyle w:val="ANormal"/>
      </w:pPr>
      <w:r>
        <w:t>10</w:t>
      </w:r>
      <w:r w:rsidR="000C71DD">
        <w:t> §</w:t>
      </w:r>
      <w:r>
        <w:t xml:space="preserve"> </w:t>
      </w:r>
      <w:r w:rsidRPr="00DE496C">
        <w:rPr>
          <w:i/>
        </w:rPr>
        <w:t>Tillsynsmyndighetens uppgifter</w:t>
      </w:r>
      <w:r>
        <w:t xml:space="preserve">. </w:t>
      </w:r>
      <w:r w:rsidR="003A7538">
        <w:t>P</w:t>
      </w:r>
      <w:r>
        <w:t xml:space="preserve">aragrafen </w:t>
      </w:r>
      <w:r w:rsidR="003A7538">
        <w:t xml:space="preserve">innehåller </w:t>
      </w:r>
      <w:r>
        <w:t>för</w:t>
      </w:r>
      <w:r w:rsidR="003A7538">
        <w:t xml:space="preserve">slag till </w:t>
      </w:r>
      <w:r>
        <w:t>b</w:t>
      </w:r>
      <w:r>
        <w:t>e</w:t>
      </w:r>
      <w:r>
        <w:t xml:space="preserve">stämmelser om tillsynsmyndighetens uppgifter. Enligt </w:t>
      </w:r>
      <w:r w:rsidRPr="00DE496C">
        <w:rPr>
          <w:i/>
        </w:rPr>
        <w:t>1</w:t>
      </w:r>
      <w:r w:rsidR="002F030A">
        <w:rPr>
          <w:i/>
        </w:rPr>
        <w:t> punkt</w:t>
      </w:r>
      <w:r w:rsidRPr="00DE496C">
        <w:rPr>
          <w:i/>
        </w:rPr>
        <w:t>en</w:t>
      </w:r>
      <w:r>
        <w:t xml:space="preserve"> ska lan</w:t>
      </w:r>
      <w:r>
        <w:t>d</w:t>
      </w:r>
      <w:r>
        <w:t xml:space="preserve">skapsregeringen </w:t>
      </w:r>
      <w:r w:rsidRPr="00DE496C">
        <w:t>ge allmänna anvisningar och rådgivning om tillämpningen av denna lag</w:t>
      </w:r>
      <w:r>
        <w:t>. Detta inkluderar bl.a. anvisningar och allmän rådgivning om iakttagandet av tillgänglighetskraven i 5</w:t>
      </w:r>
      <w:r w:rsidR="000C71DD">
        <w:t> §</w:t>
      </w:r>
      <w:r>
        <w:t>, grunderna för en oproportionell börda i 6</w:t>
      </w:r>
      <w:r w:rsidR="000C71DD">
        <w:t> §</w:t>
      </w:r>
      <w:r>
        <w:t xml:space="preserve"> och utarbetandet av tillgänglighetsutlåtanden i 7</w:t>
      </w:r>
      <w:r w:rsidR="000C71DD">
        <w:t> §</w:t>
      </w:r>
      <w:r>
        <w:t>. Anvisnin</w:t>
      </w:r>
      <w:r>
        <w:t>g</w:t>
      </w:r>
      <w:r>
        <w:t>arna och rådgivningen kan rikta sig såväl till myndigheterna som till a</w:t>
      </w:r>
      <w:r>
        <w:t>n</w:t>
      </w:r>
      <w:r>
        <w:t>vändare av myndigheternas webbplatser och mobila applikationer.</w:t>
      </w:r>
    </w:p>
    <w:p w14:paraId="368F22E6" w14:textId="34EDCDB5" w:rsidR="00E311C2" w:rsidRDefault="00E311C2" w:rsidP="00DE496C">
      <w:pPr>
        <w:pStyle w:val="ANormal"/>
      </w:pPr>
      <w:r>
        <w:tab/>
      </w:r>
      <w:r w:rsidR="00DE496C">
        <w:t xml:space="preserve">Enligt </w:t>
      </w:r>
      <w:r w:rsidR="00DE496C" w:rsidRPr="00DE496C">
        <w:rPr>
          <w:i/>
        </w:rPr>
        <w:t>2</w:t>
      </w:r>
      <w:r w:rsidR="002F030A">
        <w:rPr>
          <w:i/>
        </w:rPr>
        <w:t> punkt</w:t>
      </w:r>
      <w:r w:rsidR="00DE496C" w:rsidRPr="00DE496C">
        <w:rPr>
          <w:i/>
        </w:rPr>
        <w:t>en</w:t>
      </w:r>
      <w:r w:rsidR="00DE496C">
        <w:t xml:space="preserve"> ska landskapsregeringen </w:t>
      </w:r>
      <w:r w:rsidR="00DE496C" w:rsidRPr="00DE496C">
        <w:t>övervaka och kontrollera att tillgänglighetskraven iakttas på det sätt som anges i de genomförandeakter som antagits med stöd av artikel 8.2 i tillgänglighetsdirektivet</w:t>
      </w:r>
      <w:r w:rsidR="00DE496C">
        <w:t>. Enligt art</w:t>
      </w:r>
      <w:r w:rsidR="00DE496C">
        <w:t>i</w:t>
      </w:r>
      <w:r w:rsidR="00DE496C">
        <w:t>kel 8.2 ska kommissionen</w:t>
      </w:r>
      <w:r>
        <w:t xml:space="preserve"> </w:t>
      </w:r>
      <w:r w:rsidR="00DE496C">
        <w:t>anta genomförandeakter om fastställande av en metod för övervakning av att webbplatser och</w:t>
      </w:r>
      <w:r>
        <w:t xml:space="preserve"> </w:t>
      </w:r>
      <w:r w:rsidR="00DE496C">
        <w:t>mobila</w:t>
      </w:r>
      <w:r w:rsidR="00C86BA1">
        <w:t xml:space="preserve"> a</w:t>
      </w:r>
      <w:r w:rsidR="00DE496C">
        <w:t>pplikationer öve</w:t>
      </w:r>
      <w:r w:rsidR="00DE496C">
        <w:t>r</w:t>
      </w:r>
      <w:r w:rsidR="00DE496C">
        <w:t>ensstämmer med tillgänglighetskraven i artikel 4. Denna övervakningsm</w:t>
      </w:r>
      <w:r w:rsidR="00DE496C">
        <w:t>e</w:t>
      </w:r>
      <w:r w:rsidR="00DE496C">
        <w:t>tod</w:t>
      </w:r>
      <w:r>
        <w:t xml:space="preserve"> </w:t>
      </w:r>
      <w:r w:rsidR="00DE496C">
        <w:t>ska vara klar och tydlig, överförbar, jämförbar, reproducerbar och lätt att använda.</w:t>
      </w:r>
      <w:r>
        <w:t xml:space="preserve"> </w:t>
      </w:r>
      <w:r w:rsidR="00DE496C">
        <w:t>Dessa genomförandeakter ska antas i enlighet med det grans</w:t>
      </w:r>
      <w:r w:rsidR="00DE496C">
        <w:t>k</w:t>
      </w:r>
      <w:r w:rsidR="00DE496C">
        <w:t>ningsförfarande som avses i artikel</w:t>
      </w:r>
      <w:r>
        <w:t xml:space="preserve"> </w:t>
      </w:r>
      <w:r w:rsidR="00DE496C">
        <w:t>11.3. Senast den 23 december 2018 ska kommissionen anta den första genomförandeakten.</w:t>
      </w:r>
      <w:r>
        <w:t xml:space="preserve"> </w:t>
      </w:r>
      <w:r w:rsidR="00DE496C">
        <w:t xml:space="preserve">Med stöd av </w:t>
      </w:r>
      <w:r w:rsidR="00B80716">
        <w:t>bestä</w:t>
      </w:r>
      <w:r w:rsidR="00B80716">
        <w:t>m</w:t>
      </w:r>
      <w:r w:rsidR="00B80716">
        <w:t>melsen</w:t>
      </w:r>
      <w:r w:rsidR="00DE496C">
        <w:t xml:space="preserve"> kan </w:t>
      </w:r>
      <w:r>
        <w:t xml:space="preserve">landskapsregeringen </w:t>
      </w:r>
      <w:r w:rsidR="00DE496C">
        <w:t>utföra övervakning enligt den</w:t>
      </w:r>
      <w:r>
        <w:t xml:space="preserve"> </w:t>
      </w:r>
      <w:r w:rsidR="00DE496C">
        <w:t>tidtabell som kommissionen anger samt övervakning på eget initiativ och kontroller i anslutning</w:t>
      </w:r>
      <w:r>
        <w:t xml:space="preserve"> </w:t>
      </w:r>
      <w:r w:rsidR="00DE496C">
        <w:t xml:space="preserve">till den, t.ex. </w:t>
      </w:r>
      <w:r>
        <w:t xml:space="preserve">i samband med </w:t>
      </w:r>
      <w:r w:rsidR="00DE496C">
        <w:t xml:space="preserve">behandlingen av ett </w:t>
      </w:r>
      <w:r>
        <w:t>klagomål som lämnats in till landskapsregeringen.</w:t>
      </w:r>
    </w:p>
    <w:p w14:paraId="6029DF23" w14:textId="7ABC36BB" w:rsidR="00E311C2" w:rsidRDefault="00E311C2" w:rsidP="00E311C2">
      <w:pPr>
        <w:pStyle w:val="ANormal"/>
      </w:pPr>
      <w:r>
        <w:tab/>
        <w:t xml:space="preserve">Enligt </w:t>
      </w:r>
      <w:r w:rsidRPr="00E311C2">
        <w:rPr>
          <w:i/>
        </w:rPr>
        <w:t>3</w:t>
      </w:r>
      <w:r w:rsidR="002F030A">
        <w:rPr>
          <w:i/>
        </w:rPr>
        <w:t> punkt</w:t>
      </w:r>
      <w:r w:rsidRPr="00E311C2">
        <w:rPr>
          <w:i/>
        </w:rPr>
        <w:t>en</w:t>
      </w:r>
      <w:r>
        <w:t xml:space="preserve"> ska landskapsregeringen lämna </w:t>
      </w:r>
      <w:r w:rsidR="00B80716">
        <w:t xml:space="preserve">till </w:t>
      </w:r>
      <w:r w:rsidR="00162EB0">
        <w:t>k</w:t>
      </w:r>
      <w:r>
        <w:t>ommissionen ra</w:t>
      </w:r>
      <w:r>
        <w:t>p</w:t>
      </w:r>
      <w:r>
        <w:t>porter om resultatet av övervakningen i enlighet med artikel 8.4 i tillgän</w:t>
      </w:r>
      <w:r>
        <w:t>g</w:t>
      </w:r>
      <w:r>
        <w:t>lighetsdirektivet. Enligt artikel 8.4 i tillgänglighetsdirektivet ska medlem</w:t>
      </w:r>
      <w:r>
        <w:t>s</w:t>
      </w:r>
      <w:r>
        <w:t>staterna senast den 23 december 2021, och därefter vart tredje år, öve</w:t>
      </w:r>
      <w:r>
        <w:t>r</w:t>
      </w:r>
      <w:r>
        <w:t>lämna en rapport till kommissionen om resultatet av övervakningen, inb</w:t>
      </w:r>
      <w:r>
        <w:t>e</w:t>
      </w:r>
      <w:r>
        <w:t>gripet mätdata. Rapporten ska utarbetas på grundval av de bestämmelser om rapportering som avses i artikel 8.6. Rapporten ska också omfatta up</w:t>
      </w:r>
      <w:r>
        <w:t>p</w:t>
      </w:r>
      <w:r>
        <w:t>gifter om användningen av det uppföljningsförfarande som avses i artikel 9. Enligt artikel 8.6 ska innehållet i samtliga rapporter, dock inte nödvändig</w:t>
      </w:r>
      <w:r>
        <w:t>t</w:t>
      </w:r>
      <w:r>
        <w:t>vis förteckningen över de granskade webbplatserna, mobila</w:t>
      </w:r>
      <w:r w:rsidR="00C86BA1">
        <w:t xml:space="preserve"> a</w:t>
      </w:r>
      <w:r>
        <w:t>pplikationerna eller offentliga myndigheterna, offentliggöras i ett tillgängligt format. Kommissionen ska anta genomförandeakter om fastställande av närmare bestämmelser om medlemsstaternas rapportering till kommissionen. Dessa genomförandeakter ska antas i enlighet med det granskningsförfarande som avses i artikel 11.3. Senast den 23 december 2018 ska kommissionen anta den första genomförandeakten.</w:t>
      </w:r>
    </w:p>
    <w:p w14:paraId="061EBA01" w14:textId="271AF04E" w:rsidR="00E311C2" w:rsidRDefault="00E311C2" w:rsidP="002C4109">
      <w:pPr>
        <w:pStyle w:val="ANormal"/>
      </w:pPr>
      <w:r>
        <w:tab/>
        <w:t>Landskapsregeringen ska lämna rapporterna till kommissionen med b</w:t>
      </w:r>
      <w:r>
        <w:t>e</w:t>
      </w:r>
      <w:r>
        <w:t>aktande av det som föreskrivs i 59 b</w:t>
      </w:r>
      <w:r w:rsidR="000C71DD">
        <w:t> §</w:t>
      </w:r>
      <w:r>
        <w:t xml:space="preserve"> 4</w:t>
      </w:r>
      <w:r w:rsidR="000C71DD">
        <w:t> mom.</w:t>
      </w:r>
      <w:r>
        <w:t xml:space="preserve"> i självstyrelselagen för Åland. Enligt bestämmelsen har l</w:t>
      </w:r>
      <w:r w:rsidRPr="00E311C2">
        <w:t>andskapsregeringen rätt att stå i kontakt med kommission</w:t>
      </w:r>
      <w:r>
        <w:t>en</w:t>
      </w:r>
      <w:r w:rsidRPr="00E311C2">
        <w:t xml:space="preserve"> i ärenden som hör till landskapets behörighet och som gäller verkställighet i landskapet av beslut som har fattats inom Europeiska unionen. Landskapsregeringen och statsrådet kommer närmare överens om hur statsrådet ska informeras om sådana kontakter.</w:t>
      </w:r>
      <w:r w:rsidR="00DB021C">
        <w:t xml:space="preserve"> </w:t>
      </w:r>
      <w:r w:rsidR="002C4109">
        <w:t xml:space="preserve">I </w:t>
      </w:r>
      <w:r w:rsidR="00DB021C">
        <w:t>detaljmotivering</w:t>
      </w:r>
      <w:r w:rsidR="002C4109">
        <w:t>en b</w:t>
      </w:r>
      <w:r w:rsidR="002C4109">
        <w:t>e</w:t>
      </w:r>
      <w:r w:rsidR="002C4109">
        <w:t xml:space="preserve">tonas att </w:t>
      </w:r>
      <w:r w:rsidR="00DB021C">
        <w:t xml:space="preserve">det är viktigt att riksmyndigheterna är </w:t>
      </w:r>
      <w:r w:rsidR="002C4109">
        <w:t>med</w:t>
      </w:r>
      <w:r w:rsidR="00DB021C">
        <w:t>vetna om kontakterna mellan landskapet och</w:t>
      </w:r>
      <w:r w:rsidR="002C4109">
        <w:t xml:space="preserve"> </w:t>
      </w:r>
      <w:r w:rsidR="00DB021C">
        <w:t>kommissionen</w:t>
      </w:r>
      <w:r w:rsidR="00606BA2" w:rsidRPr="00606BA2">
        <w:t xml:space="preserve"> </w:t>
      </w:r>
      <w:r w:rsidR="00606BA2">
        <w:t>(</w:t>
      </w:r>
      <w:r w:rsidR="00606BA2" w:rsidRPr="00606BA2">
        <w:t xml:space="preserve">RP 18/2002 </w:t>
      </w:r>
      <w:proofErr w:type="spellStart"/>
      <w:r w:rsidR="00606BA2" w:rsidRPr="00606BA2">
        <w:t>rd</w:t>
      </w:r>
      <w:proofErr w:type="spellEnd"/>
      <w:r w:rsidR="00606BA2" w:rsidRPr="00606BA2">
        <w:t>, s. 20</w:t>
      </w:r>
      <w:r w:rsidR="00606BA2">
        <w:t>)</w:t>
      </w:r>
      <w:r w:rsidR="00DB021C">
        <w:t>.</w:t>
      </w:r>
      <w:r w:rsidR="002C4109">
        <w:t xml:space="preserve"> Det ska också beaktas vad som föreskrivs i de </w:t>
      </w:r>
      <w:r w:rsidR="002C4109" w:rsidRPr="002C4109">
        <w:t>genomförandeakter om rapportering</w:t>
      </w:r>
      <w:r w:rsidR="002C4109">
        <w:t xml:space="preserve">en som </w:t>
      </w:r>
      <w:r w:rsidR="002C4109" w:rsidRPr="002C4109">
        <w:t>kommissionen</w:t>
      </w:r>
      <w:r w:rsidR="002C4109">
        <w:t xml:space="preserve"> ska anta.</w:t>
      </w:r>
    </w:p>
    <w:p w14:paraId="648DECEE" w14:textId="0D4D256A" w:rsidR="005375F6" w:rsidRDefault="005375F6" w:rsidP="00507678">
      <w:pPr>
        <w:pStyle w:val="ANormal"/>
      </w:pPr>
    </w:p>
    <w:p w14:paraId="0D6E950F" w14:textId="5C72EE68" w:rsidR="00646350" w:rsidRDefault="002C4109" w:rsidP="00831E03">
      <w:pPr>
        <w:pStyle w:val="ANormal"/>
      </w:pPr>
      <w:r>
        <w:t>11</w:t>
      </w:r>
      <w:r w:rsidR="000C71DD">
        <w:t> §</w:t>
      </w:r>
      <w:r>
        <w:t xml:space="preserve"> </w:t>
      </w:r>
      <w:r w:rsidRPr="002C4109">
        <w:rPr>
          <w:i/>
        </w:rPr>
        <w:t>Tillsynsmyndighetens befogenheter</w:t>
      </w:r>
      <w:r>
        <w:t xml:space="preserve">. </w:t>
      </w:r>
      <w:r w:rsidR="00646350">
        <w:t xml:space="preserve">Paragrafen innehåller förslag till </w:t>
      </w:r>
      <w:r w:rsidR="00E660E6">
        <w:t>bestämmelser om landskapsregeringens befogenheter för att se till att til</w:t>
      </w:r>
      <w:r w:rsidR="00E660E6">
        <w:t>l</w:t>
      </w:r>
      <w:r w:rsidR="00E660E6">
        <w:lastRenderedPageBreak/>
        <w:t xml:space="preserve">gänglighetskraven iakttas. </w:t>
      </w:r>
      <w:r w:rsidR="00831E03">
        <w:t xml:space="preserve">Enligt </w:t>
      </w:r>
      <w:r w:rsidR="00831E03" w:rsidRPr="00914898">
        <w:rPr>
          <w:i/>
        </w:rPr>
        <w:t>1</w:t>
      </w:r>
      <w:r w:rsidR="002F030A">
        <w:rPr>
          <w:i/>
        </w:rPr>
        <w:t> punkt</w:t>
      </w:r>
      <w:r w:rsidR="00831E03" w:rsidRPr="00914898">
        <w:rPr>
          <w:i/>
        </w:rPr>
        <w:t>en</w:t>
      </w:r>
      <w:r w:rsidR="00831E03">
        <w:t xml:space="preserve"> kan landskapsregeringen vid u</w:t>
      </w:r>
      <w:r w:rsidR="00831E03">
        <w:t>t</w:t>
      </w:r>
      <w:r w:rsidR="00831E03">
        <w:t>förandet av en i 10</w:t>
      </w:r>
      <w:r w:rsidR="000C71DD">
        <w:t> §</w:t>
      </w:r>
      <w:r w:rsidR="00831E03">
        <w:t xml:space="preserve"> 2</w:t>
      </w:r>
      <w:r w:rsidR="002F030A">
        <w:t> punkt</w:t>
      </w:r>
      <w:r w:rsidR="00831E03">
        <w:t xml:space="preserve">en avsedd övervaknings- eller kontrolluppgift ålägga myndigheten att inom skälig tid se till att en webbplats och mobil applikation uppfyller tillgänglighetskraven. Landskapsregeringen ska sträva efter att i första hand genom anvisningar och rådgivning </w:t>
      </w:r>
      <w:r w:rsidR="00914898">
        <w:t xml:space="preserve">se till att </w:t>
      </w:r>
      <w:r w:rsidR="00831E03">
        <w:t>myndi</w:t>
      </w:r>
      <w:r w:rsidR="00831E03">
        <w:t>g</w:t>
      </w:r>
      <w:r w:rsidR="00831E03">
        <w:t xml:space="preserve">heten </w:t>
      </w:r>
      <w:r w:rsidR="00914898">
        <w:t>iakttar tillgänglighetskraven. Om detta inte är möjligt kan landskap</w:t>
      </w:r>
      <w:r w:rsidR="00914898">
        <w:t>s</w:t>
      </w:r>
      <w:r w:rsidR="00914898">
        <w:t>regeringen ålägga myndigheten att till särskilt angivna delar åtgärda web</w:t>
      </w:r>
      <w:r w:rsidR="00914898">
        <w:t>b</w:t>
      </w:r>
      <w:r w:rsidR="00914898">
        <w:t>platsen eller den mobila applikationen så att tillgänglighetskraven uppfylls inom utsatt tid.</w:t>
      </w:r>
    </w:p>
    <w:p w14:paraId="443EAF1A" w14:textId="1EB6C0C7" w:rsidR="00E660E6" w:rsidRDefault="00646350" w:rsidP="00831E03">
      <w:pPr>
        <w:pStyle w:val="ANormal"/>
      </w:pPr>
      <w:r>
        <w:tab/>
        <w:t>I</w:t>
      </w:r>
      <w:r w:rsidR="00914898">
        <w:t xml:space="preserve"> </w:t>
      </w:r>
      <w:r w:rsidR="00914898" w:rsidRPr="00914898">
        <w:rPr>
          <w:i/>
        </w:rPr>
        <w:t>2</w:t>
      </w:r>
      <w:r w:rsidR="002F030A">
        <w:rPr>
          <w:i/>
        </w:rPr>
        <w:t> punkt</w:t>
      </w:r>
      <w:r w:rsidR="00914898" w:rsidRPr="00914898">
        <w:rPr>
          <w:i/>
        </w:rPr>
        <w:t>en</w:t>
      </w:r>
      <w:r w:rsidR="00914898">
        <w:t xml:space="preserve"> </w:t>
      </w:r>
      <w:r>
        <w:t xml:space="preserve">anges att </w:t>
      </w:r>
      <w:r w:rsidR="00914898">
        <w:t xml:space="preserve">landskapsregeringen också </w:t>
      </w:r>
      <w:r>
        <w:t xml:space="preserve">kan </w:t>
      </w:r>
      <w:r w:rsidR="00831E03">
        <w:t xml:space="preserve">ålägga </w:t>
      </w:r>
      <w:r w:rsidR="00914898">
        <w:t>myndighe</w:t>
      </w:r>
      <w:r w:rsidR="00914898">
        <w:t>t</w:t>
      </w:r>
      <w:r w:rsidR="00914898">
        <w:t xml:space="preserve">en </w:t>
      </w:r>
      <w:r w:rsidR="00831E03">
        <w:t xml:space="preserve">att utarbeta ett tillgänglighetsutlåtande, om </w:t>
      </w:r>
      <w:r w:rsidR="00914898">
        <w:t>detta saknas eller är bristfä</w:t>
      </w:r>
      <w:r w:rsidR="00914898">
        <w:t>l</w:t>
      </w:r>
      <w:r w:rsidR="00914898">
        <w:t xml:space="preserve">ligt. </w:t>
      </w:r>
      <w:r w:rsidR="009D3A01">
        <w:t>Enligt</w:t>
      </w:r>
      <w:r w:rsidR="00914898">
        <w:t xml:space="preserve"> </w:t>
      </w:r>
      <w:r w:rsidR="00914898" w:rsidRPr="009D3A01">
        <w:rPr>
          <w:i/>
        </w:rPr>
        <w:t>3</w:t>
      </w:r>
      <w:r w:rsidR="002F030A">
        <w:rPr>
          <w:i/>
        </w:rPr>
        <w:t> punkt</w:t>
      </w:r>
      <w:r w:rsidR="00914898" w:rsidRPr="009D3A01">
        <w:rPr>
          <w:i/>
        </w:rPr>
        <w:t xml:space="preserve">en </w:t>
      </w:r>
      <w:r w:rsidR="009D3A01">
        <w:t xml:space="preserve">kan landskapsregeringen </w:t>
      </w:r>
      <w:r w:rsidR="009D3A01" w:rsidRPr="009D3A01">
        <w:t xml:space="preserve">ålägga myndigheten att lämna innehåll i en form som uppfyller tillgänglighetskraven eller på något annat sätt åt en person som är berättigad till detta enligt </w:t>
      </w:r>
      <w:r w:rsidR="009D3A01">
        <w:t>8</w:t>
      </w:r>
      <w:r w:rsidR="000C71DD">
        <w:t> §</w:t>
      </w:r>
      <w:r w:rsidR="009D3A01" w:rsidRPr="009D3A01">
        <w:t>.</w:t>
      </w:r>
      <w:r w:rsidR="009D3A01">
        <w:t xml:space="preserve"> Detta hänvisar till de personer med funktionsnedsättning som inte kan ta del av informa</w:t>
      </w:r>
      <w:r w:rsidR="009D3A01">
        <w:t>t</w:t>
      </w:r>
      <w:r w:rsidR="009D3A01">
        <w:t>ion på webbplats</w:t>
      </w:r>
      <w:r w:rsidR="00F504DF">
        <w:t>en</w:t>
      </w:r>
      <w:r w:rsidR="009D3A01">
        <w:t xml:space="preserve"> eller i anslutning till</w:t>
      </w:r>
      <w:r w:rsidR="00F504DF">
        <w:t xml:space="preserve"> den</w:t>
      </w:r>
      <w:r w:rsidR="009D3A01">
        <w:t xml:space="preserve"> mobil</w:t>
      </w:r>
      <w:r w:rsidR="00F504DF">
        <w:t>a</w:t>
      </w:r>
      <w:r w:rsidR="009D3A01">
        <w:t xml:space="preserve"> applikation</w:t>
      </w:r>
      <w:r w:rsidR="00F504DF">
        <w:t>en</w:t>
      </w:r>
      <w:r w:rsidR="009D3A01">
        <w:t>, men som är berättigade enligt 8</w:t>
      </w:r>
      <w:r w:rsidR="000C71DD">
        <w:t> §</w:t>
      </w:r>
      <w:r w:rsidR="009D3A01">
        <w:t xml:space="preserve"> att få informationen i en form som uppfyller tillgänglighetskraven eller på något annat sätt. </w:t>
      </w:r>
      <w:r w:rsidR="00831E03">
        <w:t>I sådana</w:t>
      </w:r>
      <w:r w:rsidR="009D3A01">
        <w:t xml:space="preserve"> </w:t>
      </w:r>
      <w:r w:rsidR="00831E03">
        <w:t xml:space="preserve">fall kan </w:t>
      </w:r>
      <w:r w:rsidR="009D3A01">
        <w:t>landskap</w:t>
      </w:r>
      <w:r w:rsidR="009D3A01">
        <w:t>s</w:t>
      </w:r>
      <w:r w:rsidR="009D3A01">
        <w:t xml:space="preserve">regeringen </w:t>
      </w:r>
      <w:r w:rsidR="00831E03">
        <w:t xml:space="preserve">meddela ett åläggande endast om det är uppenbart att </w:t>
      </w:r>
      <w:r w:rsidR="009D3A01">
        <w:t xml:space="preserve">personen är berättigad till informationen på detta sätt och myndigheten inte kommer att </w:t>
      </w:r>
      <w:r w:rsidR="00831E03">
        <w:t>lämna informationen i tillgänglig</w:t>
      </w:r>
      <w:r w:rsidR="009D3A01">
        <w:t xml:space="preserve"> </w:t>
      </w:r>
      <w:r w:rsidR="00831E03">
        <w:t xml:space="preserve">form eller annars på ett för </w:t>
      </w:r>
      <w:r w:rsidR="009D3A01">
        <w:t xml:space="preserve">personen </w:t>
      </w:r>
      <w:r w:rsidR="00831E03">
        <w:t>tillgängligt sätt.</w:t>
      </w:r>
    </w:p>
    <w:p w14:paraId="574579B2" w14:textId="4581647C" w:rsidR="00175B74" w:rsidRDefault="00175B74" w:rsidP="00507678">
      <w:pPr>
        <w:pStyle w:val="ANormal"/>
      </w:pPr>
    </w:p>
    <w:p w14:paraId="6DD577B7" w14:textId="0F579A20" w:rsidR="006508B8" w:rsidRDefault="006508B8" w:rsidP="006508B8">
      <w:pPr>
        <w:pStyle w:val="ANormal"/>
      </w:pPr>
      <w:r>
        <w:t>12</w:t>
      </w:r>
      <w:r w:rsidR="000C71DD">
        <w:t> §</w:t>
      </w:r>
      <w:r>
        <w:t xml:space="preserve"> </w:t>
      </w:r>
      <w:r w:rsidRPr="006508B8">
        <w:rPr>
          <w:i/>
        </w:rPr>
        <w:t>Vite</w:t>
      </w:r>
      <w:r>
        <w:t>. Enligt artikel 9 i tillgänglighetsdirektivet ska medlemsstaterna säkerställa att det finns ett tillfredsställande och effektivt uppföljningsförf</w:t>
      </w:r>
      <w:r>
        <w:t>a</w:t>
      </w:r>
      <w:r>
        <w:t xml:space="preserve">rande för att säkerställa </w:t>
      </w:r>
      <w:proofErr w:type="gramStart"/>
      <w:r>
        <w:t>efterlevnaden</w:t>
      </w:r>
      <w:proofErr w:type="gramEnd"/>
      <w:r>
        <w:t xml:space="preserve"> av direktivet i förhållande till kraven i artiklarna 4, 5 och 7.1. För att landskapsregeringen ska kunna garanteras en effektiv verksamhet </w:t>
      </w:r>
      <w:r w:rsidR="009B25AC">
        <w:t xml:space="preserve">ska </w:t>
      </w:r>
      <w:r>
        <w:t>landskapsregeringen kunna förena ett åläggande enligt 11</w:t>
      </w:r>
      <w:r w:rsidR="000C71DD">
        <w:t> §</w:t>
      </w:r>
      <w:r>
        <w:t xml:space="preserve"> med vite.</w:t>
      </w:r>
      <w:r w:rsidRPr="006508B8">
        <w:t xml:space="preserve"> Närmare bestämmelser om vite finns i landskapslagen (2008:10) om tillämpning i landskapet Åland av viteslagen.</w:t>
      </w:r>
    </w:p>
    <w:p w14:paraId="2C957B48" w14:textId="1B93F067" w:rsidR="006508B8" w:rsidRDefault="006508B8" w:rsidP="00507678">
      <w:pPr>
        <w:pStyle w:val="ANormal"/>
      </w:pPr>
    </w:p>
    <w:p w14:paraId="66213C26" w14:textId="6E85CD61" w:rsidR="006A20AB" w:rsidRDefault="004671B8" w:rsidP="0031024A">
      <w:pPr>
        <w:pStyle w:val="ANormal"/>
      </w:pPr>
      <w:r>
        <w:t>13</w:t>
      </w:r>
      <w:r w:rsidR="000C71DD">
        <w:t> §</w:t>
      </w:r>
      <w:r>
        <w:t xml:space="preserve"> </w:t>
      </w:r>
      <w:r w:rsidRPr="004671B8">
        <w:rPr>
          <w:i/>
        </w:rPr>
        <w:t>Ändringssökande</w:t>
      </w:r>
      <w:r>
        <w:t xml:space="preserve">. </w:t>
      </w:r>
      <w:r w:rsidR="009B25AC">
        <w:t>P</w:t>
      </w:r>
      <w:r w:rsidR="004F6734">
        <w:t>aragraf</w:t>
      </w:r>
      <w:r w:rsidR="009B25AC">
        <w:t>en</w:t>
      </w:r>
      <w:r w:rsidR="004F6734">
        <w:t xml:space="preserve"> </w:t>
      </w:r>
      <w:r w:rsidR="00E14E6A">
        <w:t>innehåller förslag till</w:t>
      </w:r>
      <w:r w:rsidR="004F6734">
        <w:t xml:space="preserve"> bestämmelse om sökande av ändring genom besvär. </w:t>
      </w:r>
      <w:r w:rsidR="006A20AB">
        <w:t>Enligt förslaget kan i</w:t>
      </w:r>
      <w:r w:rsidR="006A20AB" w:rsidRPr="006A20AB">
        <w:t xml:space="preserve"> beslut</w:t>
      </w:r>
      <w:r w:rsidR="00673868">
        <w:t>,</w:t>
      </w:r>
      <w:r w:rsidR="006A20AB" w:rsidRPr="006A20AB">
        <w:t xml:space="preserve"> som har fattats med stöd av denna lag</w:t>
      </w:r>
      <w:r w:rsidR="00673868">
        <w:t>,</w:t>
      </w:r>
      <w:r w:rsidR="006A20AB" w:rsidRPr="006A20AB">
        <w:t xml:space="preserve"> ändring sökas genom besvär i enlighet med bestämmelserna i 25</w:t>
      </w:r>
      <w:r w:rsidR="000C71DD">
        <w:t> §</w:t>
      </w:r>
      <w:r w:rsidR="006A20AB" w:rsidRPr="006A20AB">
        <w:t xml:space="preserve"> i självstyrelselagen för Åland, om inte rätten till b</w:t>
      </w:r>
      <w:r w:rsidR="006A20AB" w:rsidRPr="006A20AB">
        <w:t>e</w:t>
      </w:r>
      <w:r w:rsidR="006A20AB" w:rsidRPr="006A20AB">
        <w:t>svär är begränsad enligt lag.</w:t>
      </w:r>
      <w:r w:rsidR="006A20AB">
        <w:t xml:space="preserve"> Bestämmelsen är av informativ karaktär. </w:t>
      </w:r>
      <w:r w:rsidR="00532988">
        <w:t>Fö</w:t>
      </w:r>
      <w:r w:rsidR="00532988">
        <w:t>r</w:t>
      </w:r>
      <w:r w:rsidR="00532988">
        <w:t>valtningsrättsskipningen utgör rikets lagstiftningsbehörighet enligt 27</w:t>
      </w:r>
      <w:r w:rsidR="000C71DD">
        <w:t> §</w:t>
      </w:r>
      <w:r w:rsidR="00532988">
        <w:t xml:space="preserve"> 23</w:t>
      </w:r>
      <w:r w:rsidR="002F030A">
        <w:t> punkt</w:t>
      </w:r>
      <w:r w:rsidR="00532988">
        <w:t>en i självstyrelselagen, dock med beaktande av det som föreskrivs i självstyrelselagens 25 och 26</w:t>
      </w:r>
      <w:r w:rsidR="000C71DD">
        <w:t> </w:t>
      </w:r>
      <w:proofErr w:type="gramStart"/>
      <w:r w:rsidR="000C71DD">
        <w:t>§</w:t>
      </w:r>
      <w:r w:rsidR="00532988">
        <w:t>§</w:t>
      </w:r>
      <w:proofErr w:type="gramEnd"/>
      <w:r w:rsidR="00532988">
        <w:t xml:space="preserve">. </w:t>
      </w:r>
      <w:r w:rsidR="0031024A">
        <w:t>I 25</w:t>
      </w:r>
      <w:r w:rsidR="000C71DD">
        <w:t> §</w:t>
      </w:r>
      <w:r w:rsidR="0031024A">
        <w:t xml:space="preserve"> i självstyrelselagen föreskrivs om besvärsinstans då besvär anförs över beslut som fattas av myndigheterna inom landskaps- och kommunalförvaltningen. </w:t>
      </w:r>
      <w:r w:rsidR="000445A2" w:rsidRPr="000445A2">
        <w:t>Självstyrelselagens 25</w:t>
      </w:r>
      <w:r w:rsidR="000C71DD">
        <w:t> §</w:t>
      </w:r>
      <w:r w:rsidR="000445A2" w:rsidRPr="000445A2">
        <w:t xml:space="preserve"> u</w:t>
      </w:r>
      <w:r w:rsidR="000445A2" w:rsidRPr="000445A2">
        <w:t>t</w:t>
      </w:r>
      <w:r w:rsidR="000445A2" w:rsidRPr="000445A2">
        <w:t>går från att Ålands förvaltningsdomstol är besvärsinstans då besvär anförs över beslut som har fattats av myndigheter under landskapsregeringen och kommunala myndigheter. Besvär över lagligheten av landskapsregeringens beslut anförs hos högsta förvaltningsdomstolen.</w:t>
      </w:r>
    </w:p>
    <w:p w14:paraId="6FD8737A" w14:textId="7957322A" w:rsidR="00D235B0" w:rsidRDefault="000445A2" w:rsidP="00D235B0">
      <w:pPr>
        <w:pStyle w:val="ANormal"/>
      </w:pPr>
      <w:r>
        <w:tab/>
        <w:t xml:space="preserve">I den föreslagna bestämmelsen hänvisas till eventuella begränsningar i lag av </w:t>
      </w:r>
      <w:r w:rsidRPr="000445A2">
        <w:t>rätten till besvär</w:t>
      </w:r>
      <w:r>
        <w:t xml:space="preserve">. </w:t>
      </w:r>
      <w:r w:rsidR="00D235B0">
        <w:t>Besvärsrätten har sin grund i 21</w:t>
      </w:r>
      <w:r w:rsidR="000C71DD">
        <w:t> §</w:t>
      </w:r>
      <w:r w:rsidR="00D235B0">
        <w:t xml:space="preserve"> 1</w:t>
      </w:r>
      <w:r w:rsidR="000C71DD">
        <w:t> mom.</w:t>
      </w:r>
      <w:r w:rsidR="00D235B0">
        <w:t xml:space="preserve"> i grun</w:t>
      </w:r>
      <w:r w:rsidR="00D235B0">
        <w:t>d</w:t>
      </w:r>
      <w:r w:rsidR="00D235B0">
        <w:t>lagen som föreskriver att var och en har rätt att på behörigt sätt och utan ogrundat dröjsmål få sin sak behandlad av en domstol eller någon annan myndighet som är behörig enligt lag samt att få ett beslut som gäller hans eller hennes rättigheter och skyldigheter behandlat vid domstol eller något annat oavhängigt rättskipningsorgan. Grundlagen utgår från att lagstif</w:t>
      </w:r>
      <w:r w:rsidR="00D235B0">
        <w:t>t</w:t>
      </w:r>
      <w:r w:rsidR="00D235B0">
        <w:t>ningen innefattar ett tillräckligt exakt kriterium för att det uppkommer en relation mellan den enskilde och det allmänna som kan betraktas som en rättighet. Även bestämmelserna om villkoren för rättigheter eller förmåner som i högre grad är beroende av prövning och alltså inte omfattas av så ka</w:t>
      </w:r>
      <w:r w:rsidR="00D235B0">
        <w:t>l</w:t>
      </w:r>
      <w:r w:rsidR="00D235B0">
        <w:t xml:space="preserve">lad subjektiv rätt kan utgöra ett tillräckligt exakt underlag för att det ska </w:t>
      </w:r>
      <w:r w:rsidR="00D235B0">
        <w:lastRenderedPageBreak/>
        <w:t>uppstå ett förhållande mellan individen och det allmänna som kan betraktas som en rättighet i den mening som 21</w:t>
      </w:r>
      <w:r w:rsidR="000C71DD">
        <w:t> §</w:t>
      </w:r>
      <w:r w:rsidR="00D235B0">
        <w:t xml:space="preserve"> 1</w:t>
      </w:r>
      <w:r w:rsidR="000C71DD">
        <w:t> mom.</w:t>
      </w:r>
      <w:r w:rsidR="00D235B0">
        <w:t xml:space="preserve"> i grundlagen avser (</w:t>
      </w:r>
      <w:proofErr w:type="spellStart"/>
      <w:r w:rsidR="00D235B0">
        <w:t>GrUU</w:t>
      </w:r>
      <w:proofErr w:type="spellEnd"/>
      <w:r w:rsidR="00D235B0">
        <w:t xml:space="preserve"> 51/2010 </w:t>
      </w:r>
      <w:proofErr w:type="spellStart"/>
      <w:r w:rsidR="00D235B0">
        <w:t>rd</w:t>
      </w:r>
      <w:proofErr w:type="spellEnd"/>
      <w:r w:rsidR="00D235B0">
        <w:t xml:space="preserve">, s. 2, </w:t>
      </w:r>
      <w:proofErr w:type="spellStart"/>
      <w:r w:rsidR="00D235B0">
        <w:t>GrUU</w:t>
      </w:r>
      <w:proofErr w:type="spellEnd"/>
      <w:r w:rsidR="00D235B0">
        <w:t xml:space="preserve"> 42/2010 </w:t>
      </w:r>
      <w:proofErr w:type="spellStart"/>
      <w:r w:rsidR="00D235B0">
        <w:t>rd</w:t>
      </w:r>
      <w:proofErr w:type="spellEnd"/>
      <w:r w:rsidR="00D235B0">
        <w:t xml:space="preserve">, s. 4/I, </w:t>
      </w:r>
      <w:proofErr w:type="spellStart"/>
      <w:r w:rsidR="00D235B0">
        <w:t>GrUU</w:t>
      </w:r>
      <w:proofErr w:type="spellEnd"/>
      <w:r w:rsidR="00D235B0">
        <w:t xml:space="preserve"> 16/2000 </w:t>
      </w:r>
      <w:proofErr w:type="spellStart"/>
      <w:r w:rsidR="00D235B0">
        <w:t>rd</w:t>
      </w:r>
      <w:proofErr w:type="spellEnd"/>
      <w:r w:rsidR="00D235B0">
        <w:t xml:space="preserve">, s. 4/II, </w:t>
      </w:r>
      <w:proofErr w:type="spellStart"/>
      <w:r w:rsidR="00D235B0">
        <w:t>GrUU</w:t>
      </w:r>
      <w:proofErr w:type="spellEnd"/>
      <w:r w:rsidR="00D235B0">
        <w:t xml:space="preserve"> 12/1997 </w:t>
      </w:r>
      <w:proofErr w:type="spellStart"/>
      <w:r w:rsidR="00D235B0">
        <w:t>rd</w:t>
      </w:r>
      <w:proofErr w:type="spellEnd"/>
      <w:r w:rsidR="00D235B0">
        <w:t>, s. 1/II).</w:t>
      </w:r>
    </w:p>
    <w:p w14:paraId="72A0FB09" w14:textId="125DCADE" w:rsidR="000445A2" w:rsidRDefault="00D235B0" w:rsidP="0031024A">
      <w:pPr>
        <w:pStyle w:val="ANormal"/>
      </w:pPr>
      <w:r>
        <w:tab/>
        <w:t>F</w:t>
      </w:r>
      <w:r w:rsidR="00532988">
        <w:t xml:space="preserve">örvaltningsprocesslagen </w:t>
      </w:r>
      <w:r w:rsidR="00532988" w:rsidRPr="00532988">
        <w:t>(FFS 586/1996)</w:t>
      </w:r>
      <w:r w:rsidR="00532988">
        <w:t xml:space="preserve"> </w:t>
      </w:r>
      <w:r>
        <w:t>innehåller närmare bestä</w:t>
      </w:r>
      <w:r>
        <w:t>m</w:t>
      </w:r>
      <w:r>
        <w:t xml:space="preserve">melser </w:t>
      </w:r>
      <w:r w:rsidR="00532988">
        <w:t xml:space="preserve">om </w:t>
      </w:r>
      <w:r w:rsidR="00532988" w:rsidRPr="00532988">
        <w:t>rättskipning</w:t>
      </w:r>
      <w:r w:rsidR="00532988">
        <w:t>en</w:t>
      </w:r>
      <w:r w:rsidR="00532988" w:rsidRPr="00532988">
        <w:t xml:space="preserve"> i allmänna förvaltningsdomstolar.</w:t>
      </w:r>
      <w:r w:rsidR="000445A2">
        <w:rPr>
          <w:rStyle w:val="Fotnotsreferens"/>
        </w:rPr>
        <w:footnoteReference w:id="30"/>
      </w:r>
      <w:r w:rsidR="00532988">
        <w:t xml:space="preserve"> </w:t>
      </w:r>
      <w:r w:rsidR="000445A2">
        <w:t>I förval</w:t>
      </w:r>
      <w:r w:rsidR="000445A2">
        <w:t>t</w:t>
      </w:r>
      <w:r w:rsidR="000445A2">
        <w:t xml:space="preserve">ningsprocesslagen föreskrivs om vilka slags beslut av myndigheterna som kan vara föremål för beslut. </w:t>
      </w:r>
      <w:r w:rsidR="00532988">
        <w:t>Enligt 5</w:t>
      </w:r>
      <w:r w:rsidR="000C71DD">
        <w:t> §</w:t>
      </w:r>
      <w:r w:rsidR="00532988">
        <w:t xml:space="preserve"> </w:t>
      </w:r>
      <w:r w:rsidR="000445A2">
        <w:t xml:space="preserve">i förvaltningsprocesslagen </w:t>
      </w:r>
      <w:r w:rsidR="00532988">
        <w:t>avses med ett beslut över vilket besvär kan anföras en åtgärd varigenom ett ärende har avgjorts eller lämnats utan prövning. Besvär kan inte anföras över en order som har utfärdats internt inom förvaltningen och som gäller utförande av ett uppdrag eller vidtagande av någon annan åtgärd. I 6</w:t>
      </w:r>
      <w:r w:rsidR="000C71DD">
        <w:t> §</w:t>
      </w:r>
      <w:r w:rsidR="00532988">
        <w:t xml:space="preserve"> för</w:t>
      </w:r>
      <w:r w:rsidR="00532988">
        <w:t>e</w:t>
      </w:r>
      <w:r w:rsidR="00532988">
        <w:t>skrivs att besvär kan anföras över ett beslut av den som beslutet avser eller vars rätt, skyldighet eller fördel direkt påverkas av beslutet. En myndighet har därtill besvärsrätt på grundval av stadgande i lag eller om besvärsrätten är nödvändig för det allmänna intresse som myndigheten ska bevaka.</w:t>
      </w:r>
    </w:p>
    <w:p w14:paraId="7E9AABD4" w14:textId="2653D273" w:rsidR="005B3892" w:rsidRDefault="000445A2" w:rsidP="00233A86">
      <w:pPr>
        <w:pStyle w:val="ANormal"/>
      </w:pPr>
      <w:r>
        <w:tab/>
        <w:t xml:space="preserve">Åtminstone </w:t>
      </w:r>
      <w:r w:rsidR="00B237DB">
        <w:t xml:space="preserve">över </w:t>
      </w:r>
      <w:r>
        <w:t xml:space="preserve">de beslut som myndigheterna fattar enligt </w:t>
      </w:r>
      <w:r w:rsidRPr="000445A2">
        <w:t>den för</w:t>
      </w:r>
      <w:r w:rsidRPr="000445A2">
        <w:t>e</w:t>
      </w:r>
      <w:r w:rsidRPr="000445A2">
        <w:t>slagna lagens 8</w:t>
      </w:r>
      <w:r w:rsidR="000C71DD">
        <w:t> §</w:t>
      </w:r>
      <w:r w:rsidRPr="000445A2">
        <w:t xml:space="preserve"> 2</w:t>
      </w:r>
      <w:r w:rsidR="000C71DD">
        <w:t> mom.</w:t>
      </w:r>
      <w:r w:rsidRPr="000445A2">
        <w:t xml:space="preserve"> </w:t>
      </w:r>
      <w:r w:rsidR="00B237DB">
        <w:t xml:space="preserve">kan </w:t>
      </w:r>
      <w:r w:rsidRPr="000445A2">
        <w:t xml:space="preserve">anföras </w:t>
      </w:r>
      <w:r w:rsidR="00B237DB">
        <w:t xml:space="preserve">besvär </w:t>
      </w:r>
      <w:r w:rsidRPr="000445A2">
        <w:t>i enlighet med 25</w:t>
      </w:r>
      <w:r w:rsidR="000C71DD">
        <w:t> §</w:t>
      </w:r>
      <w:r w:rsidRPr="000445A2">
        <w:t xml:space="preserve"> i självst</w:t>
      </w:r>
      <w:r w:rsidRPr="000445A2">
        <w:t>y</w:t>
      </w:r>
      <w:r w:rsidRPr="000445A2">
        <w:t>relselagen.</w:t>
      </w:r>
      <w:r w:rsidR="005B3892">
        <w:t xml:space="preserve"> </w:t>
      </w:r>
      <w:r w:rsidR="0031024A">
        <w:t xml:space="preserve">Om myndigheten inte lämnar </w:t>
      </w:r>
      <w:r w:rsidR="0031024A" w:rsidRPr="0031024A">
        <w:t>innehåll i en tillgänglig form</w:t>
      </w:r>
      <w:r w:rsidR="0031024A">
        <w:t xml:space="preserve"> p</w:t>
      </w:r>
      <w:r w:rsidR="0031024A">
        <w:t>å</w:t>
      </w:r>
      <w:r w:rsidR="0031024A">
        <w:t xml:space="preserve">verkar detta direkt </w:t>
      </w:r>
      <w:r w:rsidR="0031024A" w:rsidRPr="0031024A">
        <w:t>den som beslutet avser</w:t>
      </w:r>
      <w:r w:rsidR="0031024A">
        <w:t>. Besvär över beslutet kan då a</w:t>
      </w:r>
      <w:r w:rsidR="0031024A">
        <w:t>n</w:t>
      </w:r>
      <w:r w:rsidR="0031024A">
        <w:t xml:space="preserve">föras hos behörig förvaltningsdomstol. </w:t>
      </w:r>
      <w:r w:rsidR="00B237DB">
        <w:t>Enligt förslag till 9</w:t>
      </w:r>
      <w:r w:rsidR="000C71DD">
        <w:t> §</w:t>
      </w:r>
      <w:r w:rsidR="00B237DB">
        <w:t xml:space="preserve"> 1</w:t>
      </w:r>
      <w:r w:rsidR="000C71DD">
        <w:t> mom.</w:t>
      </w:r>
      <w:r w:rsidR="00B237DB">
        <w:t xml:space="preserve"> kan v</w:t>
      </w:r>
      <w:r w:rsidR="00B237DB" w:rsidRPr="00B237DB">
        <w:t>ar och en anföra klagomål hos landskapsregeringen om att en myndighets webbplats eller mobila applikation inte uppfyller kraven i denna lag.</w:t>
      </w:r>
      <w:r w:rsidR="00B237DB">
        <w:t xml:space="preserve"> Dessa klagomål har många likheter </w:t>
      </w:r>
      <w:r w:rsidR="00B237DB" w:rsidRPr="00B237DB">
        <w:t>med det som benämns förvaltningsklagan i rikslagstiftningen</w:t>
      </w:r>
      <w:r w:rsidR="00B237DB">
        <w:t xml:space="preserve"> och 8a</w:t>
      </w:r>
      <w:r w:rsidR="000C71DD">
        <w:t> kap.</w:t>
      </w:r>
      <w:r w:rsidR="00B237DB">
        <w:t xml:space="preserve"> i rikets förvaltningslag. I ett ärende som gä</w:t>
      </w:r>
      <w:r w:rsidR="00B237DB">
        <w:t>l</w:t>
      </w:r>
      <w:r w:rsidR="00B237DB">
        <w:t xml:space="preserve">ler förvaltningsklagan är det </w:t>
      </w:r>
      <w:r w:rsidR="00416A14">
        <w:t xml:space="preserve">vanligen </w:t>
      </w:r>
      <w:r w:rsidR="00B237DB">
        <w:t>inte möjligt att besluta om någons rätt, fördel eller skyldighet.</w:t>
      </w:r>
      <w:r w:rsidR="00B237DB" w:rsidRPr="00B237DB">
        <w:t xml:space="preserve"> </w:t>
      </w:r>
      <w:r w:rsidR="00B237DB">
        <w:t>Inom rättspraxis har det traditionellt ansetts att ett avgörande som gäller klagan inte får överklagas genom besvär</w:t>
      </w:r>
      <w:r w:rsidR="000A4E52">
        <w:t xml:space="preserve"> (</w:t>
      </w:r>
      <w:r w:rsidR="000A4E52" w:rsidRPr="000A4E52">
        <w:t xml:space="preserve">RP 50/2013 </w:t>
      </w:r>
      <w:proofErr w:type="spellStart"/>
      <w:r w:rsidR="000A4E52" w:rsidRPr="000A4E52">
        <w:t>rd</w:t>
      </w:r>
      <w:proofErr w:type="spellEnd"/>
      <w:r w:rsidR="000A4E52" w:rsidRPr="000A4E52">
        <w:t>, s. 29</w:t>
      </w:r>
      <w:r w:rsidR="000A4E52">
        <w:t>)</w:t>
      </w:r>
      <w:r w:rsidR="00B237DB">
        <w:t>. Däremot torde e</w:t>
      </w:r>
      <w:r w:rsidR="005B3892">
        <w:t>n myndighet som är föremål för ålä</w:t>
      </w:r>
      <w:r w:rsidR="005B3892">
        <w:t>g</w:t>
      </w:r>
      <w:r w:rsidR="005B3892">
        <w:t xml:space="preserve">gande och vite som landskapsregeringen fattar beslut om enligt </w:t>
      </w:r>
      <w:r w:rsidR="008C24FA">
        <w:t>11 och 12</w:t>
      </w:r>
      <w:r w:rsidR="000C71DD">
        <w:t> </w:t>
      </w:r>
      <w:proofErr w:type="gramStart"/>
      <w:r w:rsidR="000C71DD">
        <w:t>§</w:t>
      </w:r>
      <w:r w:rsidR="008C24FA">
        <w:t>§</w:t>
      </w:r>
      <w:proofErr w:type="gramEnd"/>
      <w:r w:rsidR="008C24FA">
        <w:t xml:space="preserve"> </w:t>
      </w:r>
      <w:r w:rsidR="00B237DB">
        <w:t xml:space="preserve">ha rätt att besvära sig över beslutet </w:t>
      </w:r>
      <w:r w:rsidR="005B3892">
        <w:t>e</w:t>
      </w:r>
      <w:r w:rsidR="008C24FA">
        <w:t>ftersom åläggande</w:t>
      </w:r>
      <w:r w:rsidR="007213E2">
        <w:t>t</w:t>
      </w:r>
      <w:r w:rsidR="005B3892">
        <w:t xml:space="preserve"> och vitet</w:t>
      </w:r>
      <w:r w:rsidR="008C24FA">
        <w:t xml:space="preserve"> d</w:t>
      </w:r>
      <w:r w:rsidR="008C24FA">
        <w:t>i</w:t>
      </w:r>
      <w:r w:rsidR="008C24FA">
        <w:t>rekt avser myndighet</w:t>
      </w:r>
      <w:r w:rsidR="005B3892">
        <w:t>en.</w:t>
      </w:r>
    </w:p>
    <w:p w14:paraId="22DD24C1" w14:textId="77777777" w:rsidR="00233A86" w:rsidRDefault="00233A86" w:rsidP="00233A86">
      <w:pPr>
        <w:pStyle w:val="ANormal"/>
      </w:pPr>
    </w:p>
    <w:p w14:paraId="41E17806" w14:textId="08C0DA08" w:rsidR="00233A86" w:rsidRDefault="00233A86" w:rsidP="00233A86">
      <w:pPr>
        <w:pStyle w:val="ANormal"/>
      </w:pPr>
      <w:r>
        <w:t>14</w:t>
      </w:r>
      <w:r w:rsidR="000C71DD">
        <w:t> §</w:t>
      </w:r>
      <w:r>
        <w:t xml:space="preserve"> </w:t>
      </w:r>
      <w:r w:rsidRPr="00233A86">
        <w:rPr>
          <w:i/>
        </w:rPr>
        <w:t>Ikraftträdande</w:t>
      </w:r>
      <w:r>
        <w:t xml:space="preserve">. </w:t>
      </w:r>
      <w:bookmarkStart w:id="33" w:name="_Hlk513805769"/>
      <w:r w:rsidRPr="00233A86">
        <w:t xml:space="preserve">Enligt </w:t>
      </w:r>
      <w:r>
        <w:t>paragrafen l</w:t>
      </w:r>
      <w:r w:rsidRPr="00233A86">
        <w:t>ämnas datum för ikraftträdande dä</w:t>
      </w:r>
      <w:r w:rsidRPr="00233A86">
        <w:t>r</w:t>
      </w:r>
      <w:r w:rsidRPr="00233A86">
        <w:t>för öppet för landskapsregeringen att fatta beslut om i enlighet med 20</w:t>
      </w:r>
      <w:r w:rsidR="000C71DD">
        <w:t> §</w:t>
      </w:r>
      <w:r w:rsidRPr="00233A86">
        <w:t xml:space="preserve"> 2</w:t>
      </w:r>
      <w:r w:rsidR="000C71DD">
        <w:t> mom.</w:t>
      </w:r>
      <w:r w:rsidRPr="00233A86">
        <w:t xml:space="preserve"> i självstyrelselagen. Avsikten är att</w:t>
      </w:r>
      <w:r>
        <w:t xml:space="preserve"> </w:t>
      </w:r>
      <w:r w:rsidRPr="00233A86">
        <w:t>lagen ska träda i kraft så snart som möjligt</w:t>
      </w:r>
      <w:r w:rsidR="000A4E52">
        <w:t xml:space="preserve"> med tanke på att det i tillgänglighetsdirektivets föreskrivs att det ska vara genomfört i medlemsstaterna </w:t>
      </w:r>
      <w:r>
        <w:t xml:space="preserve">före </w:t>
      </w:r>
      <w:r w:rsidRPr="00233A86">
        <w:t>den 23 september 2018</w:t>
      </w:r>
      <w:r w:rsidR="000A4E52">
        <w:t>.</w:t>
      </w:r>
    </w:p>
    <w:bookmarkEnd w:id="33"/>
    <w:p w14:paraId="332B3278" w14:textId="7AD2314D" w:rsidR="00233A86" w:rsidRDefault="00233A86" w:rsidP="00233A86">
      <w:pPr>
        <w:pStyle w:val="ANormal"/>
      </w:pPr>
    </w:p>
    <w:p w14:paraId="1542B426" w14:textId="11AAE487" w:rsidR="00C174BC" w:rsidRDefault="00233A86" w:rsidP="00C174BC">
      <w:pPr>
        <w:pStyle w:val="ANormal"/>
      </w:pPr>
      <w:r>
        <w:t>15</w:t>
      </w:r>
      <w:r w:rsidR="000C71DD">
        <w:t> §</w:t>
      </w:r>
      <w:r>
        <w:t xml:space="preserve"> </w:t>
      </w:r>
      <w:r w:rsidRPr="00233A86">
        <w:rPr>
          <w:i/>
        </w:rPr>
        <w:t>Övergångsbestämmelser</w:t>
      </w:r>
      <w:r>
        <w:t xml:space="preserve">. </w:t>
      </w:r>
      <w:r w:rsidR="00C174BC">
        <w:t>Paragrafen</w:t>
      </w:r>
      <w:r w:rsidR="0054549C">
        <w:t>s</w:t>
      </w:r>
      <w:r w:rsidR="00C174BC">
        <w:t xml:space="preserve"> tre första moment </w:t>
      </w:r>
      <w:r w:rsidR="00C174BC" w:rsidRPr="00C174BC">
        <w:t xml:space="preserve">stöder sig på och implementerar artikel 12.3 i tillgänglighetsdirektivet. </w:t>
      </w:r>
      <w:r w:rsidR="00C174BC">
        <w:t>Enligt artikel 12.3 i tillgänglighetsdirektivet ska medlemsstaterna tillämpa direktivets b</w:t>
      </w:r>
      <w:r w:rsidR="00C174BC">
        <w:t>e</w:t>
      </w:r>
      <w:r w:rsidR="00C174BC">
        <w:t>stämmelser enligt följande:</w:t>
      </w:r>
    </w:p>
    <w:p w14:paraId="6738AA23" w14:textId="1ED20177" w:rsidR="00C174BC" w:rsidRDefault="00C174BC" w:rsidP="00C174BC">
      <w:pPr>
        <w:pStyle w:val="ANormal"/>
      </w:pPr>
      <w:r>
        <w:tab/>
        <w:t>a) för offentliga myndigheters webbplatser som inte offentliggjorts före den 23 september 2018 från och med den 23 september 2019,</w:t>
      </w:r>
    </w:p>
    <w:p w14:paraId="5B6BDB68" w14:textId="68DB4CA2" w:rsidR="00C174BC" w:rsidRDefault="00C174BC" w:rsidP="00C174BC">
      <w:pPr>
        <w:pStyle w:val="ANormal"/>
      </w:pPr>
      <w:r>
        <w:tab/>
        <w:t>b) för alla offentliga myndigheters webbplatser som inte omfattas av led a) från och med den 23 september 2020,</w:t>
      </w:r>
    </w:p>
    <w:p w14:paraId="15166B0A" w14:textId="51D23A9C" w:rsidR="00C174BC" w:rsidRDefault="00C174BC" w:rsidP="00C174BC">
      <w:pPr>
        <w:pStyle w:val="ANormal"/>
      </w:pPr>
      <w:r>
        <w:tab/>
        <w:t>c) för offentliga myndigheters mobila</w:t>
      </w:r>
      <w:r w:rsidR="00C86BA1">
        <w:t xml:space="preserve"> a</w:t>
      </w:r>
      <w:r>
        <w:t>pplikationer från och med den 23 juni 2021.</w:t>
      </w:r>
    </w:p>
    <w:p w14:paraId="5890CE5E" w14:textId="35195DC9" w:rsidR="0018178F" w:rsidRDefault="00C174BC" w:rsidP="00C174BC">
      <w:pPr>
        <w:pStyle w:val="ANormal"/>
      </w:pPr>
      <w:r>
        <w:tab/>
      </w:r>
      <w:r w:rsidR="0018178F">
        <w:t xml:space="preserve">Med stöd av 12.3 a i direktivet föreskrivs i </w:t>
      </w:r>
      <w:r w:rsidR="0018178F" w:rsidRPr="0018178F">
        <w:rPr>
          <w:i/>
        </w:rPr>
        <w:t>1</w:t>
      </w:r>
      <w:r w:rsidR="000C71DD">
        <w:rPr>
          <w:i/>
        </w:rPr>
        <w:t> mom.</w:t>
      </w:r>
      <w:r w:rsidR="0018178F">
        <w:t xml:space="preserve"> att b</w:t>
      </w:r>
      <w:r w:rsidR="0018178F" w:rsidRPr="0018178F">
        <w:t>estämmelserna i lag</w:t>
      </w:r>
      <w:r w:rsidR="0018178F">
        <w:t>en</w:t>
      </w:r>
      <w:r w:rsidR="0018178F" w:rsidRPr="0018178F">
        <w:t xml:space="preserve"> tillämpas från och med den 23 september 2019 på webbplatser som har offentliggjorts efter lagens ikraftträdande.</w:t>
      </w:r>
      <w:r w:rsidR="0018178F">
        <w:t xml:space="preserve"> Med hänvisning till artikel </w:t>
      </w:r>
      <w:r w:rsidR="0018178F">
        <w:lastRenderedPageBreak/>
        <w:t>12.3</w:t>
      </w:r>
      <w:r w:rsidR="00081C66">
        <w:t> </w:t>
      </w:r>
      <w:r w:rsidR="0018178F">
        <w:t xml:space="preserve">b föreskrivs i </w:t>
      </w:r>
      <w:r w:rsidR="0018178F" w:rsidRPr="0018178F">
        <w:rPr>
          <w:i/>
        </w:rPr>
        <w:t>2</w:t>
      </w:r>
      <w:r w:rsidR="000C71DD">
        <w:rPr>
          <w:i/>
        </w:rPr>
        <w:t> mom.</w:t>
      </w:r>
      <w:r w:rsidR="0018178F">
        <w:t xml:space="preserve"> att b</w:t>
      </w:r>
      <w:r w:rsidR="0018178F" w:rsidRPr="0018178F">
        <w:t>estämmelserna i lag</w:t>
      </w:r>
      <w:r w:rsidR="0018178F">
        <w:t>en</w:t>
      </w:r>
      <w:r w:rsidR="0018178F" w:rsidRPr="0018178F">
        <w:t xml:space="preserve"> tillämpas från och med den 23 september 2020 på webbplatser som har offentliggjorts före l</w:t>
      </w:r>
      <w:r w:rsidR="0018178F" w:rsidRPr="0018178F">
        <w:t>a</w:t>
      </w:r>
      <w:r w:rsidR="0018178F" w:rsidRPr="0018178F">
        <w:t>gens ikraf</w:t>
      </w:r>
      <w:r w:rsidR="0018178F">
        <w:t>t</w:t>
      </w:r>
      <w:r w:rsidR="0018178F" w:rsidRPr="0018178F">
        <w:t>trädande.</w:t>
      </w:r>
      <w:r w:rsidR="0018178F">
        <w:t xml:space="preserve"> Enligt </w:t>
      </w:r>
      <w:r w:rsidR="0018178F" w:rsidRPr="0018178F">
        <w:rPr>
          <w:i/>
        </w:rPr>
        <w:t>3</w:t>
      </w:r>
      <w:r w:rsidR="000C71DD">
        <w:rPr>
          <w:i/>
        </w:rPr>
        <w:t> mom.</w:t>
      </w:r>
      <w:r w:rsidR="0018178F">
        <w:t xml:space="preserve"> ska b</w:t>
      </w:r>
      <w:r w:rsidR="0018178F" w:rsidRPr="0018178F">
        <w:t>estämmelserna i lag</w:t>
      </w:r>
      <w:r w:rsidR="0018178F">
        <w:t>en</w:t>
      </w:r>
      <w:r w:rsidR="0018178F" w:rsidRPr="0018178F">
        <w:t xml:space="preserve"> tillämpas från och med den 23 juni 2021 på mobila</w:t>
      </w:r>
      <w:r w:rsidR="00C86BA1">
        <w:t xml:space="preserve"> a</w:t>
      </w:r>
      <w:r w:rsidR="0018178F" w:rsidRPr="0018178F">
        <w:t>pplikationer</w:t>
      </w:r>
      <w:r w:rsidR="0018178F">
        <w:t>, vilket stöder sig på artikel 12.3</w:t>
      </w:r>
      <w:r w:rsidR="00081C66">
        <w:t> </w:t>
      </w:r>
      <w:r w:rsidR="0018178F">
        <w:t>c i direktivet.</w:t>
      </w:r>
    </w:p>
    <w:p w14:paraId="7A29EC8F" w14:textId="289FE16C" w:rsidR="00E201F2" w:rsidRDefault="0018178F" w:rsidP="00E201F2">
      <w:pPr>
        <w:pStyle w:val="ANormal"/>
      </w:pPr>
      <w:r>
        <w:tab/>
        <w:t xml:space="preserve">Paragrafens fyra sista moment hänför sig till </w:t>
      </w:r>
      <w:r w:rsidRPr="0018178F">
        <w:t>artikel 1.4</w:t>
      </w:r>
      <w:r w:rsidR="00081C66">
        <w:t> </w:t>
      </w:r>
      <w:r w:rsidRPr="0018178F">
        <w:t>a, b, g och h i tillgänglighetsdirektivet.</w:t>
      </w:r>
      <w:r w:rsidR="00935A4C">
        <w:t xml:space="preserve"> Enligt artikel 1.4</w:t>
      </w:r>
      <w:r w:rsidR="00081C66">
        <w:t> </w:t>
      </w:r>
      <w:r w:rsidR="00935A4C">
        <w:t>a är direktivet inte tillämpligt på filformat för dokument som offentliggjorts före den 23 september 2018 om sådant innehåll inte behövs för att genomföra de aktiva administrativa fö</w:t>
      </w:r>
      <w:r w:rsidR="00935A4C">
        <w:t>r</w:t>
      </w:r>
      <w:r w:rsidR="00935A4C">
        <w:t>faranden som följer av den berörda myndighetens uppgifter. Med filformat för dokument avses enligt skäl 26 i direktivets ingress dokument som inte i första hand är avsedda för användning på nätet, men som ingår i webbsidor (t.ex. PDF-</w:t>
      </w:r>
      <w:r w:rsidR="0031639F">
        <w:t xml:space="preserve"> </w:t>
      </w:r>
      <w:r w:rsidR="00935A4C">
        <w:t>eller Microsoft Office-dokument eller andra format som är li</w:t>
      </w:r>
      <w:r w:rsidR="00935A4C">
        <w:t>k</w:t>
      </w:r>
      <w:r w:rsidR="00935A4C">
        <w:t>värdiga med dessa). Exempel på innehåll som behövs för att genomföra a</w:t>
      </w:r>
      <w:r w:rsidR="00935A4C">
        <w:t>k</w:t>
      </w:r>
      <w:r w:rsidR="00935A4C">
        <w:t>tiva administrativa förfaranden är t.ex. blanketter eller formulär riktade till myndighetens kunder. Sådana dokument måste uppfylla kraven oavsett när de offentliggjorts. Artikel 1.4</w:t>
      </w:r>
      <w:r w:rsidR="00081C66">
        <w:t> </w:t>
      </w:r>
      <w:r w:rsidR="00935A4C">
        <w:t xml:space="preserve">a beaktas i förslag till </w:t>
      </w:r>
      <w:r w:rsidR="00935A4C" w:rsidRPr="00935A4C">
        <w:rPr>
          <w:i/>
        </w:rPr>
        <w:t>4</w:t>
      </w:r>
      <w:r w:rsidR="000C71DD">
        <w:rPr>
          <w:i/>
        </w:rPr>
        <w:t> mom.</w:t>
      </w:r>
      <w:r w:rsidR="00935A4C">
        <w:t xml:space="preserve"> så att b</w:t>
      </w:r>
      <w:r w:rsidR="00935A4C" w:rsidRPr="00935A4C">
        <w:t>estä</w:t>
      </w:r>
      <w:r w:rsidR="00935A4C" w:rsidRPr="00935A4C">
        <w:t>m</w:t>
      </w:r>
      <w:r w:rsidR="00935A4C" w:rsidRPr="00935A4C">
        <w:t>melserna i lag</w:t>
      </w:r>
      <w:r w:rsidR="00935A4C">
        <w:t>en</w:t>
      </w:r>
      <w:r w:rsidR="00935A4C" w:rsidRPr="00935A4C">
        <w:t xml:space="preserve"> tillämpas på filformat för dokument som offentliggjorts före den 23 september 2018 endast då innehållet behövs för skötseln i fö</w:t>
      </w:r>
      <w:r w:rsidR="00935A4C" w:rsidRPr="00935A4C">
        <w:t>r</w:t>
      </w:r>
      <w:r w:rsidR="00935A4C" w:rsidRPr="00935A4C">
        <w:t>hållande till enskilda av ett ännu inte avgjort ärende.</w:t>
      </w:r>
      <w:r w:rsidR="00E201F2">
        <w:t xml:space="preserve"> </w:t>
      </w:r>
      <w:r w:rsidR="00BD601C">
        <w:t xml:space="preserve">Således behöver </w:t>
      </w:r>
      <w:r w:rsidR="00E201F2">
        <w:t>d</w:t>
      </w:r>
      <w:r w:rsidR="00E201F2">
        <w:t>y</w:t>
      </w:r>
      <w:r w:rsidR="00E201F2">
        <w:t xml:space="preserve">lika </w:t>
      </w:r>
      <w:r w:rsidR="00BD601C">
        <w:t xml:space="preserve">filer </w:t>
      </w:r>
      <w:r w:rsidR="00E201F2">
        <w:t xml:space="preserve">som det hänvisas till i </w:t>
      </w:r>
      <w:r w:rsidR="00E201F2" w:rsidRPr="00E201F2">
        <w:t xml:space="preserve">skäl 26 i direktivets ingress </w:t>
      </w:r>
      <w:r w:rsidR="00E201F2">
        <w:t xml:space="preserve">och </w:t>
      </w:r>
      <w:r w:rsidR="00BD601C">
        <w:t>som har o</w:t>
      </w:r>
      <w:r w:rsidR="00BD601C">
        <w:t>f</w:t>
      </w:r>
      <w:r w:rsidR="00BD601C">
        <w:t>fentliggjorts</w:t>
      </w:r>
      <w:r w:rsidR="00E201F2">
        <w:t xml:space="preserve"> </w:t>
      </w:r>
      <w:r w:rsidR="00BD601C">
        <w:t>före den 23 september 2018 inte överföras i tillgänglig form, även om tillgänglighetskraven</w:t>
      </w:r>
      <w:r w:rsidR="00E201F2">
        <w:t xml:space="preserve"> </w:t>
      </w:r>
      <w:r w:rsidR="00BD601C">
        <w:t xml:space="preserve">annars tillämpas på </w:t>
      </w:r>
      <w:r w:rsidR="00E201F2">
        <w:t>webbplatsen eller den mobila applikationen</w:t>
      </w:r>
      <w:r w:rsidR="00BD601C">
        <w:t>. Sådana filer ska emellertid vid behov tillhandahållas</w:t>
      </w:r>
      <w:r w:rsidR="00E201F2">
        <w:t xml:space="preserve"> </w:t>
      </w:r>
      <w:r w:rsidR="00BD601C">
        <w:t>i tillgänglig form</w:t>
      </w:r>
      <w:r w:rsidR="00E201F2">
        <w:t xml:space="preserve"> om de behövs vid skötseln av ett förvaltningsärende </w:t>
      </w:r>
      <w:r w:rsidR="00E201F2" w:rsidRPr="00E201F2">
        <w:t>i fö</w:t>
      </w:r>
      <w:r w:rsidR="00E201F2" w:rsidRPr="00E201F2">
        <w:t>r</w:t>
      </w:r>
      <w:r w:rsidR="00E201F2" w:rsidRPr="00E201F2">
        <w:t>hållande till enskilda</w:t>
      </w:r>
      <w:r w:rsidR="00E201F2">
        <w:t xml:space="preserve"> (t.ex. i form av en ansökningsblankett).</w:t>
      </w:r>
    </w:p>
    <w:p w14:paraId="71BD984E" w14:textId="007271F0" w:rsidR="00E201F2" w:rsidRDefault="00E201F2" w:rsidP="00935A4C">
      <w:pPr>
        <w:pStyle w:val="ANormal"/>
      </w:pPr>
      <w:r>
        <w:tab/>
        <w:t>E</w:t>
      </w:r>
      <w:r w:rsidR="00935A4C">
        <w:t>nligt artikel 1.4</w:t>
      </w:r>
      <w:r w:rsidR="00081C66">
        <w:t> </w:t>
      </w:r>
      <w:r w:rsidR="00935A4C">
        <w:t xml:space="preserve">b </w:t>
      </w:r>
      <w:r>
        <w:t xml:space="preserve">är direktivet </w:t>
      </w:r>
      <w:r w:rsidR="00935A4C">
        <w:t>inte tillämpligt på förinspelade tidsber</w:t>
      </w:r>
      <w:r w:rsidR="00935A4C">
        <w:t>o</w:t>
      </w:r>
      <w:r w:rsidR="00935A4C">
        <w:t xml:space="preserve">ende medier som offentliggjorts före den 23 september 2020. </w:t>
      </w:r>
      <w:r>
        <w:t xml:space="preserve">Enligt </w:t>
      </w:r>
      <w:r w:rsidRPr="00E201F2">
        <w:rPr>
          <w:i/>
        </w:rPr>
        <w:t>5</w:t>
      </w:r>
      <w:r w:rsidR="000C71DD">
        <w:rPr>
          <w:i/>
        </w:rPr>
        <w:t> mom.</w:t>
      </w:r>
      <w:r>
        <w:t xml:space="preserve"> ska b</w:t>
      </w:r>
      <w:r w:rsidRPr="00E201F2">
        <w:t>estämmelserna i lag</w:t>
      </w:r>
      <w:r>
        <w:t>en</w:t>
      </w:r>
      <w:r w:rsidRPr="00E201F2">
        <w:t xml:space="preserve"> tillämpas från och med den 23 september 2020 på förinspelade tidsberoende media.</w:t>
      </w:r>
      <w:r>
        <w:t xml:space="preserve"> </w:t>
      </w:r>
      <w:r w:rsidR="00935A4C">
        <w:t xml:space="preserve">I </w:t>
      </w:r>
      <w:r w:rsidR="0031639F">
        <w:t xml:space="preserve">direktivets </w:t>
      </w:r>
      <w:r w:rsidR="00935A4C">
        <w:t>artikel 3.6 definieras tid</w:t>
      </w:r>
      <w:r w:rsidR="00935A4C">
        <w:t>s</w:t>
      </w:r>
      <w:r w:rsidR="00935A4C">
        <w:t>beroende medier som ljud eller video, en kombination av ljud och video, e</w:t>
      </w:r>
      <w:r w:rsidR="00935A4C">
        <w:t>l</w:t>
      </w:r>
      <w:r w:rsidR="00935A4C">
        <w:t xml:space="preserve">ler något av de föregående i kombination med möjligheter till interaktion. </w:t>
      </w:r>
      <w:r>
        <w:t>Det kan noteras att förslag till 4</w:t>
      </w:r>
      <w:r w:rsidR="000C71DD">
        <w:t> §</w:t>
      </w:r>
      <w:r>
        <w:t xml:space="preserve"> 2</w:t>
      </w:r>
      <w:r w:rsidR="000C71DD">
        <w:t> mom.</w:t>
      </w:r>
      <w:r>
        <w:t xml:space="preserve"> 1</w:t>
      </w:r>
      <w:r w:rsidR="002F030A">
        <w:t> punkt</w:t>
      </w:r>
      <w:r>
        <w:t xml:space="preserve">en anger att </w:t>
      </w:r>
      <w:r w:rsidR="00935A4C">
        <w:t xml:space="preserve">lagen inte alls </w:t>
      </w:r>
      <w:r>
        <w:t xml:space="preserve">ska </w:t>
      </w:r>
      <w:r w:rsidR="00935A4C">
        <w:t>tillämpas i förhållande till direktsändningar av tidsberoende medier.</w:t>
      </w:r>
    </w:p>
    <w:p w14:paraId="6D8AF617" w14:textId="6979257E" w:rsidR="007B55AA" w:rsidRDefault="00E201F2" w:rsidP="00935A4C">
      <w:pPr>
        <w:pStyle w:val="ANormal"/>
      </w:pPr>
      <w:r>
        <w:tab/>
      </w:r>
      <w:r w:rsidRPr="00E201F2">
        <w:t xml:space="preserve">Enligt </w:t>
      </w:r>
      <w:r w:rsidRPr="00E201F2">
        <w:rPr>
          <w:i/>
        </w:rPr>
        <w:t>6</w:t>
      </w:r>
      <w:r w:rsidR="000C71DD">
        <w:rPr>
          <w:i/>
        </w:rPr>
        <w:t> mom.</w:t>
      </w:r>
      <w:r w:rsidRPr="00E201F2">
        <w:t xml:space="preserve"> ska </w:t>
      </w:r>
      <w:r>
        <w:t>b</w:t>
      </w:r>
      <w:r w:rsidRPr="00E201F2">
        <w:t xml:space="preserve">estämmelserna i </w:t>
      </w:r>
      <w:r>
        <w:t>lagen</w:t>
      </w:r>
      <w:r w:rsidRPr="00E201F2">
        <w:t xml:space="preserve"> tillämpas på innehållet på så</w:t>
      </w:r>
      <w:r w:rsidR="00673868">
        <w:t>-</w:t>
      </w:r>
      <w:r w:rsidRPr="00E201F2">
        <w:t>dana webbplatser på intranät och extranät som omfattas av lag</w:t>
      </w:r>
      <w:r>
        <w:t>en</w:t>
      </w:r>
      <w:r w:rsidRPr="00E201F2">
        <w:t xml:space="preserve"> och har offentliggjorts före den 23 september 2019 först när webbplatsens publika</w:t>
      </w:r>
      <w:r w:rsidRPr="00E201F2">
        <w:t>t</w:t>
      </w:r>
      <w:r w:rsidRPr="00E201F2">
        <w:t>ionsplattform genomgår en översyn.</w:t>
      </w:r>
      <w:r>
        <w:t xml:space="preserve"> Bestämmelsen stöder sig på </w:t>
      </w:r>
      <w:r w:rsidR="007B55AA">
        <w:t>artikel 1.4</w:t>
      </w:r>
      <w:r w:rsidR="00081C66">
        <w:t> </w:t>
      </w:r>
      <w:r w:rsidR="007B55AA">
        <w:t>g som anger att direktivet inte tillämpas i förhållande till i</w:t>
      </w:r>
      <w:r w:rsidR="007B55AA" w:rsidRPr="007B55AA">
        <w:t>nnehåll i e</w:t>
      </w:r>
      <w:r w:rsidR="007B55AA" w:rsidRPr="007B55AA">
        <w:t>x</w:t>
      </w:r>
      <w:r w:rsidR="007B55AA" w:rsidRPr="007B55AA">
        <w:t>tranät och intranät, det vill säga webbplatser som endast är tillgängliga för slutna grupper och inte för allmänheten som sådan, som offentliggjorts före den 23 september 2019 fram till dess att sådana webbplatser genomgår en omfattande översyn.</w:t>
      </w:r>
      <w:r w:rsidR="007B55AA">
        <w:t xml:space="preserve"> </w:t>
      </w:r>
      <w:r w:rsidR="00935A4C">
        <w:t>Om webbplats uppfyller kriterier</w:t>
      </w:r>
      <w:r w:rsidR="007B55AA">
        <w:t>na</w:t>
      </w:r>
      <w:r w:rsidR="00935A4C">
        <w:t xml:space="preserve"> omfattas den e</w:t>
      </w:r>
      <w:r w:rsidR="00935A4C">
        <w:t>n</w:t>
      </w:r>
      <w:r w:rsidR="00935A4C">
        <w:t>ligt artikel 1.4</w:t>
      </w:r>
      <w:r w:rsidR="00081C66">
        <w:t> </w:t>
      </w:r>
      <w:r w:rsidR="00935A4C">
        <w:t>g inte av kraven förrän den genomgår en omfattande öve</w:t>
      </w:r>
      <w:r w:rsidR="00935A4C">
        <w:t>r</w:t>
      </w:r>
      <w:r w:rsidR="00935A4C">
        <w:t xml:space="preserve">syn. Vad som avses med en omfattande översyn framgår inte av direktivet. En rimlig tolkning är att en omfattande översyn är att likställa med att webbplatsens plattform genomgår en större uppgradering där även struktur och innehåll omarbetas eller där plattformen byts ut helt. </w:t>
      </w:r>
      <w:r w:rsidR="007B55AA">
        <w:t>Därför knyts ti</w:t>
      </w:r>
      <w:r w:rsidR="007B55AA">
        <w:t>l</w:t>
      </w:r>
      <w:r w:rsidR="007B55AA">
        <w:t xml:space="preserve">lämpningen av </w:t>
      </w:r>
      <w:r w:rsidR="00935A4C">
        <w:t xml:space="preserve">landskapslagens övergångsbestämmelser </w:t>
      </w:r>
      <w:r w:rsidR="007B55AA">
        <w:t xml:space="preserve">till att </w:t>
      </w:r>
      <w:r w:rsidR="00935A4C">
        <w:t>webbpla</w:t>
      </w:r>
      <w:r w:rsidR="00935A4C">
        <w:t>t</w:t>
      </w:r>
      <w:r w:rsidR="00935A4C">
        <w:t>sens publikationsplattform genomgår en översyn.</w:t>
      </w:r>
    </w:p>
    <w:p w14:paraId="5BA912DB" w14:textId="770E5C53" w:rsidR="00A37D67" w:rsidRDefault="00935A4C" w:rsidP="0007688B">
      <w:pPr>
        <w:pStyle w:val="ANormal"/>
      </w:pPr>
      <w:r>
        <w:tab/>
      </w:r>
      <w:r w:rsidR="007B55AA">
        <w:t xml:space="preserve">Enligt </w:t>
      </w:r>
      <w:r w:rsidR="007B55AA" w:rsidRPr="007B55AA">
        <w:rPr>
          <w:i/>
        </w:rPr>
        <w:t>7</w:t>
      </w:r>
      <w:r w:rsidR="000C71DD">
        <w:rPr>
          <w:i/>
        </w:rPr>
        <w:t> mom.</w:t>
      </w:r>
      <w:r w:rsidR="007B55AA">
        <w:t xml:space="preserve"> ska b</w:t>
      </w:r>
      <w:r w:rsidR="007B55AA" w:rsidRPr="007B55AA">
        <w:t>estämmelserna i lag</w:t>
      </w:r>
      <w:r w:rsidR="007B55AA">
        <w:t>en</w:t>
      </w:r>
      <w:r w:rsidR="007B55AA" w:rsidRPr="007B55AA">
        <w:t xml:space="preserve"> tillämpas på sådant innehåll på webbplatser eller i mobil</w:t>
      </w:r>
      <w:r w:rsidR="007B55AA">
        <w:t xml:space="preserve">a </w:t>
      </w:r>
      <w:r w:rsidR="007B55AA" w:rsidRPr="007B55AA">
        <w:t>applikationer som har arkiverats före den 23 september 2019 endast då innehållet behövs för skötseln i förhållande till enskilda av ett ännu inte avgjort ärende.</w:t>
      </w:r>
      <w:r w:rsidR="00E44B83">
        <w:t xml:space="preserve"> </w:t>
      </w:r>
      <w:r w:rsidR="007B55AA">
        <w:t>Lagens tillgänglighetskrav</w:t>
      </w:r>
      <w:r w:rsidR="00E44B83">
        <w:t xml:space="preserve"> </w:t>
      </w:r>
      <w:r w:rsidR="007B55AA">
        <w:t>ska inte tillämpas på innehåll som har arkiverats före den 23 september 2019. Enligt artikel</w:t>
      </w:r>
      <w:r w:rsidR="00E44B83">
        <w:t xml:space="preserve"> </w:t>
      </w:r>
      <w:r w:rsidR="007B55AA">
        <w:t>1.4</w:t>
      </w:r>
      <w:r w:rsidR="00081C66">
        <w:t> </w:t>
      </w:r>
      <w:r w:rsidR="007B55AA">
        <w:t>h i tillgänglighetsdirektivet är direktivet inte tillämpligt på inn</w:t>
      </w:r>
      <w:r w:rsidR="007B55AA">
        <w:t>e</w:t>
      </w:r>
      <w:r w:rsidR="007B55AA">
        <w:t>håll på webbplatser och i</w:t>
      </w:r>
      <w:r w:rsidR="00E44B83">
        <w:t xml:space="preserve"> </w:t>
      </w:r>
      <w:r w:rsidR="007B55AA">
        <w:t>mobila</w:t>
      </w:r>
      <w:r w:rsidR="00C86BA1">
        <w:t xml:space="preserve"> a</w:t>
      </w:r>
      <w:r w:rsidR="007B55AA">
        <w:t xml:space="preserve">pplikationer som räknas som arkiverat, </w:t>
      </w:r>
      <w:r w:rsidR="007B55AA">
        <w:lastRenderedPageBreak/>
        <w:t>vilket innebär att de endast har innehåll som</w:t>
      </w:r>
      <w:r w:rsidR="00E44B83">
        <w:t xml:space="preserve"> </w:t>
      </w:r>
      <w:r w:rsidR="007B55AA">
        <w:t>varken är nödvändigt för att genomföra aktiva administrativa förfaranden eller uppdateras eller</w:t>
      </w:r>
      <w:r w:rsidR="00E44B83">
        <w:t xml:space="preserve"> </w:t>
      </w:r>
      <w:r w:rsidR="007B55AA">
        <w:t>redig</w:t>
      </w:r>
      <w:r w:rsidR="007B55AA">
        <w:t>e</w:t>
      </w:r>
      <w:r w:rsidR="007B55AA">
        <w:t>ras efter den 23 september 2019.</w:t>
      </w:r>
    </w:p>
    <w:p w14:paraId="39B0C5A3" w14:textId="77777777" w:rsidR="00081C66" w:rsidRDefault="00081C66" w:rsidP="0007688B">
      <w:pPr>
        <w:pStyle w:val="ANormal"/>
      </w:pPr>
    </w:p>
    <w:p w14:paraId="27876451" w14:textId="00A9E2CF" w:rsidR="00081C66" w:rsidRDefault="00081C66">
      <w:pPr>
        <w:rPr>
          <w:sz w:val="22"/>
          <w:szCs w:val="20"/>
        </w:rPr>
      </w:pPr>
      <w:r>
        <w:br w:type="page"/>
      </w:r>
    </w:p>
    <w:p w14:paraId="23AFF89A" w14:textId="77777777" w:rsidR="00390E3E" w:rsidRPr="00A9761D" w:rsidRDefault="00390E3E" w:rsidP="0007688B">
      <w:pPr>
        <w:pStyle w:val="ANormal"/>
      </w:pPr>
    </w:p>
    <w:p w14:paraId="3832F6F0" w14:textId="77777777" w:rsidR="00AF3004" w:rsidRDefault="00AF3004" w:rsidP="00771C32">
      <w:pPr>
        <w:pStyle w:val="RubrikA"/>
      </w:pPr>
      <w:bookmarkStart w:id="34" w:name="_Toc524530400"/>
      <w:r w:rsidRPr="00771C32">
        <w:t>Lagtext</w:t>
      </w:r>
      <w:bookmarkEnd w:id="34"/>
    </w:p>
    <w:p w14:paraId="16382823" w14:textId="77777777" w:rsidR="00AF3004" w:rsidRDefault="00AF3004">
      <w:pPr>
        <w:pStyle w:val="Rubrikmellanrum"/>
      </w:pPr>
    </w:p>
    <w:p w14:paraId="03687D1E" w14:textId="77777777" w:rsidR="00AF3004" w:rsidRDefault="00AF3004">
      <w:pPr>
        <w:pStyle w:val="ANormal"/>
      </w:pPr>
      <w:r>
        <w:t>Landskapsregeringen föreslår att följande lag antas.</w:t>
      </w:r>
    </w:p>
    <w:p w14:paraId="5A94966D" w14:textId="77777777" w:rsidR="007A05E8" w:rsidRDefault="007A05E8" w:rsidP="007A05E8">
      <w:pPr>
        <w:pStyle w:val="ANormal"/>
      </w:pPr>
    </w:p>
    <w:p w14:paraId="115BCC16" w14:textId="77777777" w:rsidR="00651370" w:rsidRDefault="00651370" w:rsidP="007A05E8">
      <w:pPr>
        <w:pStyle w:val="ANormal"/>
      </w:pPr>
    </w:p>
    <w:p w14:paraId="09B11E78" w14:textId="0EE74DE8" w:rsidR="00546721" w:rsidRPr="00115855" w:rsidRDefault="00546721" w:rsidP="00771C32">
      <w:pPr>
        <w:pStyle w:val="LagHuvRubr"/>
        <w:rPr>
          <w:lang w:val="sv-FI"/>
        </w:rPr>
      </w:pPr>
      <w:bookmarkStart w:id="35" w:name="_Toc420393966"/>
      <w:bookmarkStart w:id="36" w:name="_Toc524530401"/>
      <w:r w:rsidRPr="00115855">
        <w:rPr>
          <w:lang w:val="sv-FI"/>
        </w:rPr>
        <w:t>L A N D S K A P S L A G</w:t>
      </w:r>
      <w:r w:rsidRPr="00115855">
        <w:rPr>
          <w:lang w:val="sv-FI"/>
        </w:rPr>
        <w:br/>
      </w:r>
      <w:bookmarkStart w:id="37" w:name="_Hlk516817484"/>
      <w:r w:rsidRPr="00115855">
        <w:rPr>
          <w:lang w:val="sv-FI"/>
        </w:rPr>
        <w:t xml:space="preserve">om </w:t>
      </w:r>
      <w:bookmarkEnd w:id="35"/>
      <w:r w:rsidR="001D7C33">
        <w:rPr>
          <w:lang w:val="sv-FI"/>
        </w:rPr>
        <w:t xml:space="preserve">tillgängliga </w:t>
      </w:r>
      <w:r w:rsidR="00396024">
        <w:rPr>
          <w:lang w:val="sv-FI"/>
        </w:rPr>
        <w:t>webbplatser och mobila</w:t>
      </w:r>
      <w:r w:rsidR="004128D5">
        <w:rPr>
          <w:lang w:val="sv-FI"/>
        </w:rPr>
        <w:t xml:space="preserve"> a</w:t>
      </w:r>
      <w:r w:rsidR="00396024">
        <w:rPr>
          <w:lang w:val="sv-FI"/>
        </w:rPr>
        <w:t>pplikationer</w:t>
      </w:r>
      <w:r w:rsidR="007A63BD">
        <w:rPr>
          <w:lang w:val="sv-FI"/>
        </w:rPr>
        <w:t xml:space="preserve"> inom förvaltningen</w:t>
      </w:r>
      <w:bookmarkEnd w:id="36"/>
    </w:p>
    <w:bookmarkEnd w:id="37"/>
    <w:p w14:paraId="62703E50" w14:textId="627BA6C6" w:rsidR="00DF4764" w:rsidRDefault="00DF4764" w:rsidP="005E2546">
      <w:pPr>
        <w:pStyle w:val="ANormal"/>
        <w:rPr>
          <w:lang w:val="sv-FI"/>
        </w:rPr>
      </w:pPr>
    </w:p>
    <w:p w14:paraId="3CB9E394" w14:textId="205F184A" w:rsidR="00081C66" w:rsidRDefault="00081C66" w:rsidP="005E2546">
      <w:pPr>
        <w:pStyle w:val="ANormal"/>
        <w:rPr>
          <w:lang w:val="sv-FI"/>
        </w:rPr>
      </w:pPr>
      <w:r>
        <w:rPr>
          <w:lang w:val="sv-FI"/>
        </w:rPr>
        <w:tab/>
        <w:t xml:space="preserve">I enlighet med lagtingets beslut </w:t>
      </w:r>
      <w:r w:rsidR="00BA7B1D">
        <w:rPr>
          <w:lang w:val="sv-FI"/>
        </w:rPr>
        <w:t>stadgas:</w:t>
      </w:r>
    </w:p>
    <w:p w14:paraId="72188A7A" w14:textId="77777777" w:rsidR="00081C66" w:rsidRDefault="00081C66" w:rsidP="005E2546">
      <w:pPr>
        <w:pStyle w:val="ANormal"/>
        <w:rPr>
          <w:lang w:val="sv-FI"/>
        </w:rPr>
      </w:pPr>
    </w:p>
    <w:p w14:paraId="3CC5363E" w14:textId="11EABA84" w:rsidR="00DF4764" w:rsidRPr="00DF4764" w:rsidRDefault="00DF4764" w:rsidP="00081C66">
      <w:pPr>
        <w:pStyle w:val="LagKapitel"/>
        <w:rPr>
          <w:lang w:val="sv-FI"/>
        </w:rPr>
      </w:pPr>
      <w:r w:rsidRPr="00DF4764">
        <w:rPr>
          <w:lang w:val="sv-FI"/>
        </w:rPr>
        <w:t>1</w:t>
      </w:r>
      <w:r w:rsidR="000C71DD">
        <w:rPr>
          <w:lang w:val="sv-FI"/>
        </w:rPr>
        <w:t> kap.</w:t>
      </w:r>
      <w:r w:rsidRPr="00DF4764">
        <w:rPr>
          <w:lang w:val="sv-FI"/>
        </w:rPr>
        <w:br/>
        <w:t>Allmänna bestämmelser</w:t>
      </w:r>
    </w:p>
    <w:p w14:paraId="149B2BEA" w14:textId="77777777" w:rsidR="00DF4764" w:rsidRPr="00DA236E" w:rsidRDefault="00DF4764" w:rsidP="005E2546">
      <w:pPr>
        <w:pStyle w:val="ANormal"/>
        <w:rPr>
          <w:lang w:val="sv-FI"/>
        </w:rPr>
      </w:pPr>
    </w:p>
    <w:p w14:paraId="6B831E9E" w14:textId="29461166" w:rsidR="005E2546" w:rsidRDefault="005E2546" w:rsidP="00081C66">
      <w:pPr>
        <w:pStyle w:val="LagParagraf"/>
      </w:pPr>
      <w:r>
        <w:t>1</w:t>
      </w:r>
      <w:r w:rsidR="000C71DD">
        <w:t> §</w:t>
      </w:r>
    </w:p>
    <w:p w14:paraId="105FD8F3" w14:textId="4F72B1B2" w:rsidR="008B4764" w:rsidRPr="000619B4" w:rsidRDefault="008B4764" w:rsidP="00081C66">
      <w:pPr>
        <w:pStyle w:val="LagPararubrik"/>
      </w:pPr>
      <w:r>
        <w:t xml:space="preserve">Lagens </w:t>
      </w:r>
      <w:r w:rsidR="00B14A29">
        <w:t xml:space="preserve">tillämpningsområde och </w:t>
      </w:r>
      <w:r>
        <w:t>syfte</w:t>
      </w:r>
    </w:p>
    <w:p w14:paraId="32CC94B0" w14:textId="38F6C889" w:rsidR="00B14A29" w:rsidRDefault="00B14A29" w:rsidP="008B4764">
      <w:pPr>
        <w:pStyle w:val="ANormal"/>
      </w:pPr>
      <w:r>
        <w:tab/>
      </w:r>
      <w:r w:rsidRPr="00B14A29">
        <w:t xml:space="preserve">Denna lag tillämpas </w:t>
      </w:r>
      <w:r w:rsidR="004128D5">
        <w:t>i förhållande till</w:t>
      </w:r>
      <w:r w:rsidRPr="00B14A29">
        <w:t xml:space="preserve"> webbplatser och mobila</w:t>
      </w:r>
      <w:r w:rsidR="004128D5">
        <w:t xml:space="preserve"> a</w:t>
      </w:r>
      <w:r w:rsidRPr="00B14A29">
        <w:t>pplika</w:t>
      </w:r>
      <w:r w:rsidRPr="00B14A29">
        <w:t>t</w:t>
      </w:r>
      <w:r w:rsidRPr="00B14A29">
        <w:t>ioner som tillhandhålls av myndigheter inom landskaps- och kommunalfö</w:t>
      </w:r>
      <w:r w:rsidRPr="00B14A29">
        <w:t>r</w:t>
      </w:r>
      <w:r w:rsidRPr="00B14A29">
        <w:t>valtningen.</w:t>
      </w:r>
    </w:p>
    <w:p w14:paraId="2665629C" w14:textId="6F065A7A" w:rsidR="008B4764" w:rsidRDefault="008B4764" w:rsidP="008B4764">
      <w:pPr>
        <w:pStyle w:val="ANormal"/>
      </w:pPr>
      <w:r>
        <w:tab/>
      </w:r>
      <w:r w:rsidR="000619B4">
        <w:t xml:space="preserve">Lagens syfte </w:t>
      </w:r>
      <w:r>
        <w:t xml:space="preserve">är att var och en ska </w:t>
      </w:r>
      <w:r w:rsidR="001D7C33">
        <w:t xml:space="preserve">på lika villkor </w:t>
      </w:r>
      <w:r>
        <w:t xml:space="preserve">kunna använda </w:t>
      </w:r>
      <w:r w:rsidR="00B14A29">
        <w:t xml:space="preserve">de </w:t>
      </w:r>
      <w:r w:rsidR="00396024">
        <w:t>webbplatser och mobila</w:t>
      </w:r>
      <w:r w:rsidR="00C86BA1">
        <w:t xml:space="preserve"> a</w:t>
      </w:r>
      <w:r w:rsidR="00396024">
        <w:t xml:space="preserve">pplikationer </w:t>
      </w:r>
      <w:r w:rsidR="000619B4">
        <w:t xml:space="preserve">som </w:t>
      </w:r>
      <w:r w:rsidR="000619B4" w:rsidRPr="000619B4">
        <w:t xml:space="preserve">tillhandahålls </w:t>
      </w:r>
      <w:r w:rsidR="005E0990">
        <w:t>av myndigheter</w:t>
      </w:r>
      <w:r w:rsidR="00B14A29">
        <w:t>na.</w:t>
      </w:r>
    </w:p>
    <w:p w14:paraId="67781353" w14:textId="092CB848" w:rsidR="00027EB0" w:rsidRDefault="00027EB0" w:rsidP="008B4764">
      <w:pPr>
        <w:pStyle w:val="ANormal"/>
      </w:pPr>
      <w:r>
        <w:tab/>
      </w:r>
      <w:r w:rsidRPr="00027EB0">
        <w:t>Genom denna lag genomförs Europaparlamentets och rådets direktiv (EU) 2016/2102 om tillgänglighet avseende offentliga myndigheters web</w:t>
      </w:r>
      <w:r w:rsidRPr="00027EB0">
        <w:t>b</w:t>
      </w:r>
      <w:r w:rsidRPr="00027EB0">
        <w:t xml:space="preserve">platser och mobila applikationer, nedan </w:t>
      </w:r>
      <w:r w:rsidRPr="00027EB0">
        <w:rPr>
          <w:i/>
        </w:rPr>
        <w:t>tillgänglighetsdirektivet</w:t>
      </w:r>
      <w:r w:rsidRPr="00027EB0">
        <w:t>.</w:t>
      </w:r>
    </w:p>
    <w:p w14:paraId="4275DF8C" w14:textId="77777777" w:rsidR="008B4764" w:rsidRDefault="008B4764" w:rsidP="005E2546">
      <w:pPr>
        <w:pStyle w:val="ANormal"/>
      </w:pPr>
    </w:p>
    <w:p w14:paraId="57364789" w14:textId="6F2FA1F6" w:rsidR="005E2546" w:rsidRDefault="005E2546" w:rsidP="00081C66">
      <w:pPr>
        <w:pStyle w:val="LagParagraf"/>
      </w:pPr>
      <w:r>
        <w:t>2</w:t>
      </w:r>
      <w:r w:rsidR="000C71DD">
        <w:t> §</w:t>
      </w:r>
    </w:p>
    <w:p w14:paraId="58632B2F" w14:textId="4D9AD16C" w:rsidR="005E2546" w:rsidRPr="00D55251" w:rsidRDefault="005E2546" w:rsidP="00081C66">
      <w:pPr>
        <w:pStyle w:val="LagPararubrik"/>
      </w:pPr>
      <w:r>
        <w:t>Definitioner</w:t>
      </w:r>
    </w:p>
    <w:p w14:paraId="74465A9A" w14:textId="4760FE3E" w:rsidR="00396024" w:rsidRPr="00396024" w:rsidRDefault="00396024" w:rsidP="00396024">
      <w:pPr>
        <w:pStyle w:val="ANormal"/>
        <w:rPr>
          <w:lang w:val="sv-FI"/>
        </w:rPr>
      </w:pPr>
      <w:r>
        <w:tab/>
      </w:r>
      <w:r w:rsidRPr="00396024">
        <w:rPr>
          <w:lang w:val="sv-FI"/>
        </w:rPr>
        <w:t>I denna lag avses med</w:t>
      </w:r>
    </w:p>
    <w:p w14:paraId="4A0ECA6B" w14:textId="61C9DEDF" w:rsidR="00396024" w:rsidRPr="00396024" w:rsidRDefault="00396024" w:rsidP="00396024">
      <w:pPr>
        <w:pStyle w:val="ANormal"/>
        <w:rPr>
          <w:lang w:val="sv-FI"/>
        </w:rPr>
      </w:pPr>
      <w:r>
        <w:rPr>
          <w:i/>
          <w:iCs/>
          <w:lang w:val="sv-FI"/>
        </w:rPr>
        <w:tab/>
      </w:r>
      <w:r w:rsidRPr="00396024">
        <w:rPr>
          <w:i/>
          <w:iCs/>
          <w:lang w:val="sv-FI"/>
        </w:rPr>
        <w:t xml:space="preserve">1) webbplats </w:t>
      </w:r>
      <w:r w:rsidRPr="00396024">
        <w:rPr>
          <w:lang w:val="sv-FI"/>
        </w:rPr>
        <w:t>digitalt datainnehåll som individualiseras med hjälp av ett domännamn och som är tillgängligt i ett datanät genom olika terminalu</w:t>
      </w:r>
      <w:r w:rsidRPr="00396024">
        <w:rPr>
          <w:lang w:val="sv-FI"/>
        </w:rPr>
        <w:t>t</w:t>
      </w:r>
      <w:r w:rsidRPr="00396024">
        <w:rPr>
          <w:lang w:val="sv-FI"/>
        </w:rPr>
        <w:t>rustningar och deras programutbud,</w:t>
      </w:r>
    </w:p>
    <w:p w14:paraId="05BFC27B" w14:textId="1878083A" w:rsidR="00396024" w:rsidRPr="00396024" w:rsidRDefault="00396024" w:rsidP="00396024">
      <w:pPr>
        <w:pStyle w:val="ANormal"/>
        <w:rPr>
          <w:lang w:val="sv-FI"/>
        </w:rPr>
      </w:pPr>
      <w:r>
        <w:rPr>
          <w:lang w:val="sv-FI"/>
        </w:rPr>
        <w:tab/>
      </w:r>
      <w:r w:rsidRPr="00396024">
        <w:rPr>
          <w:i/>
          <w:iCs/>
          <w:lang w:val="sv-FI"/>
        </w:rPr>
        <w:t>2) mobil</w:t>
      </w:r>
      <w:r w:rsidR="00DB5270">
        <w:rPr>
          <w:i/>
          <w:iCs/>
          <w:lang w:val="sv-FI"/>
        </w:rPr>
        <w:t xml:space="preserve"> </w:t>
      </w:r>
      <w:r w:rsidRPr="00396024">
        <w:rPr>
          <w:i/>
          <w:iCs/>
          <w:lang w:val="sv-FI"/>
        </w:rPr>
        <w:t xml:space="preserve">applikation </w:t>
      </w:r>
      <w:r w:rsidRPr="00396024">
        <w:rPr>
          <w:lang w:val="sv-FI"/>
        </w:rPr>
        <w:t>en programvara som har planerats och utvecklats för användning av allmänheten i mobila enheter som smarttelefoner och pekplattor,</w:t>
      </w:r>
    </w:p>
    <w:p w14:paraId="0D4209C8" w14:textId="4FE04C2C" w:rsidR="004D1BE9" w:rsidRDefault="00396024" w:rsidP="005E0990">
      <w:pPr>
        <w:pStyle w:val="ANormal"/>
        <w:rPr>
          <w:lang w:val="sv-FI"/>
        </w:rPr>
      </w:pPr>
      <w:r>
        <w:rPr>
          <w:lang w:val="sv-FI"/>
        </w:rPr>
        <w:tab/>
      </w:r>
      <w:r w:rsidR="004556DF">
        <w:rPr>
          <w:lang w:val="sv-FI"/>
        </w:rPr>
        <w:t>3</w:t>
      </w:r>
      <w:r w:rsidRPr="00396024">
        <w:rPr>
          <w:i/>
          <w:iCs/>
          <w:lang w:val="sv-FI"/>
        </w:rPr>
        <w:t>) myndighet</w:t>
      </w:r>
      <w:r w:rsidR="00171373">
        <w:rPr>
          <w:lang w:val="sv-FI"/>
        </w:rPr>
        <w:t xml:space="preserve"> </w:t>
      </w:r>
      <w:r w:rsidR="00E164C1" w:rsidRPr="00E164C1">
        <w:rPr>
          <w:lang w:val="sv-FI"/>
        </w:rPr>
        <w:t xml:space="preserve">landskapsregeringen, </w:t>
      </w:r>
      <w:bookmarkStart w:id="38" w:name="_Hlk513110521"/>
      <w:r w:rsidR="00E164C1" w:rsidRPr="00E164C1">
        <w:rPr>
          <w:lang w:val="sv-FI"/>
        </w:rPr>
        <w:t>myndigheter och inrättningar som lyder under landskapsregeringen, förvaltning som är ansluten till Ålands lagting,</w:t>
      </w:r>
      <w:r w:rsidR="00E164C1">
        <w:rPr>
          <w:lang w:val="sv-FI"/>
        </w:rPr>
        <w:t xml:space="preserve"> </w:t>
      </w:r>
      <w:r w:rsidR="00E164C1" w:rsidRPr="00E164C1">
        <w:rPr>
          <w:lang w:val="sv-FI"/>
        </w:rPr>
        <w:t>kommunala myndigheter, landskapets affärsverk samt juridiska och fysiska personer då de utför ett offentligt uppdrag med stöd av landskap</w:t>
      </w:r>
      <w:r w:rsidR="00E164C1" w:rsidRPr="00E164C1">
        <w:rPr>
          <w:lang w:val="sv-FI"/>
        </w:rPr>
        <w:t>s</w:t>
      </w:r>
      <w:r w:rsidR="00E164C1" w:rsidRPr="00E164C1">
        <w:rPr>
          <w:lang w:val="sv-FI"/>
        </w:rPr>
        <w:t>lag</w:t>
      </w:r>
      <w:r w:rsidR="00DA7BE5">
        <w:rPr>
          <w:lang w:val="sv-FI"/>
        </w:rPr>
        <w:t>.</w:t>
      </w:r>
    </w:p>
    <w:p w14:paraId="300E51B9" w14:textId="3061F016" w:rsidR="004D1BE9" w:rsidRDefault="004D1BE9" w:rsidP="005E0990">
      <w:pPr>
        <w:pStyle w:val="ANormal"/>
        <w:rPr>
          <w:lang w:val="sv-FI"/>
        </w:rPr>
      </w:pPr>
    </w:p>
    <w:p w14:paraId="38445994" w14:textId="761FEBB7" w:rsidR="004D1BE9" w:rsidRDefault="004D1BE9" w:rsidP="00081C66">
      <w:pPr>
        <w:pStyle w:val="LagParagraf"/>
        <w:rPr>
          <w:lang w:val="sv-FI"/>
        </w:rPr>
      </w:pPr>
      <w:r>
        <w:rPr>
          <w:lang w:val="sv-FI"/>
        </w:rPr>
        <w:t>3</w:t>
      </w:r>
      <w:r w:rsidR="000C71DD">
        <w:rPr>
          <w:lang w:val="sv-FI"/>
        </w:rPr>
        <w:t> §</w:t>
      </w:r>
    </w:p>
    <w:p w14:paraId="3847A573" w14:textId="33822F05" w:rsidR="004D1BE9" w:rsidRPr="004D1BE9" w:rsidRDefault="004D1BE9" w:rsidP="00081C66">
      <w:pPr>
        <w:pStyle w:val="LagPararubrik"/>
        <w:rPr>
          <w:lang w:val="sv-FI"/>
        </w:rPr>
      </w:pPr>
      <w:r w:rsidRPr="004D1BE9">
        <w:rPr>
          <w:lang w:val="sv-FI"/>
        </w:rPr>
        <w:t>Offentligrättsliga organ</w:t>
      </w:r>
    </w:p>
    <w:p w14:paraId="7F01E461" w14:textId="67A042A4" w:rsidR="00725B82" w:rsidRDefault="004D1BE9" w:rsidP="005E0990">
      <w:pPr>
        <w:pStyle w:val="ANormal"/>
        <w:rPr>
          <w:lang w:val="sv-FI"/>
        </w:rPr>
      </w:pPr>
      <w:r>
        <w:rPr>
          <w:lang w:val="sv-FI"/>
        </w:rPr>
        <w:tab/>
        <w:t>Vid tillämpningen av denna lag ska med myndighet också avses offen</w:t>
      </w:r>
      <w:r>
        <w:rPr>
          <w:lang w:val="sv-FI"/>
        </w:rPr>
        <w:t>t</w:t>
      </w:r>
      <w:r>
        <w:rPr>
          <w:lang w:val="sv-FI"/>
        </w:rPr>
        <w:t>lig</w:t>
      </w:r>
      <w:r w:rsidR="00673868">
        <w:rPr>
          <w:lang w:val="sv-FI"/>
        </w:rPr>
        <w:t>-</w:t>
      </w:r>
      <w:r>
        <w:rPr>
          <w:lang w:val="sv-FI"/>
        </w:rPr>
        <w:t>rättsliga organ.</w:t>
      </w:r>
    </w:p>
    <w:p w14:paraId="5FCDEFEF" w14:textId="06A36AB5" w:rsidR="005E0990" w:rsidRPr="005E0990" w:rsidRDefault="00725B82" w:rsidP="005E0990">
      <w:pPr>
        <w:pStyle w:val="ANormal"/>
        <w:rPr>
          <w:lang w:val="sv-FI"/>
        </w:rPr>
      </w:pPr>
      <w:r>
        <w:rPr>
          <w:lang w:val="sv-FI"/>
        </w:rPr>
        <w:tab/>
      </w:r>
      <w:r w:rsidR="00200845">
        <w:rPr>
          <w:lang w:val="sv-FI"/>
        </w:rPr>
        <w:t>O</w:t>
      </w:r>
      <w:r w:rsidR="004D1BE9">
        <w:rPr>
          <w:lang w:val="sv-FI"/>
        </w:rPr>
        <w:t>ffentligrättslig</w:t>
      </w:r>
      <w:r w:rsidR="00200845">
        <w:rPr>
          <w:lang w:val="sv-FI"/>
        </w:rPr>
        <w:t>a</w:t>
      </w:r>
      <w:r w:rsidR="004D1BE9">
        <w:rPr>
          <w:lang w:val="sv-FI"/>
        </w:rPr>
        <w:t xml:space="preserve"> organ </w:t>
      </w:r>
      <w:r w:rsidR="00200845">
        <w:rPr>
          <w:lang w:val="sv-FI"/>
        </w:rPr>
        <w:t xml:space="preserve">är </w:t>
      </w:r>
      <w:bookmarkEnd w:id="38"/>
      <w:r w:rsidR="005E0990" w:rsidRPr="005E0990">
        <w:rPr>
          <w:lang w:val="sv-FI"/>
        </w:rPr>
        <w:t>juridisk</w:t>
      </w:r>
      <w:r w:rsidR="00200845">
        <w:rPr>
          <w:lang w:val="sv-FI"/>
        </w:rPr>
        <w:t>a</w:t>
      </w:r>
      <w:r w:rsidR="005E0990" w:rsidRPr="005E0990">
        <w:rPr>
          <w:lang w:val="sv-FI"/>
        </w:rPr>
        <w:t xml:space="preserve"> person</w:t>
      </w:r>
      <w:r w:rsidR="00200845">
        <w:rPr>
          <w:lang w:val="sv-FI"/>
        </w:rPr>
        <w:t>er</w:t>
      </w:r>
      <w:r w:rsidR="005E0990" w:rsidRPr="005E0990">
        <w:rPr>
          <w:lang w:val="sv-FI"/>
        </w:rPr>
        <w:t xml:space="preserve"> som särskilt har inrättats för att tillgodose behov i det allmännas intresse utan industriell eller ko</w:t>
      </w:r>
      <w:r w:rsidR="005E0990" w:rsidRPr="005E0990">
        <w:rPr>
          <w:lang w:val="sv-FI"/>
        </w:rPr>
        <w:t>m</w:t>
      </w:r>
      <w:r w:rsidR="005E0990" w:rsidRPr="005E0990">
        <w:rPr>
          <w:lang w:val="sv-FI"/>
        </w:rPr>
        <w:t>mersiell karaktär och</w:t>
      </w:r>
    </w:p>
    <w:p w14:paraId="4C330664" w14:textId="32ED8BA4" w:rsidR="005E0990" w:rsidRPr="005E0990" w:rsidRDefault="00E164C1" w:rsidP="005E0990">
      <w:pPr>
        <w:pStyle w:val="ANormal"/>
        <w:rPr>
          <w:lang w:val="sv-FI"/>
        </w:rPr>
      </w:pPr>
      <w:r>
        <w:rPr>
          <w:lang w:val="sv-FI"/>
        </w:rPr>
        <w:tab/>
      </w:r>
      <w:r w:rsidR="00467BAB">
        <w:rPr>
          <w:lang w:val="sv-FI"/>
        </w:rPr>
        <w:t>1</w:t>
      </w:r>
      <w:r w:rsidR="005E0990" w:rsidRPr="005E0990">
        <w:rPr>
          <w:lang w:val="sv-FI"/>
        </w:rPr>
        <w:t>) som till största delen finansieras av en myndighet</w:t>
      </w:r>
      <w:r w:rsidR="004D1BE9">
        <w:rPr>
          <w:lang w:val="sv-FI"/>
        </w:rPr>
        <w:t xml:space="preserve"> som avses i 2</w:t>
      </w:r>
      <w:r w:rsidR="000C71DD">
        <w:rPr>
          <w:lang w:val="sv-FI"/>
        </w:rPr>
        <w:t> §</w:t>
      </w:r>
      <w:r w:rsidR="004D1BE9">
        <w:rPr>
          <w:lang w:val="sv-FI"/>
        </w:rPr>
        <w:t xml:space="preserve"> 3</w:t>
      </w:r>
      <w:r w:rsidR="002F030A">
        <w:rPr>
          <w:lang w:val="sv-FI"/>
        </w:rPr>
        <w:t> punkt</w:t>
      </w:r>
      <w:r w:rsidR="004D1BE9">
        <w:rPr>
          <w:lang w:val="sv-FI"/>
        </w:rPr>
        <w:t>en</w:t>
      </w:r>
      <w:r w:rsidR="00D82992">
        <w:rPr>
          <w:lang w:val="sv-FI"/>
        </w:rPr>
        <w:t xml:space="preserve"> eller ett annat offentligrättsligt organ</w:t>
      </w:r>
      <w:r w:rsidR="005E0990" w:rsidRPr="005E0990">
        <w:rPr>
          <w:lang w:val="sv-FI"/>
        </w:rPr>
        <w:t>,</w:t>
      </w:r>
    </w:p>
    <w:p w14:paraId="5C88FA93" w14:textId="1441765C" w:rsidR="005E0990" w:rsidRPr="005E0990" w:rsidRDefault="00E164C1" w:rsidP="005E0990">
      <w:pPr>
        <w:pStyle w:val="ANormal"/>
        <w:rPr>
          <w:lang w:val="sv-FI"/>
        </w:rPr>
      </w:pPr>
      <w:r>
        <w:rPr>
          <w:lang w:val="sv-FI"/>
        </w:rPr>
        <w:tab/>
      </w:r>
      <w:r w:rsidR="00467BAB">
        <w:rPr>
          <w:lang w:val="sv-FI"/>
        </w:rPr>
        <w:t>2</w:t>
      </w:r>
      <w:r w:rsidR="005E0990" w:rsidRPr="005E0990">
        <w:rPr>
          <w:lang w:val="sv-FI"/>
        </w:rPr>
        <w:t>) vars ledning står under kontroll av en myndighet</w:t>
      </w:r>
      <w:r w:rsidR="004D1BE9">
        <w:rPr>
          <w:lang w:val="sv-FI"/>
        </w:rPr>
        <w:t xml:space="preserve"> som avses i 2</w:t>
      </w:r>
      <w:r w:rsidR="000C71DD">
        <w:rPr>
          <w:lang w:val="sv-FI"/>
        </w:rPr>
        <w:t> §</w:t>
      </w:r>
      <w:r w:rsidR="004D1BE9">
        <w:rPr>
          <w:lang w:val="sv-FI"/>
        </w:rPr>
        <w:t xml:space="preserve"> 3</w:t>
      </w:r>
      <w:r w:rsidR="002F030A">
        <w:rPr>
          <w:lang w:val="sv-FI"/>
        </w:rPr>
        <w:t> punkt</w:t>
      </w:r>
      <w:r w:rsidR="004D1BE9">
        <w:rPr>
          <w:lang w:val="sv-FI"/>
        </w:rPr>
        <w:t>en</w:t>
      </w:r>
      <w:r w:rsidR="00D82992">
        <w:rPr>
          <w:lang w:val="sv-FI"/>
        </w:rPr>
        <w:t xml:space="preserve"> eller ett annat offe</w:t>
      </w:r>
      <w:r w:rsidR="00422811">
        <w:rPr>
          <w:lang w:val="sv-FI"/>
        </w:rPr>
        <w:t>ntligrättsligt organ</w:t>
      </w:r>
      <w:r w:rsidR="005E0990" w:rsidRPr="005E0990">
        <w:rPr>
          <w:lang w:val="sv-FI"/>
        </w:rPr>
        <w:t>, eller</w:t>
      </w:r>
    </w:p>
    <w:p w14:paraId="79EED366" w14:textId="2A1B5FD0" w:rsidR="005E2546" w:rsidRDefault="00E164C1" w:rsidP="005E0990">
      <w:pPr>
        <w:pStyle w:val="ANormal"/>
        <w:rPr>
          <w:lang w:val="sv-FI"/>
        </w:rPr>
      </w:pPr>
      <w:r>
        <w:rPr>
          <w:lang w:val="sv-FI"/>
        </w:rPr>
        <w:tab/>
      </w:r>
      <w:r w:rsidR="00467BAB">
        <w:rPr>
          <w:lang w:val="sv-FI"/>
        </w:rPr>
        <w:t>3</w:t>
      </w:r>
      <w:r w:rsidR="005E0990" w:rsidRPr="005E0990">
        <w:rPr>
          <w:lang w:val="sv-FI"/>
        </w:rPr>
        <w:t>) i vars förvaltnings-, styrelse- eller kontrollorgan mer än hälften av l</w:t>
      </w:r>
      <w:r w:rsidR="005E0990" w:rsidRPr="005E0990">
        <w:rPr>
          <w:lang w:val="sv-FI"/>
        </w:rPr>
        <w:t>e</w:t>
      </w:r>
      <w:r w:rsidR="005E0990" w:rsidRPr="005E0990">
        <w:rPr>
          <w:lang w:val="sv-FI"/>
        </w:rPr>
        <w:t>damöterna utses av en myndighet</w:t>
      </w:r>
      <w:r w:rsidR="004D1BE9">
        <w:rPr>
          <w:lang w:val="sv-FI"/>
        </w:rPr>
        <w:t xml:space="preserve"> som avses i 2</w:t>
      </w:r>
      <w:r w:rsidR="000C71DD">
        <w:rPr>
          <w:lang w:val="sv-FI"/>
        </w:rPr>
        <w:t> §</w:t>
      </w:r>
      <w:r w:rsidR="004D1BE9">
        <w:rPr>
          <w:lang w:val="sv-FI"/>
        </w:rPr>
        <w:t xml:space="preserve"> 3</w:t>
      </w:r>
      <w:r w:rsidR="002F030A">
        <w:rPr>
          <w:lang w:val="sv-FI"/>
        </w:rPr>
        <w:t> punkt</w:t>
      </w:r>
      <w:r w:rsidR="004D1BE9">
        <w:rPr>
          <w:lang w:val="sv-FI"/>
        </w:rPr>
        <w:t>en</w:t>
      </w:r>
      <w:r w:rsidR="00422811">
        <w:rPr>
          <w:lang w:val="sv-FI"/>
        </w:rPr>
        <w:t xml:space="preserve"> eller ett annat offentligrättsligt organ</w:t>
      </w:r>
      <w:r>
        <w:rPr>
          <w:lang w:val="sv-FI"/>
        </w:rPr>
        <w:t>.</w:t>
      </w:r>
    </w:p>
    <w:p w14:paraId="28572B76" w14:textId="5BA97E2D" w:rsidR="000A6146" w:rsidRDefault="00445EEC" w:rsidP="00FF1387">
      <w:pPr>
        <w:pStyle w:val="ANormal"/>
        <w:rPr>
          <w:lang w:val="sv-FI"/>
        </w:rPr>
      </w:pPr>
      <w:r>
        <w:rPr>
          <w:lang w:val="sv-FI"/>
        </w:rPr>
        <w:tab/>
        <w:t xml:space="preserve">Lagen </w:t>
      </w:r>
      <w:r w:rsidR="00CA4C38">
        <w:rPr>
          <w:lang w:val="sv-FI"/>
        </w:rPr>
        <w:t xml:space="preserve">tillämpas endast </w:t>
      </w:r>
      <w:r>
        <w:rPr>
          <w:lang w:val="sv-FI"/>
        </w:rPr>
        <w:t xml:space="preserve">i förhållande till </w:t>
      </w:r>
      <w:r w:rsidR="00CA4C38">
        <w:rPr>
          <w:lang w:val="sv-FI"/>
        </w:rPr>
        <w:t xml:space="preserve">sådana </w:t>
      </w:r>
      <w:r w:rsidR="002C53BE">
        <w:rPr>
          <w:lang w:val="sv-FI"/>
        </w:rPr>
        <w:t xml:space="preserve">offentligrättsliga organ </w:t>
      </w:r>
      <w:r w:rsidR="002C53BE" w:rsidRPr="002C53BE">
        <w:rPr>
          <w:lang w:val="sv-FI"/>
        </w:rPr>
        <w:t xml:space="preserve">som tillhandahåller tjänster som är väsentliga för allmänheten eller tjänster </w:t>
      </w:r>
      <w:r w:rsidR="002C53BE" w:rsidRPr="002C53BE">
        <w:rPr>
          <w:lang w:val="sv-FI"/>
        </w:rPr>
        <w:lastRenderedPageBreak/>
        <w:t>som specifikt tillgodoser behoven för eller är avsedda för personer med funktionsnedsättning.</w:t>
      </w:r>
    </w:p>
    <w:p w14:paraId="10CA8D66" w14:textId="77777777" w:rsidR="009C50C9" w:rsidRDefault="009C50C9" w:rsidP="00FF1387">
      <w:pPr>
        <w:pStyle w:val="ANormal"/>
        <w:rPr>
          <w:lang w:val="sv-FI"/>
        </w:rPr>
      </w:pPr>
    </w:p>
    <w:p w14:paraId="3948FABE" w14:textId="23F51D15" w:rsidR="000D19A4" w:rsidRDefault="000D19A4" w:rsidP="00081C66">
      <w:pPr>
        <w:pStyle w:val="LagParagraf"/>
        <w:rPr>
          <w:lang w:val="sv-FI"/>
        </w:rPr>
      </w:pPr>
      <w:r>
        <w:rPr>
          <w:lang w:val="sv-FI"/>
        </w:rPr>
        <w:t>4</w:t>
      </w:r>
      <w:r w:rsidR="000C71DD">
        <w:rPr>
          <w:lang w:val="sv-FI"/>
        </w:rPr>
        <w:t> §</w:t>
      </w:r>
    </w:p>
    <w:p w14:paraId="17172647" w14:textId="757C7F38" w:rsidR="000D19A4" w:rsidRPr="00B60B11" w:rsidRDefault="000D19A4" w:rsidP="00081C66">
      <w:pPr>
        <w:pStyle w:val="LagPararubrik"/>
        <w:rPr>
          <w:lang w:val="sv-FI"/>
        </w:rPr>
      </w:pPr>
      <w:proofErr w:type="gramStart"/>
      <w:r w:rsidRPr="00B60B11">
        <w:rPr>
          <w:lang w:val="sv-FI"/>
        </w:rPr>
        <w:t>Undantag</w:t>
      </w:r>
      <w:proofErr w:type="gramEnd"/>
      <w:r w:rsidRPr="00B60B11">
        <w:rPr>
          <w:lang w:val="sv-FI"/>
        </w:rPr>
        <w:t xml:space="preserve"> från tillämpningsområdet</w:t>
      </w:r>
    </w:p>
    <w:p w14:paraId="4C399B48" w14:textId="5687F157" w:rsidR="00D943CD" w:rsidRPr="00D943CD" w:rsidRDefault="00FF1387" w:rsidP="00D943CD">
      <w:pPr>
        <w:pStyle w:val="ANormal"/>
        <w:rPr>
          <w:lang w:val="sv-FI"/>
        </w:rPr>
      </w:pPr>
      <w:r>
        <w:rPr>
          <w:lang w:val="sv-FI"/>
        </w:rPr>
        <w:tab/>
      </w:r>
      <w:bookmarkStart w:id="39" w:name="_Hlk512498944"/>
      <w:r w:rsidR="00D943CD" w:rsidRPr="00D943CD">
        <w:rPr>
          <w:lang w:val="sv-FI"/>
        </w:rPr>
        <w:t>Denna lag tillämpas inte i förhållande till webbplatser och mobila appl</w:t>
      </w:r>
      <w:r w:rsidR="00D943CD" w:rsidRPr="00D943CD">
        <w:rPr>
          <w:lang w:val="sv-FI"/>
        </w:rPr>
        <w:t>i</w:t>
      </w:r>
      <w:r w:rsidR="00D943CD" w:rsidRPr="00D943CD">
        <w:rPr>
          <w:lang w:val="sv-FI"/>
        </w:rPr>
        <w:t>kationer som tillhör radio- och televisionsföretag med uppdrag i allmänhe</w:t>
      </w:r>
      <w:r w:rsidR="00D943CD" w:rsidRPr="00D943CD">
        <w:rPr>
          <w:lang w:val="sv-FI"/>
        </w:rPr>
        <w:t>t</w:t>
      </w:r>
      <w:r w:rsidR="00D943CD" w:rsidRPr="00D943CD">
        <w:rPr>
          <w:lang w:val="sv-FI"/>
        </w:rPr>
        <w:t>ens tjänst</w:t>
      </w:r>
      <w:r w:rsidR="002C53BE">
        <w:rPr>
          <w:lang w:val="sv-FI"/>
        </w:rPr>
        <w:t>.</w:t>
      </w:r>
    </w:p>
    <w:bookmarkEnd w:id="39"/>
    <w:p w14:paraId="1DEEAAB3" w14:textId="1BAB62B9" w:rsidR="00FF1387" w:rsidRPr="00FF1387" w:rsidRDefault="003655D9" w:rsidP="00FF1387">
      <w:pPr>
        <w:pStyle w:val="ANormal"/>
        <w:rPr>
          <w:lang w:val="sv-FI"/>
        </w:rPr>
      </w:pPr>
      <w:r>
        <w:rPr>
          <w:lang w:val="sv-FI"/>
        </w:rPr>
        <w:tab/>
        <w:t xml:space="preserve">Denna lag tillämpas inte på </w:t>
      </w:r>
      <w:r w:rsidR="00815D18" w:rsidRPr="00815D18">
        <w:rPr>
          <w:lang w:val="sv-FI"/>
        </w:rPr>
        <w:t>följande innehåll på webbplatser och i m</w:t>
      </w:r>
      <w:r w:rsidR="00815D18" w:rsidRPr="00815D18">
        <w:rPr>
          <w:lang w:val="sv-FI"/>
        </w:rPr>
        <w:t>o</w:t>
      </w:r>
      <w:r w:rsidR="00815D18" w:rsidRPr="00815D18">
        <w:rPr>
          <w:lang w:val="sv-FI"/>
        </w:rPr>
        <w:t>bila applikationer</w:t>
      </w:r>
      <w:r w:rsidR="00815D18">
        <w:rPr>
          <w:lang w:val="sv-FI"/>
        </w:rPr>
        <w:t>:</w:t>
      </w:r>
    </w:p>
    <w:p w14:paraId="2006087F" w14:textId="35ADFD1B" w:rsidR="00327164" w:rsidRDefault="00FF1387" w:rsidP="00FF1387">
      <w:pPr>
        <w:pStyle w:val="ANormal"/>
        <w:rPr>
          <w:lang w:val="sv-FI"/>
        </w:rPr>
      </w:pPr>
      <w:r>
        <w:rPr>
          <w:lang w:val="sv-FI"/>
        </w:rPr>
        <w:tab/>
      </w:r>
      <w:r w:rsidRPr="00FF1387">
        <w:rPr>
          <w:lang w:val="sv-FI"/>
        </w:rPr>
        <w:t xml:space="preserve">1) </w:t>
      </w:r>
      <w:r w:rsidR="00327164" w:rsidRPr="00327164">
        <w:rPr>
          <w:lang w:val="sv-FI"/>
        </w:rPr>
        <w:t>direktsändningar av tidsberoende medier,</w:t>
      </w:r>
    </w:p>
    <w:p w14:paraId="6ED3C26C" w14:textId="38428952" w:rsidR="008053B1" w:rsidRDefault="008053B1" w:rsidP="00FF1387">
      <w:pPr>
        <w:pStyle w:val="ANormal"/>
        <w:rPr>
          <w:lang w:val="sv-FI"/>
        </w:rPr>
      </w:pPr>
      <w:r>
        <w:rPr>
          <w:lang w:val="sv-FI"/>
        </w:rPr>
        <w:tab/>
        <w:t xml:space="preserve">2) </w:t>
      </w:r>
      <w:r w:rsidRPr="008053B1">
        <w:rPr>
          <w:lang w:val="sv-FI"/>
        </w:rPr>
        <w:t>kartor som inte är avsedda för navigering</w:t>
      </w:r>
      <w:r w:rsidR="00A30F46">
        <w:rPr>
          <w:lang w:val="sv-FI"/>
        </w:rPr>
        <w:t>;</w:t>
      </w:r>
      <w:r w:rsidR="0076484F">
        <w:rPr>
          <w:lang w:val="sv-FI"/>
        </w:rPr>
        <w:t xml:space="preserve"> </w:t>
      </w:r>
      <w:r w:rsidR="00A30F46">
        <w:rPr>
          <w:lang w:val="sv-FI"/>
        </w:rPr>
        <w:t xml:space="preserve">även </w:t>
      </w:r>
      <w:r w:rsidR="0076484F" w:rsidRPr="0076484F">
        <w:rPr>
          <w:lang w:val="sv-FI"/>
        </w:rPr>
        <w:t>kartor avsedda för navigering</w:t>
      </w:r>
      <w:r w:rsidR="00A30F46">
        <w:rPr>
          <w:lang w:val="sv-FI"/>
        </w:rPr>
        <w:t xml:space="preserve"> är undantagna</w:t>
      </w:r>
      <w:r w:rsidR="0076484F" w:rsidRPr="0076484F">
        <w:rPr>
          <w:lang w:val="sv-FI"/>
        </w:rPr>
        <w:t>, om väsentlig information om dessa tillhandahålls på ett tillgängligt digitalt sätt</w:t>
      </w:r>
      <w:r w:rsidR="00A30F46">
        <w:rPr>
          <w:lang w:val="sv-FI"/>
        </w:rPr>
        <w:t>,</w:t>
      </w:r>
    </w:p>
    <w:p w14:paraId="66902A24" w14:textId="6B9AEC26" w:rsidR="00815D18" w:rsidRDefault="008053B1" w:rsidP="00FF1387">
      <w:pPr>
        <w:pStyle w:val="ANormal"/>
        <w:rPr>
          <w:lang w:val="sv-FI"/>
        </w:rPr>
      </w:pPr>
      <w:r>
        <w:rPr>
          <w:lang w:val="sv-FI"/>
        </w:rPr>
        <w:tab/>
        <w:t xml:space="preserve">3) </w:t>
      </w:r>
      <w:r w:rsidR="007E2CFF" w:rsidRPr="007E2CFF">
        <w:rPr>
          <w:lang w:val="sv-FI"/>
        </w:rPr>
        <w:t>innehåll från tredje part som varken har finansierats eller tagits fram av den berörda myndigheten eller står under dess kontroll</w:t>
      </w:r>
      <w:r w:rsidR="00815D18">
        <w:rPr>
          <w:lang w:val="sv-FI"/>
        </w:rPr>
        <w:t>,</w:t>
      </w:r>
    </w:p>
    <w:p w14:paraId="53CB7F35" w14:textId="60C99D66" w:rsidR="008053B1" w:rsidRDefault="00815D18" w:rsidP="00FF1387">
      <w:pPr>
        <w:pStyle w:val="ANormal"/>
        <w:rPr>
          <w:lang w:val="sv-FI"/>
        </w:rPr>
      </w:pPr>
      <w:r>
        <w:rPr>
          <w:lang w:val="sv-FI"/>
        </w:rPr>
        <w:tab/>
        <w:t xml:space="preserve">4) </w:t>
      </w:r>
      <w:r w:rsidR="00F77427" w:rsidRPr="00F77427">
        <w:rPr>
          <w:lang w:val="sv-FI"/>
        </w:rPr>
        <w:t>reproduktioner av föremål från kulturarvssamlingar som inte kan g</w:t>
      </w:r>
      <w:r w:rsidR="00F77427" w:rsidRPr="00F77427">
        <w:rPr>
          <w:lang w:val="sv-FI"/>
        </w:rPr>
        <w:t>ö</w:t>
      </w:r>
      <w:r w:rsidR="00F77427" w:rsidRPr="00F77427">
        <w:rPr>
          <w:lang w:val="sv-FI"/>
        </w:rPr>
        <w:t>ras fullständigt tillgängliga utan betydande hinder,</w:t>
      </w:r>
      <w:r w:rsidR="00892874">
        <w:rPr>
          <w:lang w:val="sv-FI"/>
        </w:rPr>
        <w:t xml:space="preserve"> samt</w:t>
      </w:r>
    </w:p>
    <w:p w14:paraId="37DD638F" w14:textId="31625415" w:rsidR="00943A36" w:rsidRDefault="00892874" w:rsidP="000619B4">
      <w:pPr>
        <w:pStyle w:val="ANormal"/>
        <w:rPr>
          <w:lang w:val="sv-FI"/>
        </w:rPr>
      </w:pPr>
      <w:r>
        <w:rPr>
          <w:lang w:val="sv-FI"/>
        </w:rPr>
        <w:tab/>
      </w:r>
      <w:r w:rsidR="00AB5A64">
        <w:rPr>
          <w:lang w:val="sv-FI"/>
        </w:rPr>
        <w:t>5</w:t>
      </w:r>
      <w:r w:rsidRPr="00892874">
        <w:rPr>
          <w:lang w:val="sv-FI"/>
        </w:rPr>
        <w:t xml:space="preserve">) </w:t>
      </w:r>
      <w:bookmarkStart w:id="40" w:name="_Hlk512496052"/>
      <w:r w:rsidRPr="00892874">
        <w:rPr>
          <w:lang w:val="sv-FI"/>
        </w:rPr>
        <w:t>skolor</w:t>
      </w:r>
      <w:r w:rsidR="009518BC">
        <w:rPr>
          <w:lang w:val="sv-FI"/>
        </w:rPr>
        <w:t>s</w:t>
      </w:r>
      <w:r w:rsidR="00900B75">
        <w:rPr>
          <w:lang w:val="sv-FI"/>
        </w:rPr>
        <w:t xml:space="preserve"> och</w:t>
      </w:r>
      <w:r w:rsidRPr="00892874">
        <w:rPr>
          <w:lang w:val="sv-FI"/>
        </w:rPr>
        <w:t xml:space="preserve"> daghem</w:t>
      </w:r>
      <w:r w:rsidR="009518BC">
        <w:rPr>
          <w:lang w:val="sv-FI"/>
        </w:rPr>
        <w:t xml:space="preserve">s </w:t>
      </w:r>
      <w:r w:rsidR="00E43439">
        <w:rPr>
          <w:lang w:val="sv-FI"/>
        </w:rPr>
        <w:t>webbplatser och mobila applikationer</w:t>
      </w:r>
      <w:r w:rsidR="0045185E">
        <w:rPr>
          <w:lang w:val="sv-FI"/>
        </w:rPr>
        <w:t xml:space="preserve">, </w:t>
      </w:r>
      <w:r w:rsidR="00A826F4">
        <w:rPr>
          <w:lang w:val="sv-FI"/>
        </w:rPr>
        <w:t>med u</w:t>
      </w:r>
      <w:r w:rsidR="00A826F4">
        <w:rPr>
          <w:lang w:val="sv-FI"/>
        </w:rPr>
        <w:t>n</w:t>
      </w:r>
      <w:r w:rsidR="00A826F4">
        <w:rPr>
          <w:lang w:val="sv-FI"/>
        </w:rPr>
        <w:t>dantag för innehåll som hänför sig till väsentliga administrativa funktioner på webbplatsen eller den mobila applikationen.</w:t>
      </w:r>
      <w:bookmarkEnd w:id="40"/>
    </w:p>
    <w:p w14:paraId="44DBC00D" w14:textId="34FE0988" w:rsidR="0076484F" w:rsidRDefault="0076484F" w:rsidP="000619B4">
      <w:pPr>
        <w:pStyle w:val="ANormal"/>
        <w:rPr>
          <w:lang w:val="sv-FI"/>
        </w:rPr>
      </w:pPr>
      <w:r w:rsidRPr="0076484F">
        <w:rPr>
          <w:lang w:val="sv-FI"/>
        </w:rPr>
        <w:tab/>
        <w:t>Innehåll på webbplatser och mobila applikationer som tillhandahålls av myndigheter via en teknisk lösning som står under tredje parts kontroll ska, så långt det är möjligt, följa tillgänglighetskraven i denna lag.</w:t>
      </w:r>
    </w:p>
    <w:p w14:paraId="350D8B5B" w14:textId="77777777" w:rsidR="00943A36" w:rsidRDefault="00943A36" w:rsidP="000619B4">
      <w:pPr>
        <w:pStyle w:val="ANormal"/>
        <w:rPr>
          <w:lang w:val="sv-FI"/>
        </w:rPr>
      </w:pPr>
    </w:p>
    <w:p w14:paraId="686843B9" w14:textId="6C79333B" w:rsidR="00DF4764" w:rsidRPr="00DF4764" w:rsidRDefault="00DF4764" w:rsidP="00081C66">
      <w:pPr>
        <w:pStyle w:val="LagKapitel"/>
        <w:rPr>
          <w:lang w:val="sv-FI"/>
        </w:rPr>
      </w:pPr>
      <w:r w:rsidRPr="00DF4764">
        <w:rPr>
          <w:lang w:val="sv-FI"/>
        </w:rPr>
        <w:t>2</w:t>
      </w:r>
      <w:r w:rsidR="000C71DD">
        <w:rPr>
          <w:lang w:val="sv-FI"/>
        </w:rPr>
        <w:t> kap.</w:t>
      </w:r>
      <w:r w:rsidR="00081C66">
        <w:rPr>
          <w:lang w:val="sv-FI"/>
        </w:rPr>
        <w:br/>
      </w:r>
      <w:r w:rsidR="000F1202">
        <w:rPr>
          <w:lang w:val="sv-FI"/>
        </w:rPr>
        <w:t>W</w:t>
      </w:r>
      <w:r w:rsidRPr="00DF4764">
        <w:rPr>
          <w:lang w:val="sv-FI"/>
        </w:rPr>
        <w:t>ebbplatser</w:t>
      </w:r>
      <w:r w:rsidR="005962F4">
        <w:rPr>
          <w:lang w:val="sv-FI"/>
        </w:rPr>
        <w:t>s</w:t>
      </w:r>
      <w:r w:rsidRPr="00DF4764">
        <w:rPr>
          <w:lang w:val="sv-FI"/>
        </w:rPr>
        <w:t xml:space="preserve"> och mobila</w:t>
      </w:r>
      <w:r w:rsidR="00C86BA1">
        <w:rPr>
          <w:lang w:val="sv-FI"/>
        </w:rPr>
        <w:t xml:space="preserve"> a</w:t>
      </w:r>
      <w:r w:rsidRPr="00DF4764">
        <w:rPr>
          <w:lang w:val="sv-FI"/>
        </w:rPr>
        <w:t>pplikationer</w:t>
      </w:r>
      <w:r w:rsidR="005962F4">
        <w:rPr>
          <w:lang w:val="sv-FI"/>
        </w:rPr>
        <w:t>s tillgänglighet</w:t>
      </w:r>
    </w:p>
    <w:p w14:paraId="57DBF63E" w14:textId="77777777" w:rsidR="00DF4764" w:rsidRDefault="00DF4764" w:rsidP="000619B4">
      <w:pPr>
        <w:pStyle w:val="ANormal"/>
        <w:rPr>
          <w:lang w:val="sv-FI"/>
        </w:rPr>
      </w:pPr>
    </w:p>
    <w:p w14:paraId="694131EB" w14:textId="1FE26C1A" w:rsidR="00FF1387" w:rsidRDefault="00F52282" w:rsidP="00081C66">
      <w:pPr>
        <w:pStyle w:val="LagParagraf"/>
        <w:rPr>
          <w:lang w:val="sv-FI"/>
        </w:rPr>
      </w:pPr>
      <w:r>
        <w:rPr>
          <w:lang w:val="sv-FI"/>
        </w:rPr>
        <w:t>5</w:t>
      </w:r>
      <w:r w:rsidR="000C71DD">
        <w:rPr>
          <w:lang w:val="sv-FI"/>
        </w:rPr>
        <w:t> §</w:t>
      </w:r>
    </w:p>
    <w:p w14:paraId="33FA425F" w14:textId="77777777" w:rsidR="00FF1387" w:rsidRPr="00FF1387" w:rsidRDefault="00FF1387" w:rsidP="00081C66">
      <w:pPr>
        <w:pStyle w:val="LagPararubrik"/>
        <w:rPr>
          <w:lang w:val="sv-FI"/>
        </w:rPr>
      </w:pPr>
      <w:r w:rsidRPr="00FF1387">
        <w:rPr>
          <w:lang w:val="sv-FI"/>
        </w:rPr>
        <w:t>Tillgänglighetskrav</w:t>
      </w:r>
    </w:p>
    <w:p w14:paraId="186EA40F" w14:textId="7E17CEEE" w:rsidR="002E0549" w:rsidRDefault="006E0CA3" w:rsidP="002873EF">
      <w:pPr>
        <w:pStyle w:val="ANormal"/>
        <w:rPr>
          <w:lang w:val="sv-FI"/>
        </w:rPr>
      </w:pPr>
      <w:r>
        <w:rPr>
          <w:lang w:val="sv-FI"/>
        </w:rPr>
        <w:tab/>
      </w:r>
      <w:bookmarkStart w:id="41" w:name="_Hlk512850710"/>
      <w:r>
        <w:rPr>
          <w:lang w:val="sv-FI"/>
        </w:rPr>
        <w:t xml:space="preserve">Myndigheternas webbplatser och mobila applikationer </w:t>
      </w:r>
      <w:bookmarkEnd w:id="41"/>
      <w:r>
        <w:rPr>
          <w:lang w:val="sv-FI"/>
        </w:rPr>
        <w:t xml:space="preserve">ska </w:t>
      </w:r>
      <w:r w:rsidR="004F126C">
        <w:rPr>
          <w:lang w:val="sv-FI"/>
        </w:rPr>
        <w:t>vara tillgän</w:t>
      </w:r>
      <w:r w:rsidR="004F126C">
        <w:rPr>
          <w:lang w:val="sv-FI"/>
        </w:rPr>
        <w:t>g</w:t>
      </w:r>
      <w:r w:rsidR="004F126C">
        <w:rPr>
          <w:lang w:val="sv-FI"/>
        </w:rPr>
        <w:t xml:space="preserve">liga så att de </w:t>
      </w:r>
      <w:r w:rsidR="004F126C" w:rsidRPr="004F126C">
        <w:rPr>
          <w:lang w:val="sv-FI"/>
        </w:rPr>
        <w:t>är möjliga att uppfatta, hanterbara, begripliga och robusta.</w:t>
      </w:r>
    </w:p>
    <w:p w14:paraId="006F1925" w14:textId="6FD2F55F" w:rsidR="00556D24" w:rsidRDefault="00991FEE" w:rsidP="004B1C23">
      <w:pPr>
        <w:pStyle w:val="ANormal"/>
        <w:rPr>
          <w:lang w:val="sv-FI"/>
        </w:rPr>
      </w:pPr>
      <w:r>
        <w:rPr>
          <w:lang w:val="sv-FI"/>
        </w:rPr>
        <w:tab/>
      </w:r>
      <w:r w:rsidR="004B1C23">
        <w:rPr>
          <w:lang w:val="sv-FI"/>
        </w:rPr>
        <w:t>Innehåll på w</w:t>
      </w:r>
      <w:r>
        <w:rPr>
          <w:lang w:val="sv-FI"/>
        </w:rPr>
        <w:t xml:space="preserve">ebbplatser </w:t>
      </w:r>
      <w:r w:rsidR="00BC1306">
        <w:rPr>
          <w:lang w:val="sv-FI"/>
        </w:rPr>
        <w:t xml:space="preserve">och mobila applikationer </w:t>
      </w:r>
      <w:r w:rsidR="002873EF">
        <w:rPr>
          <w:lang w:val="sv-FI"/>
        </w:rPr>
        <w:t xml:space="preserve">som </w:t>
      </w:r>
      <w:r w:rsidR="002873EF" w:rsidRPr="002873EF">
        <w:rPr>
          <w:lang w:val="sv-FI"/>
        </w:rPr>
        <w:t xml:space="preserve">överensstämmer med de harmoniserade standarder </w:t>
      </w:r>
      <w:r w:rsidR="00422550" w:rsidRPr="00422550">
        <w:rPr>
          <w:lang w:val="sv-FI"/>
        </w:rPr>
        <w:t>eller delar av dem till vilka hänvisningar har offentliggjorts i Europeiska unionens officiella tidning ska förutsättas överensstämma med tillgänglighetskraven i denna lag.</w:t>
      </w:r>
    </w:p>
    <w:p w14:paraId="718AE78C" w14:textId="520BAEBF" w:rsidR="0076484F" w:rsidRPr="004B1C23" w:rsidRDefault="0076484F" w:rsidP="004B1C23">
      <w:pPr>
        <w:pStyle w:val="ANormal"/>
        <w:rPr>
          <w:lang w:val="sv-FI"/>
        </w:rPr>
      </w:pPr>
      <w:r>
        <w:rPr>
          <w:lang w:val="sv-FI"/>
        </w:rPr>
        <w:tab/>
      </w:r>
      <w:r w:rsidRPr="0076484F">
        <w:rPr>
          <w:lang w:val="sv-FI"/>
        </w:rPr>
        <w:t xml:space="preserve">Var och en har en rätt att elektroniskt lämna in meddelanden till berörd myndighet om att webbplatsen eller den mobila applikationen inte anses vara förenlig med tillgänglighetskraven i denna lag. Myndigheten ska </w:t>
      </w:r>
      <w:r>
        <w:rPr>
          <w:lang w:val="sv-FI"/>
        </w:rPr>
        <w:t xml:space="preserve">utan dröjsmål </w:t>
      </w:r>
      <w:r w:rsidRPr="0076484F">
        <w:rPr>
          <w:lang w:val="sv-FI"/>
        </w:rPr>
        <w:t>lämna ett svar på ett sådant meddelande</w:t>
      </w:r>
      <w:r>
        <w:rPr>
          <w:lang w:val="sv-FI"/>
        </w:rPr>
        <w:t>.</w:t>
      </w:r>
    </w:p>
    <w:p w14:paraId="1423442F" w14:textId="630A8A2E" w:rsidR="00D56243" w:rsidRDefault="00D56243" w:rsidP="005E2546">
      <w:pPr>
        <w:pStyle w:val="ANormal"/>
        <w:rPr>
          <w:lang w:val="sv-FI"/>
        </w:rPr>
      </w:pPr>
    </w:p>
    <w:p w14:paraId="1A440E53" w14:textId="305DCFF9" w:rsidR="00BA21FC" w:rsidRPr="00BA21FC" w:rsidRDefault="00422550" w:rsidP="00081C66">
      <w:pPr>
        <w:pStyle w:val="LagParagraf"/>
        <w:rPr>
          <w:lang w:val="sv-FI"/>
        </w:rPr>
      </w:pPr>
      <w:r>
        <w:rPr>
          <w:lang w:val="sv-FI"/>
        </w:rPr>
        <w:t>6</w:t>
      </w:r>
      <w:r w:rsidR="000C71DD">
        <w:rPr>
          <w:lang w:val="sv-FI"/>
        </w:rPr>
        <w:t> §</w:t>
      </w:r>
    </w:p>
    <w:p w14:paraId="3FE6471E" w14:textId="22A903FA" w:rsidR="00BA21FC" w:rsidRPr="00BA21FC" w:rsidRDefault="00BA21FC" w:rsidP="00081C66">
      <w:pPr>
        <w:pStyle w:val="LagPararubrik"/>
        <w:rPr>
          <w:lang w:val="sv-FI"/>
        </w:rPr>
      </w:pPr>
      <w:r w:rsidRPr="00BA21FC">
        <w:rPr>
          <w:lang w:val="sv-FI"/>
        </w:rPr>
        <w:t>Oproportionell börda</w:t>
      </w:r>
    </w:p>
    <w:p w14:paraId="24C3FBE4" w14:textId="18789BC5" w:rsidR="00055FFF" w:rsidRPr="00BA21FC" w:rsidRDefault="00BA21FC" w:rsidP="00BA21FC">
      <w:pPr>
        <w:pStyle w:val="ANormal"/>
        <w:rPr>
          <w:lang w:val="sv-FI"/>
        </w:rPr>
      </w:pPr>
      <w:r w:rsidRPr="00BA21FC">
        <w:rPr>
          <w:lang w:val="sv-FI"/>
        </w:rPr>
        <w:tab/>
      </w:r>
      <w:r w:rsidR="007E41C9">
        <w:rPr>
          <w:lang w:val="sv-FI"/>
        </w:rPr>
        <w:t>En m</w:t>
      </w:r>
      <w:r w:rsidRPr="00BA21FC">
        <w:rPr>
          <w:lang w:val="sv-FI"/>
        </w:rPr>
        <w:t>yndighet kan avvika från tillgänglighetskraven i 5</w:t>
      </w:r>
      <w:r w:rsidR="000C71DD">
        <w:rPr>
          <w:lang w:val="sv-FI"/>
        </w:rPr>
        <w:t> §</w:t>
      </w:r>
      <w:r w:rsidRPr="00BA21FC">
        <w:rPr>
          <w:lang w:val="sv-FI"/>
        </w:rPr>
        <w:t xml:space="preserve"> om </w:t>
      </w:r>
      <w:r w:rsidR="00055FFF">
        <w:rPr>
          <w:lang w:val="sv-FI"/>
        </w:rPr>
        <w:t>myndi</w:t>
      </w:r>
      <w:r w:rsidR="00055FFF">
        <w:rPr>
          <w:lang w:val="sv-FI"/>
        </w:rPr>
        <w:t>g</w:t>
      </w:r>
      <w:r w:rsidR="00055FFF">
        <w:rPr>
          <w:lang w:val="sv-FI"/>
        </w:rPr>
        <w:t xml:space="preserve">heten med stöd av en förhandsbedömning kan visa att </w:t>
      </w:r>
      <w:r w:rsidRPr="00BA21FC">
        <w:rPr>
          <w:lang w:val="sv-FI"/>
        </w:rPr>
        <w:t>iakttagandet av kr</w:t>
      </w:r>
      <w:r w:rsidRPr="00BA21FC">
        <w:rPr>
          <w:lang w:val="sv-FI"/>
        </w:rPr>
        <w:t>a</w:t>
      </w:r>
      <w:r w:rsidRPr="00BA21FC">
        <w:rPr>
          <w:lang w:val="sv-FI"/>
        </w:rPr>
        <w:t>ven skulle lägga en oproportionell börda på myndigheten</w:t>
      </w:r>
      <w:r w:rsidR="00055FFF">
        <w:rPr>
          <w:lang w:val="sv-FI"/>
        </w:rPr>
        <w:t>.</w:t>
      </w:r>
    </w:p>
    <w:p w14:paraId="27C51D9B" w14:textId="7E67AE1C" w:rsidR="00BA21FC" w:rsidRPr="00BA21FC" w:rsidRDefault="00BA21FC" w:rsidP="00BA21FC">
      <w:pPr>
        <w:pStyle w:val="ANormal"/>
        <w:rPr>
          <w:lang w:val="sv-FI"/>
        </w:rPr>
      </w:pPr>
      <w:r w:rsidRPr="00BA21FC">
        <w:rPr>
          <w:lang w:val="sv-FI"/>
        </w:rPr>
        <w:tab/>
        <w:t xml:space="preserve">Vid bedömningen av om en anpassning </w:t>
      </w:r>
      <w:r w:rsidR="00AC4779">
        <w:rPr>
          <w:lang w:val="sv-FI"/>
        </w:rPr>
        <w:t xml:space="preserve">inte </w:t>
      </w:r>
      <w:r w:rsidRPr="00BA21FC">
        <w:rPr>
          <w:lang w:val="sv-FI"/>
        </w:rPr>
        <w:t>är proportionell ska särskilt beaktas</w:t>
      </w:r>
    </w:p>
    <w:p w14:paraId="500D883E" w14:textId="6A8F5AF6" w:rsidR="00BA21FC" w:rsidRPr="00BA21FC" w:rsidRDefault="00BA21FC" w:rsidP="00BA21FC">
      <w:pPr>
        <w:pStyle w:val="ANormal"/>
        <w:rPr>
          <w:lang w:val="sv-FI"/>
        </w:rPr>
      </w:pPr>
      <w:r w:rsidRPr="00BA21FC">
        <w:rPr>
          <w:lang w:val="sv-FI"/>
        </w:rPr>
        <w:tab/>
        <w:t>1) det behov som personer med funktionsnedsättning har av att använda webbplatsen eller den mobila applikationen i fråga,</w:t>
      </w:r>
    </w:p>
    <w:p w14:paraId="32309EF2" w14:textId="10321B03" w:rsidR="00BA21FC" w:rsidRPr="00BA21FC" w:rsidRDefault="00BA21FC" w:rsidP="00BA21FC">
      <w:pPr>
        <w:pStyle w:val="ANormal"/>
        <w:rPr>
          <w:lang w:val="sv-FI"/>
        </w:rPr>
      </w:pPr>
      <w:r w:rsidRPr="00BA21FC">
        <w:rPr>
          <w:lang w:val="sv-FI"/>
        </w:rPr>
        <w:tab/>
        <w:t xml:space="preserve">2) myndighetens </w:t>
      </w:r>
      <w:r w:rsidR="00022CC3">
        <w:rPr>
          <w:lang w:val="sv-FI"/>
        </w:rPr>
        <w:t>s</w:t>
      </w:r>
      <w:r w:rsidRPr="00BA21FC">
        <w:rPr>
          <w:lang w:val="sv-FI"/>
        </w:rPr>
        <w:t>torlek och ekonomiska ställning, samt</w:t>
      </w:r>
    </w:p>
    <w:p w14:paraId="2663E366" w14:textId="490A5381" w:rsidR="00BA21FC" w:rsidRDefault="00BA21FC" w:rsidP="00BA21FC">
      <w:pPr>
        <w:pStyle w:val="ANormal"/>
        <w:rPr>
          <w:lang w:val="sv-FI"/>
        </w:rPr>
      </w:pPr>
      <w:r w:rsidRPr="00BA21FC">
        <w:rPr>
          <w:lang w:val="sv-FI"/>
        </w:rPr>
        <w:tab/>
        <w:t>3) verksamhetens art och omfattning.</w:t>
      </w:r>
    </w:p>
    <w:p w14:paraId="766A7BD6" w14:textId="4BC9C4DC" w:rsidR="00F721B5" w:rsidRDefault="00F721B5" w:rsidP="00F721B5">
      <w:pPr>
        <w:pStyle w:val="ANormal"/>
        <w:rPr>
          <w:lang w:val="sv-FI"/>
        </w:rPr>
      </w:pPr>
    </w:p>
    <w:p w14:paraId="795E8DBE" w14:textId="26BEFFDB" w:rsidR="001C53D4" w:rsidRPr="001C53D4" w:rsidRDefault="001C53D4" w:rsidP="00081C66">
      <w:pPr>
        <w:pStyle w:val="LagParagraf"/>
      </w:pPr>
      <w:r w:rsidRPr="001C53D4">
        <w:lastRenderedPageBreak/>
        <w:t>7</w:t>
      </w:r>
      <w:r w:rsidR="000C71DD">
        <w:t> §</w:t>
      </w:r>
    </w:p>
    <w:p w14:paraId="3B70B765" w14:textId="77777777" w:rsidR="001C53D4" w:rsidRPr="001C53D4" w:rsidRDefault="001C53D4" w:rsidP="00081C66">
      <w:pPr>
        <w:pStyle w:val="LagPararubrik"/>
      </w:pPr>
      <w:r w:rsidRPr="001C53D4">
        <w:t>Tillgänglighetsutlåtande</w:t>
      </w:r>
    </w:p>
    <w:p w14:paraId="018953BF" w14:textId="18A173B3" w:rsidR="00B9476C" w:rsidRDefault="00B9476C" w:rsidP="00B9476C">
      <w:pPr>
        <w:pStyle w:val="ANormal"/>
      </w:pPr>
      <w:r>
        <w:tab/>
        <w:t>Varje myndighet ska på den relevanta webbplatsen eller i anslutning till den mobila applikationen tillhandahålla ett tillgänglighetsutlåtande, som åtminstone ska innehålla</w:t>
      </w:r>
    </w:p>
    <w:p w14:paraId="0C5E74C5" w14:textId="006C78A7" w:rsidR="00B9476C" w:rsidRDefault="00B9476C" w:rsidP="00B9476C">
      <w:pPr>
        <w:pStyle w:val="ANormal"/>
      </w:pPr>
      <w:r>
        <w:tab/>
        <w:t>1) en redogörelse för vilka delar av innehållet på webbplatsen och den mobila applikationen som inte uppfyller tillgänglighetskraven samt skälen till avvikelser från dessa krav,</w:t>
      </w:r>
    </w:p>
    <w:p w14:paraId="5C5D5B22" w14:textId="70DCEFCE" w:rsidR="007377C1" w:rsidRDefault="007377C1" w:rsidP="00B9476C">
      <w:pPr>
        <w:pStyle w:val="ANormal"/>
      </w:pPr>
      <w:r>
        <w:tab/>
        <w:t>2</w:t>
      </w:r>
      <w:r w:rsidRPr="007377C1">
        <w:t>) anvisningar för hur användare av webbplatsen och den mobila appl</w:t>
      </w:r>
      <w:r w:rsidRPr="007377C1">
        <w:t>i</w:t>
      </w:r>
      <w:r w:rsidRPr="007377C1">
        <w:t>kationen kan elektroniskt lämna in till myndigheten i 5</w:t>
      </w:r>
      <w:r w:rsidR="000C71DD">
        <w:t> §</w:t>
      </w:r>
      <w:r w:rsidRPr="007377C1">
        <w:t xml:space="preserve"> 3</w:t>
      </w:r>
      <w:r w:rsidR="000C71DD">
        <w:t> mom.</w:t>
      </w:r>
      <w:r w:rsidRPr="007377C1">
        <w:t xml:space="preserve"> avsett meddelande om oförenlighet med tillgänglighetskraven,</w:t>
      </w:r>
    </w:p>
    <w:p w14:paraId="3E294F55" w14:textId="05E693B2" w:rsidR="00B9476C" w:rsidRDefault="00B9476C" w:rsidP="00B9476C">
      <w:pPr>
        <w:pStyle w:val="ANormal"/>
      </w:pPr>
      <w:r>
        <w:tab/>
      </w:r>
      <w:r w:rsidR="007377C1">
        <w:t>3</w:t>
      </w:r>
      <w:r>
        <w:t>) anvisningar för att på ett alternativt sätt få den från tillgänglighet</w:t>
      </w:r>
      <w:r>
        <w:t>s</w:t>
      </w:r>
      <w:r>
        <w:t>kraven uteslutna informationen samt information om möjlighet att till my</w:t>
      </w:r>
      <w:r>
        <w:t>n</w:t>
      </w:r>
      <w:r>
        <w:t>digheten lämna in elektroniskt i 8</w:t>
      </w:r>
      <w:r w:rsidR="000C71DD">
        <w:t> §</w:t>
      </w:r>
      <w:r>
        <w:t xml:space="preserve"> 2</w:t>
      </w:r>
      <w:r w:rsidR="000C71DD">
        <w:t> mom.</w:t>
      </w:r>
      <w:r>
        <w:t xml:space="preserve"> avsedd begäran om att få inn</w:t>
      </w:r>
      <w:r>
        <w:t>e</w:t>
      </w:r>
      <w:r>
        <w:t>hållet i en tillgänglig form,</w:t>
      </w:r>
      <w:r w:rsidR="00013F02">
        <w:t xml:space="preserve"> samt</w:t>
      </w:r>
    </w:p>
    <w:p w14:paraId="651C6906" w14:textId="7D7C3026" w:rsidR="001C53D4" w:rsidRPr="001C53D4" w:rsidRDefault="00B9476C" w:rsidP="001C53D4">
      <w:pPr>
        <w:pStyle w:val="ANormal"/>
      </w:pPr>
      <w:r>
        <w:tab/>
        <w:t>4) en länk till landskapsregeringens webbplats där klagomål enligt 9</w:t>
      </w:r>
      <w:r w:rsidR="000C71DD">
        <w:t> §</w:t>
      </w:r>
      <w:r>
        <w:t xml:space="preserve"> kan anföras.</w:t>
      </w:r>
    </w:p>
    <w:p w14:paraId="0DF5FAFA" w14:textId="42FFDE0C" w:rsidR="001C53D4" w:rsidRPr="001C53D4" w:rsidRDefault="001C53D4" w:rsidP="001C53D4">
      <w:pPr>
        <w:pStyle w:val="ANormal"/>
      </w:pPr>
      <w:r w:rsidRPr="001C53D4">
        <w:tab/>
        <w:t>Myndigheterna ska tillhandahålla tillgänglighetsutlåtandena på det sätt som föreskrivs i av kommissionen antagen genomförandeakt som avses i artikel 7.2 i tillgänglighetsdirektivet.</w:t>
      </w:r>
    </w:p>
    <w:p w14:paraId="1BD56119" w14:textId="1C95BE65" w:rsidR="007938D7" w:rsidRDefault="007938D7" w:rsidP="007938D7">
      <w:pPr>
        <w:pStyle w:val="ANormal"/>
      </w:pPr>
    </w:p>
    <w:p w14:paraId="356F9418" w14:textId="3E0FEEA5" w:rsidR="00296684" w:rsidRPr="00296684" w:rsidRDefault="00296684" w:rsidP="00081C66">
      <w:pPr>
        <w:pStyle w:val="LagParagraf"/>
      </w:pPr>
      <w:r w:rsidRPr="00296684">
        <w:t>8</w:t>
      </w:r>
      <w:r w:rsidR="000C71DD">
        <w:t> §</w:t>
      </w:r>
    </w:p>
    <w:p w14:paraId="149137FC" w14:textId="77777777" w:rsidR="00296684" w:rsidRPr="00296684" w:rsidRDefault="00296684" w:rsidP="00081C66">
      <w:pPr>
        <w:pStyle w:val="LagPararubrik"/>
      </w:pPr>
      <w:r w:rsidRPr="00296684">
        <w:t>Rätt att få innehåll i en tillgänglig form</w:t>
      </w:r>
    </w:p>
    <w:p w14:paraId="221D7B2B" w14:textId="6CF653EA" w:rsidR="00296684" w:rsidRPr="00296684" w:rsidRDefault="00296684" w:rsidP="00296684">
      <w:pPr>
        <w:pStyle w:val="ANormal"/>
      </w:pPr>
      <w:r w:rsidRPr="00296684">
        <w:tab/>
        <w:t>Om innehåll som finns på myndighetens webbplats eller mobila appl</w:t>
      </w:r>
      <w:r w:rsidRPr="00296684">
        <w:t>i</w:t>
      </w:r>
      <w:r w:rsidRPr="00296684">
        <w:t>kation har uteslutits från tillgänglighetskraven i denna lag har en enskild person rätt att i specifika fall få detta innehåll i en form som uppfyller til</w:t>
      </w:r>
      <w:r w:rsidRPr="00296684">
        <w:t>l</w:t>
      </w:r>
      <w:r w:rsidRPr="00296684">
        <w:t>gänglighetskraven eller på något annat sätt om personens rätt, fördel eller skyldighet enligt lag kan direkt påverkas av innehållet.</w:t>
      </w:r>
    </w:p>
    <w:p w14:paraId="600AD212" w14:textId="5C4A0991" w:rsidR="00296684" w:rsidRPr="00296684" w:rsidRDefault="00A32242" w:rsidP="00296684">
      <w:pPr>
        <w:pStyle w:val="ANormal"/>
      </w:pPr>
      <w:r>
        <w:tab/>
      </w:r>
      <w:r w:rsidR="00A30F46">
        <w:t>Var och en har rätt att elektroniskt lämna in en b</w:t>
      </w:r>
      <w:r>
        <w:t>egäran om att få det i</w:t>
      </w:r>
      <w:r>
        <w:t>n</w:t>
      </w:r>
      <w:r>
        <w:t>nehåll som avses i 1</w:t>
      </w:r>
      <w:r w:rsidR="000C71DD">
        <w:t> mom.</w:t>
      </w:r>
      <w:r w:rsidR="00A30F46">
        <w:t xml:space="preserve"> och berörd myndighet ska lämna ett svar senast fyra veckor efter att begäran lämnades in. </w:t>
      </w:r>
      <w:r w:rsidR="00296684" w:rsidRPr="00296684">
        <w:t>Om in</w:t>
      </w:r>
      <w:r w:rsidR="00A30F46">
        <w:t xml:space="preserve">nehållet </w:t>
      </w:r>
      <w:r w:rsidR="00296684" w:rsidRPr="00296684">
        <w:t xml:space="preserve">inte lämnas till personen i en tillgänglig form ska myndigheten </w:t>
      </w:r>
      <w:r w:rsidR="00A30F46">
        <w:t xml:space="preserve">inom samma tid </w:t>
      </w:r>
      <w:r w:rsidR="00296684" w:rsidRPr="00296684">
        <w:t>fatta ett beslut som innehåller en motivering till att begäran har avslagits.</w:t>
      </w:r>
    </w:p>
    <w:p w14:paraId="243E3878" w14:textId="79FE0BEA" w:rsidR="00BB299A" w:rsidRDefault="007938D7" w:rsidP="005E2546">
      <w:pPr>
        <w:pStyle w:val="ANormal"/>
      </w:pPr>
      <w:r w:rsidRPr="007938D7">
        <w:t xml:space="preserve"> </w:t>
      </w:r>
    </w:p>
    <w:p w14:paraId="3BCD7103" w14:textId="62166D3D" w:rsidR="00DF4764" w:rsidRDefault="00DF4764" w:rsidP="00081C66">
      <w:pPr>
        <w:pStyle w:val="LagKapitel"/>
      </w:pPr>
      <w:r w:rsidRPr="00DF4764">
        <w:t>3</w:t>
      </w:r>
      <w:r w:rsidR="000C71DD">
        <w:t> kap.</w:t>
      </w:r>
      <w:r w:rsidR="00081C66">
        <w:br/>
      </w:r>
      <w:r w:rsidRPr="00DF4764">
        <w:t>Tillsyn</w:t>
      </w:r>
    </w:p>
    <w:p w14:paraId="6687138E" w14:textId="670617DC" w:rsidR="00DF4764" w:rsidRDefault="00DF4764" w:rsidP="005E2546">
      <w:pPr>
        <w:pStyle w:val="ANormal"/>
      </w:pPr>
    </w:p>
    <w:p w14:paraId="1A34BB7B" w14:textId="1AE3AEF1" w:rsidR="00DF4764" w:rsidRDefault="005352B4" w:rsidP="00081C66">
      <w:pPr>
        <w:pStyle w:val="LagParagraf"/>
      </w:pPr>
      <w:r>
        <w:t>9</w:t>
      </w:r>
      <w:r w:rsidR="000C71DD">
        <w:t> §</w:t>
      </w:r>
    </w:p>
    <w:p w14:paraId="45201793" w14:textId="6844B55A" w:rsidR="00DF4764" w:rsidRPr="00DF4764" w:rsidRDefault="00DF4764" w:rsidP="00081C66">
      <w:pPr>
        <w:pStyle w:val="LagPararubrik"/>
      </w:pPr>
      <w:r w:rsidRPr="00DF4764">
        <w:t>Tillsynsmyndighet</w:t>
      </w:r>
    </w:p>
    <w:p w14:paraId="5666A5D7" w14:textId="020D4B8B" w:rsidR="000F1202" w:rsidRDefault="00AD696E" w:rsidP="005E2546">
      <w:pPr>
        <w:pStyle w:val="ANormal"/>
      </w:pPr>
      <w:r>
        <w:tab/>
        <w:t>Ålands landskapsregering fungerar som t</w:t>
      </w:r>
      <w:r w:rsidRPr="00AD696E">
        <w:t>illsynsmyndighet enligt denna lag</w:t>
      </w:r>
      <w:r>
        <w:t xml:space="preserve">. </w:t>
      </w:r>
      <w:r w:rsidR="000F1202" w:rsidRPr="000F1202">
        <w:t xml:space="preserve">Var och en kan anföra klagomål hos </w:t>
      </w:r>
      <w:r w:rsidR="000F1202">
        <w:t>landskapsregeringen</w:t>
      </w:r>
      <w:r w:rsidR="000F1202" w:rsidRPr="000F1202">
        <w:t xml:space="preserve"> om att </w:t>
      </w:r>
      <w:r w:rsidR="007A63BD">
        <w:t xml:space="preserve">en </w:t>
      </w:r>
      <w:r w:rsidR="000F1202" w:rsidRPr="000F1202">
        <w:t>myndighet</w:t>
      </w:r>
      <w:r w:rsidR="007A63BD">
        <w:t>s</w:t>
      </w:r>
      <w:r w:rsidR="000F1202" w:rsidRPr="000F1202">
        <w:t xml:space="preserve"> webbplats eller mobil</w:t>
      </w:r>
      <w:r w:rsidR="007A63BD">
        <w:t xml:space="preserve">a </w:t>
      </w:r>
      <w:r w:rsidR="000F1202" w:rsidRPr="000F1202">
        <w:t>applikation inte uppfyller kraven i denna lag.</w:t>
      </w:r>
    </w:p>
    <w:p w14:paraId="4D844FEF" w14:textId="44DD9D1D" w:rsidR="00042B67" w:rsidRDefault="00AC4779" w:rsidP="00042B67">
      <w:pPr>
        <w:pStyle w:val="ANormal"/>
      </w:pPr>
      <w:r>
        <w:tab/>
        <w:t>Landskapsregeringen ska i brådskande ordning behandla ett klagomål</w:t>
      </w:r>
      <w:r w:rsidR="006B57CB">
        <w:t xml:space="preserve"> som gäller</w:t>
      </w:r>
      <w:r w:rsidR="00042B67">
        <w:t xml:space="preserve"> </w:t>
      </w:r>
      <w:r w:rsidR="006B57CB">
        <w:t xml:space="preserve">en </w:t>
      </w:r>
      <w:r>
        <w:t>myndighet</w:t>
      </w:r>
      <w:r w:rsidR="006B57CB">
        <w:t>s behandling av en begäran om att få innehåll i en tillgänglig form enligt 8</w:t>
      </w:r>
      <w:r w:rsidR="000C71DD">
        <w:t> §</w:t>
      </w:r>
      <w:r w:rsidR="00042B67">
        <w:t>.</w:t>
      </w:r>
    </w:p>
    <w:p w14:paraId="253E362D" w14:textId="77777777" w:rsidR="000F1202" w:rsidRDefault="000F1202" w:rsidP="005E2546">
      <w:pPr>
        <w:pStyle w:val="ANormal"/>
        <w:rPr>
          <w:lang w:val="sv-FI"/>
        </w:rPr>
      </w:pPr>
    </w:p>
    <w:p w14:paraId="642C9CC1" w14:textId="51BDABE1" w:rsidR="002E444A" w:rsidRDefault="002E444A" w:rsidP="00081C66">
      <w:pPr>
        <w:pStyle w:val="LagParagraf"/>
      </w:pPr>
      <w:r>
        <w:t>1</w:t>
      </w:r>
      <w:r w:rsidR="005352B4">
        <w:t>0</w:t>
      </w:r>
      <w:r w:rsidR="000C71DD">
        <w:t> §</w:t>
      </w:r>
    </w:p>
    <w:p w14:paraId="0F739FED" w14:textId="7F712FC8" w:rsidR="00BA7DE7" w:rsidRPr="002E444A" w:rsidRDefault="002E444A" w:rsidP="00081C66">
      <w:pPr>
        <w:pStyle w:val="LagPararubrik"/>
      </w:pPr>
      <w:r w:rsidRPr="002A62EF">
        <w:t>Tillsynsmyndighetens uppgifter</w:t>
      </w:r>
    </w:p>
    <w:p w14:paraId="2F33EC95" w14:textId="4861CD1F" w:rsidR="00AD696E" w:rsidRDefault="00AD696E" w:rsidP="00AD696E">
      <w:pPr>
        <w:pStyle w:val="ANormal"/>
      </w:pPr>
      <w:r>
        <w:tab/>
      </w:r>
      <w:r w:rsidR="000F1202">
        <w:t>Landskapsregeringen</w:t>
      </w:r>
      <w:r>
        <w:t xml:space="preserve"> ska</w:t>
      </w:r>
    </w:p>
    <w:p w14:paraId="7607E911" w14:textId="34431081" w:rsidR="00AD696E" w:rsidRDefault="00AD696E" w:rsidP="00AD696E">
      <w:pPr>
        <w:pStyle w:val="ANormal"/>
      </w:pPr>
      <w:r>
        <w:tab/>
        <w:t xml:space="preserve">1) ge allmänna anvisningar och rådgivning om </w:t>
      </w:r>
      <w:r w:rsidR="00E9018A">
        <w:t>tillämpningen av denna lag,</w:t>
      </w:r>
    </w:p>
    <w:p w14:paraId="79197881" w14:textId="3E22DC9C" w:rsidR="00E9018A" w:rsidRDefault="00E9018A" w:rsidP="00E9018A">
      <w:pPr>
        <w:pStyle w:val="ANormal"/>
      </w:pPr>
      <w:r>
        <w:tab/>
        <w:t>2) övervaka och kontrollera att tillgänglighetskraven iakttas på det sätt som anges i de genomförandeakter som antagits med stöd av artikel</w:t>
      </w:r>
      <w:r w:rsidR="001100C2">
        <w:t xml:space="preserve"> </w:t>
      </w:r>
      <w:r>
        <w:t>8.2 i tillgänglighetsdirektivet</w:t>
      </w:r>
      <w:r w:rsidR="001100C2">
        <w:t>,</w:t>
      </w:r>
      <w:r>
        <w:t xml:space="preserve"> </w:t>
      </w:r>
      <w:r w:rsidR="001100C2">
        <w:t>samt</w:t>
      </w:r>
    </w:p>
    <w:p w14:paraId="39DA517C" w14:textId="0BDD00A7" w:rsidR="00AD696E" w:rsidRDefault="00AD696E" w:rsidP="00AD696E">
      <w:pPr>
        <w:pStyle w:val="ANormal"/>
      </w:pPr>
      <w:r>
        <w:tab/>
      </w:r>
      <w:r w:rsidR="00E9018A">
        <w:t>3</w:t>
      </w:r>
      <w:r>
        <w:t xml:space="preserve">) lämna </w:t>
      </w:r>
      <w:r w:rsidR="009F4D47">
        <w:t xml:space="preserve">till </w:t>
      </w:r>
      <w:r>
        <w:t xml:space="preserve">Europeiska kommissionen </w:t>
      </w:r>
      <w:r w:rsidR="001100C2">
        <w:t xml:space="preserve">de </w:t>
      </w:r>
      <w:r>
        <w:t xml:space="preserve">rapporter </w:t>
      </w:r>
      <w:r w:rsidR="0007190A">
        <w:t>som avses i artikel 8.4 i tillgänglighetsdirektivet.</w:t>
      </w:r>
    </w:p>
    <w:p w14:paraId="235D6C6A" w14:textId="77777777" w:rsidR="009C50C9" w:rsidRDefault="009C50C9" w:rsidP="00AD696E">
      <w:pPr>
        <w:pStyle w:val="ANormal"/>
      </w:pPr>
    </w:p>
    <w:p w14:paraId="609040C0" w14:textId="30A3B995" w:rsidR="002E444A" w:rsidRDefault="002E444A" w:rsidP="00081C66">
      <w:pPr>
        <w:pStyle w:val="LagParagraf"/>
      </w:pPr>
      <w:r>
        <w:t>1</w:t>
      </w:r>
      <w:r w:rsidR="00E9018A">
        <w:t>1</w:t>
      </w:r>
      <w:r w:rsidR="000C71DD">
        <w:t> §</w:t>
      </w:r>
    </w:p>
    <w:p w14:paraId="374D364E" w14:textId="1B54B756" w:rsidR="002E444A" w:rsidRPr="00E34D5A" w:rsidRDefault="002E444A" w:rsidP="00081C66">
      <w:pPr>
        <w:pStyle w:val="LagPararubrik"/>
      </w:pPr>
      <w:r w:rsidRPr="00E34D5A">
        <w:t>Tillsynsmyndighetens befogenheter</w:t>
      </w:r>
    </w:p>
    <w:p w14:paraId="2690E4C2" w14:textId="386ECDB3" w:rsidR="00E9018A" w:rsidRDefault="0007190A" w:rsidP="005A4998">
      <w:pPr>
        <w:pStyle w:val="ANormal"/>
      </w:pPr>
      <w:r>
        <w:tab/>
      </w:r>
      <w:r w:rsidR="000F1202">
        <w:t>Landskapsregeringen</w:t>
      </w:r>
      <w:r w:rsidR="00AD696E">
        <w:t xml:space="preserve"> kan</w:t>
      </w:r>
    </w:p>
    <w:p w14:paraId="1E9BB1A1" w14:textId="45D720A1" w:rsidR="00E9018A" w:rsidRDefault="00E9018A" w:rsidP="005A4998">
      <w:pPr>
        <w:pStyle w:val="ANormal"/>
      </w:pPr>
      <w:r>
        <w:tab/>
        <w:t xml:space="preserve">1) </w:t>
      </w:r>
      <w:r w:rsidR="00AD696E">
        <w:t xml:space="preserve">vid utförandet av uppgifter enligt </w:t>
      </w:r>
      <w:r w:rsidR="000A1ADF">
        <w:t>1</w:t>
      </w:r>
      <w:r>
        <w:t>0</w:t>
      </w:r>
      <w:r w:rsidR="000C71DD">
        <w:t> §</w:t>
      </w:r>
      <w:r w:rsidR="00AD696E">
        <w:t xml:space="preserve"> </w:t>
      </w:r>
      <w:r w:rsidR="002E444A">
        <w:t>2</w:t>
      </w:r>
      <w:r w:rsidR="002F030A">
        <w:t> punkt</w:t>
      </w:r>
      <w:r w:rsidR="00AD696E">
        <w:t xml:space="preserve">en ålägga </w:t>
      </w:r>
      <w:r w:rsidR="002E444A">
        <w:t>myndighet</w:t>
      </w:r>
      <w:r>
        <w:t>en</w:t>
      </w:r>
      <w:r w:rsidR="002E444A">
        <w:t xml:space="preserve"> </w:t>
      </w:r>
      <w:r w:rsidR="00AD696E">
        <w:t xml:space="preserve">att inom skälig tid se till att </w:t>
      </w:r>
      <w:r>
        <w:t xml:space="preserve">en </w:t>
      </w:r>
      <w:r w:rsidR="002E444A">
        <w:t xml:space="preserve">webbplats och mobil applikation </w:t>
      </w:r>
      <w:r w:rsidR="00AD696E">
        <w:t>uppfyller tillgänglighetskraven</w:t>
      </w:r>
      <w:r>
        <w:t>,</w:t>
      </w:r>
    </w:p>
    <w:p w14:paraId="12225557" w14:textId="7D3D9968" w:rsidR="00AD696E" w:rsidRDefault="00E9018A" w:rsidP="001100C2">
      <w:pPr>
        <w:pStyle w:val="ANormal"/>
      </w:pPr>
      <w:r>
        <w:tab/>
        <w:t xml:space="preserve">2) </w:t>
      </w:r>
      <w:r w:rsidR="00AD696E">
        <w:t xml:space="preserve">ålägga </w:t>
      </w:r>
      <w:r w:rsidR="002E444A">
        <w:t>myndighete</w:t>
      </w:r>
      <w:r w:rsidR="001100C2">
        <w:t>n</w:t>
      </w:r>
      <w:r w:rsidR="002E444A">
        <w:t xml:space="preserve"> </w:t>
      </w:r>
      <w:r w:rsidR="00AD696E">
        <w:t xml:space="preserve">att utarbeta ett tillgänglighetsutlåtande eller att se till att tillgänglighetsutlåtandet uppfyller kraven i </w:t>
      </w:r>
      <w:r w:rsidR="00157EAE">
        <w:t>7</w:t>
      </w:r>
      <w:r w:rsidR="000C71DD">
        <w:t> §</w:t>
      </w:r>
      <w:r w:rsidR="001100C2">
        <w:t>, samt</w:t>
      </w:r>
    </w:p>
    <w:p w14:paraId="4C97FDD2" w14:textId="2AFEC089" w:rsidR="001100C2" w:rsidRDefault="001100C2" w:rsidP="001100C2">
      <w:pPr>
        <w:pStyle w:val="ANormal"/>
      </w:pPr>
      <w:r>
        <w:tab/>
        <w:t xml:space="preserve">3) ålägga myndigheten att lämna innehåll </w:t>
      </w:r>
      <w:r w:rsidRPr="001100C2">
        <w:t>i en form som uppfyller til</w:t>
      </w:r>
      <w:r w:rsidRPr="001100C2">
        <w:t>l</w:t>
      </w:r>
      <w:r w:rsidRPr="001100C2">
        <w:t>gänglighetskraven eller på något annat sätt</w:t>
      </w:r>
      <w:r w:rsidR="00914898">
        <w:t xml:space="preserve"> åt en person som är berättigad till detta enligt </w:t>
      </w:r>
      <w:r w:rsidR="009D3A01">
        <w:t>8</w:t>
      </w:r>
      <w:r w:rsidR="000C71DD">
        <w:t> §</w:t>
      </w:r>
      <w:r>
        <w:t>.</w:t>
      </w:r>
    </w:p>
    <w:p w14:paraId="237CB323" w14:textId="77777777" w:rsidR="0051336B" w:rsidRPr="00992FEB" w:rsidRDefault="0051336B" w:rsidP="005E2546">
      <w:pPr>
        <w:pStyle w:val="ANormal"/>
      </w:pPr>
    </w:p>
    <w:p w14:paraId="4AEC35E9" w14:textId="7C338019" w:rsidR="002A62EF" w:rsidRDefault="002A62EF" w:rsidP="00081C66">
      <w:pPr>
        <w:pStyle w:val="LagParagraf"/>
      </w:pPr>
      <w:r w:rsidRPr="00992FEB">
        <w:t>1</w:t>
      </w:r>
      <w:r w:rsidR="006508B8">
        <w:t>2</w:t>
      </w:r>
      <w:r w:rsidR="000C71DD">
        <w:t> §</w:t>
      </w:r>
    </w:p>
    <w:p w14:paraId="37A75524" w14:textId="6E61B400" w:rsidR="002A62EF" w:rsidRPr="002A62EF" w:rsidRDefault="002A62EF" w:rsidP="00081C66">
      <w:pPr>
        <w:pStyle w:val="LagPararubrik"/>
      </w:pPr>
      <w:r w:rsidRPr="002A62EF">
        <w:t>Vite</w:t>
      </w:r>
    </w:p>
    <w:p w14:paraId="44BAC735" w14:textId="297C8769" w:rsidR="002A62EF" w:rsidRDefault="00DC7AB4" w:rsidP="005E2546">
      <w:pPr>
        <w:pStyle w:val="ANormal"/>
      </w:pPr>
      <w:r>
        <w:tab/>
      </w:r>
      <w:r w:rsidR="002A48F6">
        <w:t xml:space="preserve">Landskapsregeringen </w:t>
      </w:r>
      <w:r w:rsidRPr="00DC7AB4">
        <w:t xml:space="preserve">kan förena </w:t>
      </w:r>
      <w:r w:rsidR="00606DE2">
        <w:t>i 1</w:t>
      </w:r>
      <w:r w:rsidR="006508B8">
        <w:t>1</w:t>
      </w:r>
      <w:r w:rsidR="000C71DD">
        <w:t> §</w:t>
      </w:r>
      <w:r w:rsidR="00606DE2">
        <w:t xml:space="preserve"> avse</w:t>
      </w:r>
      <w:r w:rsidR="006508B8">
        <w:t>dda</w:t>
      </w:r>
      <w:r w:rsidR="00606DE2">
        <w:t xml:space="preserve"> åläggande</w:t>
      </w:r>
      <w:r w:rsidR="006508B8">
        <w:t>n</w:t>
      </w:r>
      <w:r w:rsidR="00606DE2">
        <w:t xml:space="preserve"> med vite. </w:t>
      </w:r>
      <w:r w:rsidRPr="00DC7AB4">
        <w:t>Närmare bestämmelser om vite finns i landskapslagen (2008:10) om ti</w:t>
      </w:r>
      <w:r w:rsidRPr="00DC7AB4">
        <w:t>l</w:t>
      </w:r>
      <w:r w:rsidRPr="00DC7AB4">
        <w:t>lämpning i landskapet Åland av viteslagen.</w:t>
      </w:r>
    </w:p>
    <w:p w14:paraId="4C9209CF" w14:textId="77777777" w:rsidR="002A62EF" w:rsidRDefault="002A62EF" w:rsidP="002A62EF">
      <w:pPr>
        <w:pStyle w:val="ANormal"/>
      </w:pPr>
    </w:p>
    <w:p w14:paraId="46C34F02" w14:textId="1B14D52A" w:rsidR="002A62EF" w:rsidRPr="002A62EF" w:rsidRDefault="002A62EF" w:rsidP="00081C66">
      <w:pPr>
        <w:pStyle w:val="LagKapitel"/>
      </w:pPr>
      <w:r w:rsidRPr="002A62EF">
        <w:t>4</w:t>
      </w:r>
      <w:r w:rsidR="000C71DD">
        <w:t> kap.</w:t>
      </w:r>
      <w:r w:rsidR="00081C66">
        <w:br/>
      </w:r>
      <w:r w:rsidRPr="002A62EF">
        <w:t>Särskilda bestämmelser</w:t>
      </w:r>
    </w:p>
    <w:p w14:paraId="0923B02D" w14:textId="392A6652" w:rsidR="0080297E" w:rsidRDefault="0080297E" w:rsidP="002A62EF">
      <w:pPr>
        <w:pStyle w:val="ANormal"/>
      </w:pPr>
    </w:p>
    <w:p w14:paraId="1B0ECDCF" w14:textId="43421AD9" w:rsidR="0080297E" w:rsidRDefault="0080297E" w:rsidP="00081C66">
      <w:pPr>
        <w:pStyle w:val="LagParagraf"/>
      </w:pPr>
      <w:r>
        <w:t>1</w:t>
      </w:r>
      <w:r w:rsidR="006508B8">
        <w:t>3</w:t>
      </w:r>
      <w:r w:rsidR="000C71DD">
        <w:t> §</w:t>
      </w:r>
    </w:p>
    <w:p w14:paraId="161CE7A8" w14:textId="6DEFC702" w:rsidR="00A3247D" w:rsidRPr="00A3247D" w:rsidRDefault="0080297E" w:rsidP="00081C66">
      <w:pPr>
        <w:pStyle w:val="LagPararubrik"/>
      </w:pPr>
      <w:r w:rsidRPr="00464EA2">
        <w:t>Ändringssökande</w:t>
      </w:r>
    </w:p>
    <w:p w14:paraId="028CC8C6" w14:textId="397D1ED8" w:rsidR="006E17C2" w:rsidRDefault="006A20AB" w:rsidP="00233A86">
      <w:pPr>
        <w:pStyle w:val="ANormal"/>
      </w:pPr>
      <w:bookmarkStart w:id="42" w:name="_Hlk515888151"/>
      <w:r>
        <w:tab/>
      </w:r>
      <w:r w:rsidRPr="006A20AB">
        <w:t>I beslut som har fattats med stöd av denna lag kan ändring sökas genom besvär i enlighet med bestämmelserna i 25</w:t>
      </w:r>
      <w:r w:rsidR="000C71DD">
        <w:t> §</w:t>
      </w:r>
      <w:r w:rsidRPr="006A20AB">
        <w:t xml:space="preserve"> i självstyrelselagen för Åland, om inte rätten till besvär är begränsad enligt lag.</w:t>
      </w:r>
    </w:p>
    <w:bookmarkEnd w:id="42"/>
    <w:p w14:paraId="1DACE01F" w14:textId="77777777" w:rsidR="00233A86" w:rsidRPr="00D62780" w:rsidRDefault="00233A86" w:rsidP="002A62EF">
      <w:pPr>
        <w:pStyle w:val="ANormal"/>
      </w:pPr>
    </w:p>
    <w:p w14:paraId="4DBAD658" w14:textId="54A03CE8" w:rsidR="002A62EF" w:rsidRDefault="002A62EF" w:rsidP="00081C66">
      <w:pPr>
        <w:pStyle w:val="LagParagraf"/>
      </w:pPr>
      <w:bookmarkStart w:id="43" w:name="_Hlk513636716"/>
      <w:r>
        <w:t>1</w:t>
      </w:r>
      <w:r w:rsidR="006508B8">
        <w:t>4</w:t>
      </w:r>
      <w:r w:rsidR="000C71DD">
        <w:t> §</w:t>
      </w:r>
    </w:p>
    <w:p w14:paraId="712F2143" w14:textId="13BDC6E9" w:rsidR="002A62EF" w:rsidRPr="002A62EF" w:rsidRDefault="002A62EF" w:rsidP="00081C66">
      <w:pPr>
        <w:pStyle w:val="LagPararubrik"/>
      </w:pPr>
      <w:r w:rsidRPr="002A62EF">
        <w:t>Ikraftträdande</w:t>
      </w:r>
    </w:p>
    <w:p w14:paraId="20950263" w14:textId="418B77EF" w:rsidR="005E2546" w:rsidRDefault="005E2546" w:rsidP="005E2546">
      <w:pPr>
        <w:pStyle w:val="ANormal"/>
      </w:pPr>
      <w:r>
        <w:tab/>
      </w:r>
      <w:r w:rsidRPr="00CB1E3E">
        <w:t>Denna lag träder i kraft den</w:t>
      </w:r>
    </w:p>
    <w:bookmarkEnd w:id="43"/>
    <w:p w14:paraId="0F895294" w14:textId="26FC8BC9" w:rsidR="005E2546" w:rsidRDefault="005E2546" w:rsidP="005E2546">
      <w:pPr>
        <w:pStyle w:val="ANormal"/>
      </w:pPr>
    </w:p>
    <w:p w14:paraId="3B005C76" w14:textId="523F134C" w:rsidR="002A62EF" w:rsidRPr="002A62EF" w:rsidRDefault="002A62EF" w:rsidP="00081C66">
      <w:pPr>
        <w:pStyle w:val="LagParagraf"/>
      </w:pPr>
      <w:r w:rsidRPr="002A62EF">
        <w:t>1</w:t>
      </w:r>
      <w:r w:rsidR="006508B8">
        <w:t>5</w:t>
      </w:r>
      <w:r w:rsidR="000C71DD">
        <w:t> §</w:t>
      </w:r>
    </w:p>
    <w:p w14:paraId="69437B82" w14:textId="17E7E63F" w:rsidR="005E2546" w:rsidRPr="002A62EF" w:rsidRDefault="002A62EF" w:rsidP="00081C66">
      <w:pPr>
        <w:pStyle w:val="LagPararubrik"/>
      </w:pPr>
      <w:r w:rsidRPr="002A62EF">
        <w:t>Övergångsbestämmelser</w:t>
      </w:r>
    </w:p>
    <w:p w14:paraId="0CB180CB" w14:textId="1E84E477" w:rsidR="00D50124" w:rsidRDefault="00D50124" w:rsidP="00D50124">
      <w:pPr>
        <w:pStyle w:val="ANormal"/>
        <w:rPr>
          <w:lang w:val="sv-FI"/>
        </w:rPr>
      </w:pPr>
      <w:r>
        <w:rPr>
          <w:lang w:val="sv-FI"/>
        </w:rPr>
        <w:tab/>
      </w:r>
      <w:r w:rsidRPr="00D50124">
        <w:rPr>
          <w:lang w:val="sv-FI"/>
        </w:rPr>
        <w:t>Bestämmelserna i denna lag tillämpas från och med den 23 september 2019 på webbplatser som har offentliggjorts efter lagens ikraftträdande.</w:t>
      </w:r>
    </w:p>
    <w:p w14:paraId="177C093F" w14:textId="10A6A3F2" w:rsidR="00D50124" w:rsidRPr="00D50124" w:rsidRDefault="00D50124" w:rsidP="00D50124">
      <w:pPr>
        <w:pStyle w:val="ANormal"/>
        <w:rPr>
          <w:lang w:val="sv-FI"/>
        </w:rPr>
      </w:pPr>
      <w:r>
        <w:rPr>
          <w:lang w:val="sv-FI"/>
        </w:rPr>
        <w:tab/>
      </w:r>
      <w:r w:rsidRPr="00D50124">
        <w:rPr>
          <w:lang w:val="sv-FI"/>
        </w:rPr>
        <w:t>Bestämmelserna i denna lag tillämpas från och med den 23 september 2020 på webbplatser som har offentliggjorts före lagens ikraftträdande.</w:t>
      </w:r>
    </w:p>
    <w:p w14:paraId="5ED3D315" w14:textId="6B3D7E7F" w:rsidR="00D56243" w:rsidRDefault="00D50124" w:rsidP="00D50124">
      <w:pPr>
        <w:pStyle w:val="ANormal"/>
        <w:rPr>
          <w:lang w:val="sv-FI"/>
        </w:rPr>
      </w:pPr>
      <w:r>
        <w:rPr>
          <w:lang w:val="sv-FI"/>
        </w:rPr>
        <w:tab/>
      </w:r>
      <w:r w:rsidRPr="00D50124">
        <w:rPr>
          <w:lang w:val="sv-FI"/>
        </w:rPr>
        <w:t>Bestämmelserna i denna lag tillämpas från och med den 23 juni 2021 på mobil</w:t>
      </w:r>
      <w:r w:rsidR="00C86BA1">
        <w:rPr>
          <w:lang w:val="sv-FI"/>
        </w:rPr>
        <w:t xml:space="preserve">a </w:t>
      </w:r>
      <w:r w:rsidRPr="00D50124">
        <w:rPr>
          <w:lang w:val="sv-FI"/>
        </w:rPr>
        <w:t>applikationer.</w:t>
      </w:r>
    </w:p>
    <w:p w14:paraId="7D92BD40" w14:textId="312AC31A" w:rsidR="003B2D08" w:rsidRDefault="003B2D08" w:rsidP="00191FED">
      <w:pPr>
        <w:pStyle w:val="ANormal"/>
        <w:rPr>
          <w:lang w:val="sv-FI"/>
        </w:rPr>
      </w:pPr>
      <w:r>
        <w:rPr>
          <w:lang w:val="sv-FI"/>
        </w:rPr>
        <w:tab/>
      </w:r>
      <w:bookmarkStart w:id="44" w:name="_Hlk513186579"/>
      <w:r w:rsidRPr="003B2D08">
        <w:rPr>
          <w:lang w:val="sv-FI"/>
        </w:rPr>
        <w:t xml:space="preserve">Bestämmelserna i denna lag tillämpas på </w:t>
      </w:r>
      <w:r w:rsidR="00301B37">
        <w:rPr>
          <w:lang w:val="sv-FI"/>
        </w:rPr>
        <w:t>f</w:t>
      </w:r>
      <w:r w:rsidR="00301B37" w:rsidRPr="00301B37">
        <w:rPr>
          <w:lang w:val="sv-FI"/>
        </w:rPr>
        <w:t>ilformat för dokument som offentliggjorts före den 23 september 2018</w:t>
      </w:r>
      <w:r w:rsidR="00301B37">
        <w:rPr>
          <w:lang w:val="sv-FI"/>
        </w:rPr>
        <w:t xml:space="preserve"> endast då </w:t>
      </w:r>
      <w:r w:rsidR="00301B37" w:rsidRPr="00301B37">
        <w:rPr>
          <w:lang w:val="sv-FI"/>
        </w:rPr>
        <w:t>innehåll</w:t>
      </w:r>
      <w:r w:rsidR="00301B37">
        <w:rPr>
          <w:lang w:val="sv-FI"/>
        </w:rPr>
        <w:t>et</w:t>
      </w:r>
      <w:r w:rsidR="00301B37" w:rsidRPr="00301B37">
        <w:rPr>
          <w:lang w:val="sv-FI"/>
        </w:rPr>
        <w:t xml:space="preserve"> </w:t>
      </w:r>
      <w:r w:rsidR="00C80AA4" w:rsidRPr="00C80AA4">
        <w:rPr>
          <w:lang w:val="sv-FI"/>
        </w:rPr>
        <w:t xml:space="preserve">behövs för skötseln </w:t>
      </w:r>
      <w:r w:rsidR="00C80AA4">
        <w:rPr>
          <w:lang w:val="sv-FI"/>
        </w:rPr>
        <w:t>i förhållande till enskild</w:t>
      </w:r>
      <w:r w:rsidR="00B109B1">
        <w:rPr>
          <w:lang w:val="sv-FI"/>
        </w:rPr>
        <w:t>a</w:t>
      </w:r>
      <w:r w:rsidR="00C80AA4">
        <w:rPr>
          <w:lang w:val="sv-FI"/>
        </w:rPr>
        <w:t xml:space="preserve"> </w:t>
      </w:r>
      <w:r w:rsidR="00C80AA4" w:rsidRPr="00C80AA4">
        <w:rPr>
          <w:lang w:val="sv-FI"/>
        </w:rPr>
        <w:t>av ett ännu inte avgjort ärende</w:t>
      </w:r>
      <w:r w:rsidR="00C80AA4">
        <w:rPr>
          <w:lang w:val="sv-FI"/>
        </w:rPr>
        <w:t>.</w:t>
      </w:r>
    </w:p>
    <w:bookmarkEnd w:id="44"/>
    <w:p w14:paraId="2E86DB16" w14:textId="0DC805AF" w:rsidR="003B2D08" w:rsidRDefault="003B2D08" w:rsidP="00D50124">
      <w:pPr>
        <w:pStyle w:val="ANormal"/>
        <w:rPr>
          <w:lang w:val="sv-FI"/>
        </w:rPr>
      </w:pPr>
      <w:r>
        <w:rPr>
          <w:lang w:val="sv-FI"/>
        </w:rPr>
        <w:tab/>
      </w:r>
      <w:r w:rsidRPr="003B2D08">
        <w:rPr>
          <w:lang w:val="sv-FI"/>
        </w:rPr>
        <w:t>Bestämmelserna i denna lag tillämpas från och med den 23 september 2020 på förinspelade tidsberoende media.</w:t>
      </w:r>
    </w:p>
    <w:p w14:paraId="4D8ED055" w14:textId="69C44C70" w:rsidR="003B2D08" w:rsidRDefault="003B2D08" w:rsidP="00D50124">
      <w:pPr>
        <w:pStyle w:val="ANormal"/>
        <w:rPr>
          <w:lang w:val="sv-FI"/>
        </w:rPr>
      </w:pPr>
      <w:r>
        <w:rPr>
          <w:lang w:val="sv-FI"/>
        </w:rPr>
        <w:tab/>
        <w:t xml:space="preserve">Bestämmelserna i denna </w:t>
      </w:r>
      <w:r w:rsidRPr="003B2D08">
        <w:rPr>
          <w:lang w:val="sv-FI"/>
        </w:rPr>
        <w:t>lag tillämpas på innehållet på sådana webbpla</w:t>
      </w:r>
      <w:r w:rsidRPr="003B2D08">
        <w:rPr>
          <w:lang w:val="sv-FI"/>
        </w:rPr>
        <w:t>t</w:t>
      </w:r>
      <w:r w:rsidRPr="003B2D08">
        <w:rPr>
          <w:lang w:val="sv-FI"/>
        </w:rPr>
        <w:t>ser på intranät och extranät som omfattas av denna lag och har offentli</w:t>
      </w:r>
      <w:r w:rsidRPr="003B2D08">
        <w:rPr>
          <w:lang w:val="sv-FI"/>
        </w:rPr>
        <w:t>g</w:t>
      </w:r>
      <w:r w:rsidRPr="003B2D08">
        <w:rPr>
          <w:lang w:val="sv-FI"/>
        </w:rPr>
        <w:t>gjorts före den 23 september 2019 först när webbplatsens publikationsplat</w:t>
      </w:r>
      <w:r w:rsidRPr="003B2D08">
        <w:rPr>
          <w:lang w:val="sv-FI"/>
        </w:rPr>
        <w:t>t</w:t>
      </w:r>
      <w:r w:rsidRPr="003B2D08">
        <w:rPr>
          <w:lang w:val="sv-FI"/>
        </w:rPr>
        <w:t>form genomgår en översyn.</w:t>
      </w:r>
    </w:p>
    <w:p w14:paraId="31CC6E0E" w14:textId="508B84C0" w:rsidR="00B932D2" w:rsidRDefault="003B2D08" w:rsidP="00D50124">
      <w:pPr>
        <w:pStyle w:val="ANormal"/>
        <w:rPr>
          <w:lang w:val="sv-FI"/>
        </w:rPr>
      </w:pPr>
      <w:r>
        <w:rPr>
          <w:lang w:val="sv-FI"/>
        </w:rPr>
        <w:tab/>
        <w:t xml:space="preserve">Bestämmelserna i denna lag </w:t>
      </w:r>
      <w:r w:rsidR="00D50124" w:rsidRPr="00D50124">
        <w:rPr>
          <w:lang w:val="sv-FI"/>
        </w:rPr>
        <w:t>tillämpas på sådant innehåll på webbplatser eller i mobil</w:t>
      </w:r>
      <w:r w:rsidR="00A37D67">
        <w:rPr>
          <w:lang w:val="sv-FI"/>
        </w:rPr>
        <w:t xml:space="preserve">a </w:t>
      </w:r>
      <w:r w:rsidR="00D50124" w:rsidRPr="00D50124">
        <w:rPr>
          <w:lang w:val="sv-FI"/>
        </w:rPr>
        <w:t>applikationer som har arkiverats före den 23 september 2019</w:t>
      </w:r>
      <w:r w:rsidR="00B109B1">
        <w:rPr>
          <w:lang w:val="sv-FI"/>
        </w:rPr>
        <w:t xml:space="preserve"> endast då</w:t>
      </w:r>
      <w:r w:rsidR="00D50124" w:rsidRPr="00D50124">
        <w:rPr>
          <w:lang w:val="sv-FI"/>
        </w:rPr>
        <w:t xml:space="preserve"> innehållet behövs för skötseln </w:t>
      </w:r>
      <w:r w:rsidR="00B109B1">
        <w:rPr>
          <w:lang w:val="sv-FI"/>
        </w:rPr>
        <w:t xml:space="preserve">i förhållande till enskilda </w:t>
      </w:r>
      <w:r w:rsidR="00D50124" w:rsidRPr="00D50124">
        <w:rPr>
          <w:lang w:val="sv-FI"/>
        </w:rPr>
        <w:t>av ett ännu inte avgjort ärende</w:t>
      </w:r>
      <w:r w:rsidR="00B109B1">
        <w:rPr>
          <w:lang w:val="sv-FI"/>
        </w:rPr>
        <w:t>.</w:t>
      </w:r>
    </w:p>
    <w:p w14:paraId="11B086DA" w14:textId="77777777" w:rsidR="00E91560" w:rsidRPr="009C1986" w:rsidRDefault="00D10F43" w:rsidP="00E91560">
      <w:pPr>
        <w:pStyle w:val="ANormal"/>
        <w:jc w:val="center"/>
        <w:rPr>
          <w:lang w:val="sv-FI"/>
        </w:rPr>
      </w:pPr>
      <w:hyperlink w:anchor="_top" w:tooltip="Klicka för att gå till toppen av dokumentet" w:history="1">
        <w:r w:rsidR="00E91560" w:rsidRPr="009C1986">
          <w:rPr>
            <w:rStyle w:val="Hyperlnk"/>
            <w:lang w:val="sv-FI"/>
          </w:rPr>
          <w:t>__________________</w:t>
        </w:r>
      </w:hyperlink>
    </w:p>
    <w:p w14:paraId="3C320255" w14:textId="77777777" w:rsidR="00AF3004" w:rsidRDefault="00AF3004">
      <w:pPr>
        <w:pStyle w:val="ANormal"/>
      </w:pPr>
    </w:p>
    <w:p w14:paraId="65904600" w14:textId="77777777" w:rsidR="0004279A" w:rsidRDefault="0004279A">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14:paraId="6115C259" w14:textId="77777777">
        <w:trPr>
          <w:cantSplit/>
        </w:trPr>
        <w:tc>
          <w:tcPr>
            <w:tcW w:w="7931" w:type="dxa"/>
            <w:gridSpan w:val="2"/>
          </w:tcPr>
          <w:p w14:paraId="57AE9EFA" w14:textId="45DF526D" w:rsidR="009C2884" w:rsidRDefault="00AF3004">
            <w:pPr>
              <w:pStyle w:val="ANormal"/>
              <w:keepNext/>
            </w:pPr>
            <w:r>
              <w:lastRenderedPageBreak/>
              <w:t xml:space="preserve">Mariehamn </w:t>
            </w:r>
            <w:r w:rsidR="002F1465">
              <w:t>den 13 september 2018</w:t>
            </w:r>
          </w:p>
        </w:tc>
      </w:tr>
      <w:tr w:rsidR="00AF3004" w14:paraId="5EC8F0DD" w14:textId="77777777">
        <w:tc>
          <w:tcPr>
            <w:tcW w:w="4454" w:type="dxa"/>
            <w:vAlign w:val="bottom"/>
          </w:tcPr>
          <w:p w14:paraId="1ACDAEE5" w14:textId="77777777" w:rsidR="00AF3004" w:rsidRDefault="00AF3004">
            <w:pPr>
              <w:pStyle w:val="ANormal"/>
              <w:keepNext/>
            </w:pPr>
            <w:r>
              <w:t>L a n t r å d</w:t>
            </w:r>
            <w:r w:rsidR="002C42B9">
              <w:t xml:space="preserve"> </w:t>
            </w:r>
          </w:p>
        </w:tc>
        <w:tc>
          <w:tcPr>
            <w:tcW w:w="3477" w:type="dxa"/>
            <w:vAlign w:val="bottom"/>
          </w:tcPr>
          <w:p w14:paraId="5FBB4382" w14:textId="77777777" w:rsidR="00AF3004" w:rsidRDefault="00AF3004">
            <w:pPr>
              <w:pStyle w:val="ANormal"/>
              <w:keepNext/>
            </w:pPr>
          </w:p>
          <w:p w14:paraId="2E19B489" w14:textId="77777777" w:rsidR="0001794B" w:rsidRDefault="0001794B">
            <w:pPr>
              <w:pStyle w:val="ANormal"/>
              <w:keepNext/>
            </w:pPr>
          </w:p>
          <w:p w14:paraId="2B2FAB3C" w14:textId="1B48FB5F" w:rsidR="00AF3004" w:rsidRDefault="002F1465">
            <w:pPr>
              <w:pStyle w:val="ANormal"/>
              <w:keepNext/>
            </w:pPr>
            <w:r>
              <w:t>Katrin Sjögren</w:t>
            </w:r>
          </w:p>
        </w:tc>
      </w:tr>
      <w:tr w:rsidR="00AF3004" w14:paraId="42414A81" w14:textId="77777777">
        <w:tc>
          <w:tcPr>
            <w:tcW w:w="4454" w:type="dxa"/>
            <w:vAlign w:val="bottom"/>
          </w:tcPr>
          <w:p w14:paraId="5DCD46D8" w14:textId="77777777" w:rsidR="00AF3004" w:rsidRDefault="00AF3004">
            <w:pPr>
              <w:pStyle w:val="ANormal"/>
              <w:keepNext/>
            </w:pPr>
          </w:p>
          <w:p w14:paraId="1F2E452C" w14:textId="77777777" w:rsidR="005F16E5" w:rsidRDefault="005F16E5">
            <w:pPr>
              <w:pStyle w:val="ANormal"/>
              <w:keepNext/>
            </w:pPr>
          </w:p>
          <w:p w14:paraId="4D20775C" w14:textId="77777777" w:rsidR="00AF3004" w:rsidRDefault="00AD73F4">
            <w:pPr>
              <w:pStyle w:val="ANormal"/>
              <w:keepNext/>
            </w:pPr>
            <w:r>
              <w:t>Föredragande minister</w:t>
            </w:r>
          </w:p>
        </w:tc>
        <w:tc>
          <w:tcPr>
            <w:tcW w:w="3477" w:type="dxa"/>
            <w:vAlign w:val="bottom"/>
          </w:tcPr>
          <w:p w14:paraId="718FDE1C" w14:textId="77777777" w:rsidR="00AF3004" w:rsidRDefault="00AF3004">
            <w:pPr>
              <w:pStyle w:val="ANormal"/>
              <w:keepNext/>
            </w:pPr>
          </w:p>
          <w:p w14:paraId="3748C245" w14:textId="77777777" w:rsidR="00AF3004" w:rsidRDefault="00AF3004">
            <w:pPr>
              <w:pStyle w:val="ANormal"/>
              <w:keepNext/>
            </w:pPr>
          </w:p>
          <w:p w14:paraId="7D51B2B2" w14:textId="27492969" w:rsidR="00AF3004" w:rsidRDefault="002F1465" w:rsidP="00FF3D0B">
            <w:pPr>
              <w:pStyle w:val="ANormal"/>
              <w:keepNext/>
            </w:pPr>
            <w:r>
              <w:t xml:space="preserve">Tony </w:t>
            </w:r>
            <w:proofErr w:type="spellStart"/>
            <w:r>
              <w:t>Asumaa</w:t>
            </w:r>
            <w:proofErr w:type="spellEnd"/>
          </w:p>
        </w:tc>
      </w:tr>
    </w:tbl>
    <w:p w14:paraId="2A8926F6" w14:textId="13709E75" w:rsidR="009A69F9" w:rsidRDefault="009A69F9" w:rsidP="00081C66">
      <w:pPr>
        <w:pStyle w:val="ANormal"/>
      </w:pPr>
    </w:p>
    <w:sectPr w:rsidR="009A69F9">
      <w:headerReference w:type="even" r:id="rId13"/>
      <w:headerReference w:type="default" r:id="rId14"/>
      <w:footerReference w:type="default" r:id="rId15"/>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EAA85" w14:textId="77777777" w:rsidR="000C71DD" w:rsidRDefault="000C71DD">
      <w:r>
        <w:separator/>
      </w:r>
    </w:p>
  </w:endnote>
  <w:endnote w:type="continuationSeparator" w:id="0">
    <w:p w14:paraId="39F32A30" w14:textId="77777777" w:rsidR="000C71DD" w:rsidRDefault="000C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29AF4" w14:textId="77777777" w:rsidR="000C71DD" w:rsidRDefault="000C71DD">
    <w:pPr>
      <w:pStyle w:val="Sidfot"/>
      <w:tabs>
        <w:tab w:val="clear" w:pos="81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5703D" w14:textId="388638B9" w:rsidR="000C71DD" w:rsidRPr="003F2C7C" w:rsidRDefault="000C71DD" w:rsidP="003F2C7C">
    <w:pPr>
      <w:pStyle w:val="Sidfot"/>
      <w:rPr>
        <w:lang w:val="sv-FI"/>
      </w:rPr>
    </w:pPr>
    <w:r>
      <w:rPr>
        <w:lang w:val="sv-FI"/>
      </w:rPr>
      <w:t>LF</w:t>
    </w:r>
    <w:r w:rsidR="002F1465">
      <w:rPr>
        <w:lang w:val="sv-FI"/>
      </w:rPr>
      <w:t>27</w:t>
    </w:r>
    <w:r>
      <w:rPr>
        <w:lang w:val="sv-FI"/>
      </w:rPr>
      <w:t>20172018.docx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C7D9" w14:textId="77777777" w:rsidR="000C71DD" w:rsidRDefault="000C71D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C1EDC" w14:textId="77777777" w:rsidR="000C71DD" w:rsidRDefault="000C71DD">
      <w:r>
        <w:separator/>
      </w:r>
    </w:p>
  </w:footnote>
  <w:footnote w:type="continuationSeparator" w:id="0">
    <w:p w14:paraId="56810836" w14:textId="77777777" w:rsidR="000C71DD" w:rsidRDefault="000C71DD">
      <w:r>
        <w:continuationSeparator/>
      </w:r>
    </w:p>
  </w:footnote>
  <w:footnote w:id="1">
    <w:p w14:paraId="6709B3DE" w14:textId="09C7C0E3" w:rsidR="000C71DD" w:rsidRPr="00DA05F9" w:rsidRDefault="000C71DD" w:rsidP="00E64F69">
      <w:pPr>
        <w:pStyle w:val="Fotnotstext"/>
        <w:jc w:val="both"/>
        <w:rPr>
          <w:lang w:val="sv-FI"/>
        </w:rPr>
      </w:pPr>
      <w:r>
        <w:rPr>
          <w:rStyle w:val="Fotnotsreferens"/>
        </w:rPr>
        <w:footnoteRef/>
      </w:r>
      <w:r>
        <w:t xml:space="preserve"> Se t.ex. </w:t>
      </w:r>
      <w:r w:rsidRPr="00583180">
        <w:t>handlingsplan för e-förvaltning</w:t>
      </w:r>
      <w:r>
        <w:t xml:space="preserve"> inom EU</w:t>
      </w:r>
      <w:r w:rsidRPr="00583180">
        <w:t xml:space="preserve"> för åren 2016–2020</w:t>
      </w:r>
      <w:r>
        <w:t xml:space="preserve">, </w:t>
      </w:r>
      <w:r w:rsidRPr="00DA05F9">
        <w:t>COM</w:t>
      </w:r>
      <w:r>
        <w:t xml:space="preserve"> </w:t>
      </w:r>
      <w:r w:rsidRPr="00DA05F9">
        <w:t>(2016) 179 final</w:t>
      </w:r>
      <w:r>
        <w:t>. D</w:t>
      </w:r>
      <w:r w:rsidRPr="00583180">
        <w:t xml:space="preserve">igitaliseringen av offentliga tjänster är ett av spetsprojekten </w:t>
      </w:r>
      <w:r>
        <w:t xml:space="preserve">i regeringsprogrammet för </w:t>
      </w:r>
      <w:r w:rsidRPr="00583180">
        <w:t>statsminister Juha Sipiläs regering</w:t>
      </w:r>
      <w:r>
        <w:t xml:space="preserve"> (regeringsprogram </w:t>
      </w:r>
      <w:r w:rsidRPr="00583180">
        <w:t>29.5.2015</w:t>
      </w:r>
      <w:r>
        <w:t>)</w:t>
      </w:r>
      <w:r w:rsidRPr="00583180">
        <w:t>.</w:t>
      </w:r>
    </w:p>
  </w:footnote>
  <w:footnote w:id="2">
    <w:p w14:paraId="3C29541B" w14:textId="21A570CF" w:rsidR="000C71DD" w:rsidRPr="007562E4" w:rsidRDefault="000C71DD" w:rsidP="00E64F69">
      <w:pPr>
        <w:pStyle w:val="Fotnotstext"/>
        <w:jc w:val="both"/>
      </w:pPr>
      <w:r>
        <w:rPr>
          <w:rStyle w:val="Fotnotsreferens"/>
        </w:rPr>
        <w:footnoteRef/>
      </w:r>
      <w:r>
        <w:t xml:space="preserve"> Lag om sättande i kraft av de bestämmelser som hör till området för lagstiftnin</w:t>
      </w:r>
      <w:r>
        <w:t>g</w:t>
      </w:r>
      <w:r>
        <w:t xml:space="preserve">en i konventionen om rättigheter för personer med funktionsnedsättning och dess fakultativa protokoll (FFS </w:t>
      </w:r>
      <w:r w:rsidRPr="007562E4">
        <w:t>373/2015</w:t>
      </w:r>
      <w:r>
        <w:t>).</w:t>
      </w:r>
    </w:p>
  </w:footnote>
  <w:footnote w:id="3">
    <w:p w14:paraId="32572DAF" w14:textId="50FF8383" w:rsidR="000C71DD" w:rsidRPr="00632F2D" w:rsidRDefault="000C71DD" w:rsidP="00005904">
      <w:pPr>
        <w:pStyle w:val="Fotnotstext"/>
        <w:rPr>
          <w:lang w:val="sv-FI"/>
        </w:rPr>
      </w:pPr>
      <w:r>
        <w:rPr>
          <w:rStyle w:val="Fotnotsreferens"/>
        </w:rPr>
        <w:footnoteRef/>
      </w:r>
      <w:r>
        <w:t xml:space="preserve"> Se landskapslagen (2017:85) om ändring av förvaltningslagen för landskapet Åland.</w:t>
      </w:r>
    </w:p>
  </w:footnote>
  <w:footnote w:id="4">
    <w:p w14:paraId="30C28DD9" w14:textId="6863A00A" w:rsidR="000C71DD" w:rsidRPr="008400BB" w:rsidRDefault="000C71DD">
      <w:pPr>
        <w:pStyle w:val="Fotnotstext"/>
        <w:rPr>
          <w:lang w:val="sv-FI"/>
        </w:rPr>
      </w:pPr>
      <w:r>
        <w:rPr>
          <w:rStyle w:val="Fotnotsreferens"/>
        </w:rPr>
        <w:footnoteRef/>
      </w:r>
      <w:r>
        <w:t xml:space="preserve"> </w:t>
      </w:r>
      <w:r w:rsidRPr="008400BB">
        <w:t>Meddelande från Ålands landskapsregering M 3/2017–2018</w:t>
      </w:r>
      <w:r>
        <w:t>.</w:t>
      </w:r>
    </w:p>
  </w:footnote>
  <w:footnote w:id="5">
    <w:p w14:paraId="09E3BBBD" w14:textId="3E36A5B3" w:rsidR="000C71DD" w:rsidRPr="00D766A5" w:rsidRDefault="000C71DD">
      <w:pPr>
        <w:pStyle w:val="Fotnotstext"/>
        <w:rPr>
          <w:lang w:val="sv-FI"/>
        </w:rPr>
      </w:pPr>
      <w:r>
        <w:rPr>
          <w:rStyle w:val="Fotnotsreferens"/>
        </w:rPr>
        <w:footnoteRef/>
      </w:r>
      <w:r>
        <w:t xml:space="preserve"> </w:t>
      </w:r>
      <w:r w:rsidRPr="00D766A5">
        <w:t>KOM/2010/0636 slutlig</w:t>
      </w:r>
      <w:r>
        <w:t>.</w:t>
      </w:r>
    </w:p>
  </w:footnote>
  <w:footnote w:id="6">
    <w:p w14:paraId="73F56622" w14:textId="30F9CBAB" w:rsidR="000C71DD" w:rsidRPr="001B552D" w:rsidRDefault="000C71DD">
      <w:pPr>
        <w:pStyle w:val="Fotnotstext"/>
        <w:rPr>
          <w:lang w:val="sv-FI"/>
        </w:rPr>
      </w:pPr>
      <w:r>
        <w:rPr>
          <w:rStyle w:val="Fotnotsreferens"/>
        </w:rPr>
        <w:footnoteRef/>
      </w:r>
      <w:r w:rsidRPr="001B552D">
        <w:rPr>
          <w:lang w:val="sv-FI"/>
        </w:rPr>
        <w:t xml:space="preserve"> RP 72/2002 rd, s. 62.</w:t>
      </w:r>
    </w:p>
  </w:footnote>
  <w:footnote w:id="7">
    <w:p w14:paraId="521556F2" w14:textId="3409CBD1" w:rsidR="000C71DD" w:rsidRPr="00E60323" w:rsidRDefault="000C71DD">
      <w:pPr>
        <w:pStyle w:val="Fotnotstext"/>
        <w:rPr>
          <w:lang w:val="sv-FI"/>
        </w:rPr>
      </w:pPr>
      <w:r>
        <w:rPr>
          <w:rStyle w:val="Fotnotsreferens"/>
        </w:rPr>
        <w:footnoteRef/>
      </w:r>
      <w:r w:rsidRPr="00E60323">
        <w:rPr>
          <w:lang w:val="sv-FI"/>
        </w:rPr>
        <w:t xml:space="preserve"> RP 60/2018 rd.</w:t>
      </w:r>
    </w:p>
  </w:footnote>
  <w:footnote w:id="8">
    <w:p w14:paraId="4726CEBB" w14:textId="40882509" w:rsidR="000C71DD" w:rsidRPr="00EB792A" w:rsidRDefault="000C71DD">
      <w:pPr>
        <w:pStyle w:val="Fotnotstext"/>
      </w:pPr>
      <w:r>
        <w:rPr>
          <w:rStyle w:val="Fotnotsreferens"/>
        </w:rPr>
        <w:footnoteRef/>
      </w:r>
      <w:r w:rsidRPr="00E60323">
        <w:rPr>
          <w:lang w:val="sv-FI"/>
        </w:rPr>
        <w:t xml:space="preserve"> Ds 2017:60. </w:t>
      </w:r>
      <w:r w:rsidRPr="002E6972">
        <w:t>Genomförande av webbtillgänglighetsdirektivet.</w:t>
      </w:r>
    </w:p>
  </w:footnote>
  <w:footnote w:id="9">
    <w:p w14:paraId="3F728B2F" w14:textId="04D8CF39" w:rsidR="000C71DD" w:rsidRPr="001E0C87" w:rsidRDefault="000C71DD" w:rsidP="006450C7">
      <w:pPr>
        <w:pStyle w:val="Fotnotstext"/>
        <w:jc w:val="both"/>
      </w:pPr>
      <w:r>
        <w:rPr>
          <w:rStyle w:val="Fotnotsreferens"/>
        </w:rPr>
        <w:footnoteRef/>
      </w:r>
      <w:r>
        <w:t xml:space="preserve"> </w:t>
      </w:r>
      <w:r w:rsidRPr="00077049">
        <w:t>I den europeiska EN-standarden definieras webbsida som en resurs som inte är inbäddad och som hämtats från en enda URI med hjälp av HTTP, och varje annan resurs som används i återgivningen eller är tänkt att återges tillsammans med den huvudsakliga resursen i ett användarprogram.</w:t>
      </w:r>
      <w:r>
        <w:t xml:space="preserve"> </w:t>
      </w:r>
      <w:r w:rsidRPr="001E0C87">
        <w:t>URI står för Uniform Resource Ide</w:t>
      </w:r>
      <w:r w:rsidRPr="001E0C87">
        <w:t>n</w:t>
      </w:r>
      <w:r w:rsidRPr="001E0C87">
        <w:t>tifier och är en unik adress till en resurs på internet. HTTP står för Hypertext Transfer Protocol och är ett kommunikationsprotokoll för överföringar på internet.</w:t>
      </w:r>
    </w:p>
  </w:footnote>
  <w:footnote w:id="10">
    <w:p w14:paraId="1C48BC17" w14:textId="25CC68B2" w:rsidR="000C71DD" w:rsidRPr="00456DB7" w:rsidRDefault="000C71DD" w:rsidP="0018536F">
      <w:pPr>
        <w:pStyle w:val="Fotnotstext"/>
        <w:rPr>
          <w:lang w:val="sv-FI"/>
        </w:rPr>
      </w:pPr>
      <w:r>
        <w:rPr>
          <w:rStyle w:val="Fotnotsreferens"/>
        </w:rPr>
        <w:footnoteRef/>
      </w:r>
      <w:r>
        <w:t xml:space="preserve"> Landskapslagen (2017:80) om tillämpning på Åland av rikslagar om offentlig upphandling.</w:t>
      </w:r>
    </w:p>
  </w:footnote>
  <w:footnote w:id="11">
    <w:p w14:paraId="77DFED79" w14:textId="1D9972E2" w:rsidR="000C71DD" w:rsidRPr="005019C6" w:rsidRDefault="000C71DD">
      <w:pPr>
        <w:pStyle w:val="Fotnotstext"/>
        <w:rPr>
          <w:lang w:val="sv-FI"/>
        </w:rPr>
      </w:pPr>
      <w:r>
        <w:rPr>
          <w:rStyle w:val="Fotnotsreferens"/>
        </w:rPr>
        <w:footnoteRef/>
      </w:r>
      <w:r>
        <w:t xml:space="preserve"> </w:t>
      </w:r>
      <w:r>
        <w:rPr>
          <w:lang w:val="sv-FI"/>
        </w:rPr>
        <w:t>För en redogörelse av hur begreppet offentligrättsligt organ har tolkats, se RP 108/2016 rd, s. 85–87.</w:t>
      </w:r>
    </w:p>
  </w:footnote>
  <w:footnote w:id="12">
    <w:p w14:paraId="0CA5B2E9" w14:textId="75552759" w:rsidR="000C71DD" w:rsidRPr="002B57E7" w:rsidRDefault="000C71DD">
      <w:pPr>
        <w:pStyle w:val="Fotnotstext"/>
        <w:rPr>
          <w:lang w:val="sv-FI"/>
        </w:rPr>
      </w:pPr>
      <w:r>
        <w:rPr>
          <w:rStyle w:val="Fotnotsreferens"/>
        </w:rPr>
        <w:footnoteRef/>
      </w:r>
      <w:r>
        <w:t xml:space="preserve"> </w:t>
      </w:r>
      <w:r w:rsidRPr="002B57E7">
        <w:t>Ds 2017:60, s. 8</w:t>
      </w:r>
      <w:r>
        <w:t>3–84</w:t>
      </w:r>
      <w:r w:rsidRPr="002B57E7">
        <w:t>.</w:t>
      </w:r>
    </w:p>
  </w:footnote>
  <w:footnote w:id="13">
    <w:p w14:paraId="718E58FD" w14:textId="77777777" w:rsidR="000C71DD" w:rsidRPr="00A74171" w:rsidRDefault="000C71DD" w:rsidP="00A74171">
      <w:pPr>
        <w:pStyle w:val="Fotnotstext"/>
        <w:rPr>
          <w:lang w:val="sv-FI"/>
        </w:rPr>
      </w:pPr>
      <w:r>
        <w:rPr>
          <w:rStyle w:val="Fotnotsreferens"/>
        </w:rPr>
        <w:footnoteRef/>
      </w:r>
      <w:r w:rsidRPr="00A74171">
        <w:rPr>
          <w:lang w:val="sv-FI"/>
        </w:rPr>
        <w:t xml:space="preserve"> Om innehållet i tillgänglighetsutlåtandena, se avsnitt 2.1.2.</w:t>
      </w:r>
    </w:p>
  </w:footnote>
  <w:footnote w:id="14">
    <w:p w14:paraId="3A24687E" w14:textId="5D730003" w:rsidR="000C71DD" w:rsidRPr="00D85477" w:rsidRDefault="000C71DD">
      <w:pPr>
        <w:pStyle w:val="Fotnotstext"/>
        <w:rPr>
          <w:lang w:val="sv-FI"/>
        </w:rPr>
      </w:pPr>
      <w:r>
        <w:rPr>
          <w:rStyle w:val="Fotnotsreferens"/>
        </w:rPr>
        <w:footnoteRef/>
      </w:r>
      <w:r w:rsidRPr="00D85477">
        <w:rPr>
          <w:lang w:val="sv-FI"/>
        </w:rPr>
        <w:t xml:space="preserve"> ÅFS 2017/85–113. Se LF nr 26/2016–2017.</w:t>
      </w:r>
    </w:p>
  </w:footnote>
  <w:footnote w:id="15">
    <w:p w14:paraId="6BD947A6" w14:textId="753F4322" w:rsidR="000C71DD" w:rsidRPr="006D37B7" w:rsidRDefault="000C71DD">
      <w:pPr>
        <w:pStyle w:val="Fotnotstext"/>
        <w:rPr>
          <w:lang w:val="sv-FI"/>
        </w:rPr>
      </w:pPr>
      <w:r>
        <w:rPr>
          <w:rStyle w:val="Fotnotsreferens"/>
        </w:rPr>
        <w:footnoteRef/>
      </w:r>
      <w:r>
        <w:t xml:space="preserve"> S</w:t>
      </w:r>
      <w:r w:rsidRPr="006D37B7">
        <w:t>e ÅD-utlåtande nr 23/12, 10.7.2012.</w:t>
      </w:r>
    </w:p>
  </w:footnote>
  <w:footnote w:id="16">
    <w:p w14:paraId="0F2FF251" w14:textId="06A023CD" w:rsidR="000C71DD" w:rsidRPr="005660CC" w:rsidRDefault="000C71DD">
      <w:pPr>
        <w:pStyle w:val="Fotnotstext"/>
      </w:pPr>
      <w:r>
        <w:rPr>
          <w:rStyle w:val="Fotnotsreferens"/>
        </w:rPr>
        <w:footnoteRef/>
      </w:r>
      <w:r>
        <w:t xml:space="preserve"> S</w:t>
      </w:r>
      <w:r w:rsidRPr="005660CC">
        <w:t>e RP 309/1993 rd, s. 48</w:t>
      </w:r>
      <w:r>
        <w:t xml:space="preserve"> och</w:t>
      </w:r>
      <w:r w:rsidRPr="005660CC">
        <w:t xml:space="preserve"> GrUU 4/2016 rd.</w:t>
      </w:r>
    </w:p>
  </w:footnote>
  <w:footnote w:id="17">
    <w:p w14:paraId="028BCAF5" w14:textId="71A0F333" w:rsidR="000C71DD" w:rsidRPr="005660CC" w:rsidRDefault="000C71DD" w:rsidP="005660CC">
      <w:pPr>
        <w:pStyle w:val="Fotnotstext"/>
      </w:pPr>
      <w:r>
        <w:rPr>
          <w:rStyle w:val="Fotnotsreferens"/>
        </w:rPr>
        <w:footnoteRef/>
      </w:r>
      <w:r>
        <w:t xml:space="preserve"> Se t.ex. GrUU 26/2017 rd, s. 18 och GrUU 67/2014 rd, s. 5.</w:t>
      </w:r>
    </w:p>
  </w:footnote>
  <w:footnote w:id="18">
    <w:p w14:paraId="08D762FC" w14:textId="67DC2D82" w:rsidR="000C71DD" w:rsidRPr="00822009" w:rsidRDefault="000C71DD">
      <w:pPr>
        <w:pStyle w:val="Fotnotstext"/>
        <w:rPr>
          <w:lang w:val="sv-FI"/>
        </w:rPr>
      </w:pPr>
      <w:r>
        <w:rPr>
          <w:rStyle w:val="Fotnotsreferens"/>
        </w:rPr>
        <w:footnoteRef/>
      </w:r>
      <w:r>
        <w:t xml:space="preserve"> </w:t>
      </w:r>
      <w:r w:rsidRPr="00822009">
        <w:t xml:space="preserve">C-84/03, </w:t>
      </w:r>
      <w:r w:rsidRPr="00854648">
        <w:rPr>
          <w:i/>
        </w:rPr>
        <w:t>kommissionen mot Konungariket Spanien</w:t>
      </w:r>
      <w:r>
        <w:t>, punkt 27.</w:t>
      </w:r>
    </w:p>
  </w:footnote>
  <w:footnote w:id="19">
    <w:p w14:paraId="26396B81" w14:textId="04CAC29A" w:rsidR="000C71DD" w:rsidRPr="008079A2" w:rsidRDefault="000C71DD">
      <w:pPr>
        <w:pStyle w:val="Fotnotstext"/>
        <w:rPr>
          <w:lang w:val="sv-FI"/>
        </w:rPr>
      </w:pPr>
      <w:r>
        <w:rPr>
          <w:rStyle w:val="Fotnotsreferens"/>
        </w:rPr>
        <w:footnoteRef/>
      </w:r>
      <w:r>
        <w:t xml:space="preserve"> S</w:t>
      </w:r>
      <w:r w:rsidRPr="008079A2">
        <w:t xml:space="preserve">e bl.a. C-360/96, </w:t>
      </w:r>
      <w:r w:rsidRPr="00854648">
        <w:rPr>
          <w:i/>
        </w:rPr>
        <w:t>Gemeente Arnhem</w:t>
      </w:r>
      <w:r w:rsidRPr="008079A2">
        <w:t xml:space="preserve">; C-44/96, </w:t>
      </w:r>
      <w:r w:rsidRPr="00854648">
        <w:rPr>
          <w:i/>
        </w:rPr>
        <w:t>Mannesmann</w:t>
      </w:r>
      <w:r w:rsidRPr="008079A2">
        <w:t xml:space="preserve">; C-360/96, </w:t>
      </w:r>
      <w:r w:rsidRPr="00854648">
        <w:rPr>
          <w:i/>
        </w:rPr>
        <w:t>BFI Holding</w:t>
      </w:r>
      <w:r w:rsidRPr="008079A2">
        <w:t xml:space="preserve">; C-94/99, </w:t>
      </w:r>
      <w:r w:rsidRPr="00854648">
        <w:rPr>
          <w:i/>
        </w:rPr>
        <w:t>ARGE</w:t>
      </w:r>
      <w:r w:rsidRPr="008079A2">
        <w:t xml:space="preserve">; C-223/99 och C-260/99, </w:t>
      </w:r>
      <w:r w:rsidRPr="00854648">
        <w:rPr>
          <w:i/>
        </w:rPr>
        <w:t>Agorá Srl</w:t>
      </w:r>
      <w:r w:rsidRPr="008079A2">
        <w:t xml:space="preserve">; C-18/01, </w:t>
      </w:r>
      <w:r w:rsidRPr="00854648">
        <w:rPr>
          <w:i/>
        </w:rPr>
        <w:t xml:space="preserve">Varkauden taitotalo </w:t>
      </w:r>
      <w:r w:rsidRPr="008079A2">
        <w:t xml:space="preserve">och C-526/11, </w:t>
      </w:r>
      <w:r w:rsidRPr="00854648">
        <w:rPr>
          <w:i/>
        </w:rPr>
        <w:t>Ärtzekammer</w:t>
      </w:r>
      <w:r>
        <w:t>.</w:t>
      </w:r>
    </w:p>
  </w:footnote>
  <w:footnote w:id="20">
    <w:p w14:paraId="2685408A" w14:textId="71983069" w:rsidR="000C71DD" w:rsidRPr="008079A2" w:rsidRDefault="000C71DD">
      <w:pPr>
        <w:pStyle w:val="Fotnotstext"/>
        <w:rPr>
          <w:lang w:val="sv-FI"/>
        </w:rPr>
      </w:pPr>
      <w:r>
        <w:rPr>
          <w:rStyle w:val="Fotnotsreferens"/>
        </w:rPr>
        <w:footnoteRef/>
      </w:r>
      <w:r>
        <w:t xml:space="preserve"> T</w:t>
      </w:r>
      <w:r w:rsidRPr="008079A2">
        <w:t>.ex. HFD 2016:108</w:t>
      </w:r>
      <w:r>
        <w:t xml:space="preserve"> och</w:t>
      </w:r>
      <w:r w:rsidRPr="008079A2">
        <w:t xml:space="preserve"> HFD 2013:21</w:t>
      </w:r>
      <w:r>
        <w:t>.</w:t>
      </w:r>
    </w:p>
  </w:footnote>
  <w:footnote w:id="21">
    <w:p w14:paraId="7CF6484B" w14:textId="7AE6B8B9" w:rsidR="000C71DD" w:rsidRPr="005A2DDB" w:rsidRDefault="000C71DD">
      <w:pPr>
        <w:pStyle w:val="Fotnotstext"/>
        <w:rPr>
          <w:lang w:val="sv-FI"/>
        </w:rPr>
      </w:pPr>
      <w:r>
        <w:rPr>
          <w:rStyle w:val="Fotnotsreferens"/>
        </w:rPr>
        <w:footnoteRef/>
      </w:r>
      <w:r>
        <w:t xml:space="preserve"> </w:t>
      </w:r>
      <w:r w:rsidRPr="005A2DDB">
        <w:t>C-393/06</w:t>
      </w:r>
      <w:r>
        <w:t>,</w:t>
      </w:r>
      <w:r w:rsidRPr="005A2DDB">
        <w:t xml:space="preserve"> </w:t>
      </w:r>
      <w:r w:rsidRPr="00D04F3F">
        <w:rPr>
          <w:i/>
        </w:rPr>
        <w:t>Ing. Aigner</w:t>
      </w:r>
      <w:r>
        <w:t>.</w:t>
      </w:r>
    </w:p>
  </w:footnote>
  <w:footnote w:id="22">
    <w:p w14:paraId="233289AF" w14:textId="4B1A8320" w:rsidR="000C71DD" w:rsidRPr="00A85D1A" w:rsidRDefault="000C71DD">
      <w:pPr>
        <w:pStyle w:val="Fotnotstext"/>
        <w:rPr>
          <w:lang w:val="sv-FI"/>
        </w:rPr>
      </w:pPr>
      <w:r>
        <w:rPr>
          <w:rStyle w:val="Fotnotsreferens"/>
        </w:rPr>
        <w:footnoteRef/>
      </w:r>
      <w:r>
        <w:t xml:space="preserve"> </w:t>
      </w:r>
      <w:r w:rsidRPr="00A85D1A">
        <w:t xml:space="preserve">C-526/11, </w:t>
      </w:r>
      <w:r w:rsidRPr="00D04F3F">
        <w:rPr>
          <w:i/>
        </w:rPr>
        <w:t>Ärtzekammer</w:t>
      </w:r>
      <w:r w:rsidRPr="00A85D1A">
        <w:t>.</w:t>
      </w:r>
    </w:p>
  </w:footnote>
  <w:footnote w:id="23">
    <w:p w14:paraId="6E170743" w14:textId="3D9777AA" w:rsidR="000C71DD" w:rsidRPr="00A85D1A" w:rsidRDefault="000C71DD">
      <w:pPr>
        <w:pStyle w:val="Fotnotstext"/>
        <w:rPr>
          <w:lang w:val="en-US"/>
        </w:rPr>
      </w:pPr>
      <w:r>
        <w:rPr>
          <w:rStyle w:val="Fotnotsreferens"/>
        </w:rPr>
        <w:footnoteRef/>
      </w:r>
      <w:r w:rsidRPr="00A85D1A">
        <w:rPr>
          <w:lang w:val="en-US"/>
        </w:rPr>
        <w:t xml:space="preserve"> C-380/98, </w:t>
      </w:r>
      <w:proofErr w:type="gramStart"/>
      <w:r w:rsidRPr="00D04F3F">
        <w:rPr>
          <w:i/>
          <w:lang w:val="en-US"/>
        </w:rPr>
        <w:t>The</w:t>
      </w:r>
      <w:proofErr w:type="gramEnd"/>
      <w:r w:rsidRPr="00D04F3F">
        <w:rPr>
          <w:i/>
          <w:lang w:val="en-US"/>
        </w:rPr>
        <w:t xml:space="preserve"> University of Cambridge</w:t>
      </w:r>
      <w:r w:rsidRPr="00A85D1A">
        <w:rPr>
          <w:lang w:val="en-US"/>
        </w:rPr>
        <w:t>.</w:t>
      </w:r>
    </w:p>
  </w:footnote>
  <w:footnote w:id="24">
    <w:p w14:paraId="6401D030" w14:textId="1729F557" w:rsidR="000C71DD" w:rsidRPr="005019C6" w:rsidRDefault="000C71DD" w:rsidP="0016728A">
      <w:pPr>
        <w:pStyle w:val="Fotnotstext"/>
        <w:rPr>
          <w:lang w:val="sv-FI"/>
        </w:rPr>
      </w:pPr>
      <w:r>
        <w:rPr>
          <w:rStyle w:val="Fotnotsreferens"/>
        </w:rPr>
        <w:footnoteRef/>
      </w:r>
      <w:r>
        <w:t xml:space="preserve"> Se marknadsdomstolens beslut </w:t>
      </w:r>
      <w:r w:rsidRPr="005019C6">
        <w:t>MD 589/09</w:t>
      </w:r>
      <w:r>
        <w:t>.</w:t>
      </w:r>
    </w:p>
  </w:footnote>
  <w:footnote w:id="25">
    <w:p w14:paraId="7C58B292" w14:textId="6C7BF04D" w:rsidR="000C71DD" w:rsidRPr="009D482E" w:rsidRDefault="000C71DD">
      <w:pPr>
        <w:pStyle w:val="Fotnotstext"/>
        <w:rPr>
          <w:lang w:val="sv-FI"/>
        </w:rPr>
      </w:pPr>
      <w:r>
        <w:rPr>
          <w:rStyle w:val="Fotnotsreferens"/>
        </w:rPr>
        <w:footnoteRef/>
      </w:r>
      <w:r>
        <w:t xml:space="preserve"> </w:t>
      </w:r>
      <w:r w:rsidRPr="009D482E">
        <w:t>FR nr 10/2006–2007</w:t>
      </w:r>
      <w:r>
        <w:t>.</w:t>
      </w:r>
    </w:p>
  </w:footnote>
  <w:footnote w:id="26">
    <w:p w14:paraId="66B82FB4" w14:textId="3C71E479" w:rsidR="000C71DD" w:rsidRPr="00B63631" w:rsidRDefault="000C71DD" w:rsidP="009D482E">
      <w:pPr>
        <w:pStyle w:val="Fotnotstext"/>
        <w:rPr>
          <w:lang w:val="sv-FI"/>
        </w:rPr>
      </w:pPr>
      <w:r>
        <w:rPr>
          <w:rStyle w:val="Fotnotsreferens"/>
        </w:rPr>
        <w:footnoteRef/>
      </w:r>
      <w:r>
        <w:t xml:space="preserve"> </w:t>
      </w:r>
      <w:r w:rsidRPr="00767177">
        <w:t>Beslut 23.8.2018. HFD:</w:t>
      </w:r>
      <w:proofErr w:type="gramStart"/>
      <w:r w:rsidRPr="00767177">
        <w:t>2018:T</w:t>
      </w:r>
      <w:proofErr w:type="gramEnd"/>
      <w:r w:rsidRPr="00767177">
        <w:t xml:space="preserve">3832 och HFD:2018:T3831. </w:t>
      </w:r>
      <w:r>
        <w:t xml:space="preserve">Se även </w:t>
      </w:r>
      <w:r w:rsidRPr="00B63631">
        <w:t>M</w:t>
      </w:r>
      <w:r>
        <w:t xml:space="preserve">D </w:t>
      </w:r>
      <w:r w:rsidRPr="00B63631">
        <w:t xml:space="preserve">763/16 </w:t>
      </w:r>
      <w:r>
        <w:t xml:space="preserve">och </w:t>
      </w:r>
      <w:r w:rsidRPr="00B63631">
        <w:t>M</w:t>
      </w:r>
      <w:r>
        <w:t xml:space="preserve">D </w:t>
      </w:r>
      <w:r w:rsidRPr="00B63631">
        <w:t>764/16</w:t>
      </w:r>
      <w:r>
        <w:t>.</w:t>
      </w:r>
    </w:p>
  </w:footnote>
  <w:footnote w:id="27">
    <w:p w14:paraId="5C9A4011" w14:textId="0CF30DB5" w:rsidR="000C71DD" w:rsidRPr="00BB6CB4" w:rsidRDefault="000C71DD" w:rsidP="00F52330">
      <w:pPr>
        <w:pStyle w:val="Fotnotstext"/>
        <w:rPr>
          <w:lang w:val="sv-FI"/>
        </w:rPr>
      </w:pPr>
      <w:r>
        <w:rPr>
          <w:rStyle w:val="Fotnotsreferens"/>
        </w:rPr>
        <w:footnoteRef/>
      </w:r>
      <w:r>
        <w:t xml:space="preserve"> </w:t>
      </w:r>
      <w:r>
        <w:rPr>
          <w:lang w:val="sv-FI"/>
        </w:rPr>
        <w:t xml:space="preserve">Jfr </w:t>
      </w:r>
      <w:r w:rsidRPr="00BB6CB4">
        <w:rPr>
          <w:lang w:val="sv-FI"/>
        </w:rPr>
        <w:t>Genomförande av webbtillgänglighetsdirektivet</w:t>
      </w:r>
      <w:r>
        <w:rPr>
          <w:lang w:val="sv-FI"/>
        </w:rPr>
        <w:t xml:space="preserve">. </w:t>
      </w:r>
      <w:r w:rsidRPr="00BB6CB4">
        <w:rPr>
          <w:lang w:val="sv-FI"/>
        </w:rPr>
        <w:t>Ds 2017:60</w:t>
      </w:r>
      <w:r>
        <w:rPr>
          <w:lang w:val="sv-FI"/>
        </w:rPr>
        <w:t>, s. 82.</w:t>
      </w:r>
    </w:p>
  </w:footnote>
  <w:footnote w:id="28">
    <w:p w14:paraId="74A3B1BE" w14:textId="4C27BF12" w:rsidR="000C71DD" w:rsidRPr="00C755CD" w:rsidRDefault="000C71DD" w:rsidP="00722D5C">
      <w:pPr>
        <w:pStyle w:val="Fotnotstext"/>
        <w:rPr>
          <w:lang w:val="sv-FI"/>
        </w:rPr>
      </w:pPr>
      <w:r>
        <w:rPr>
          <w:rStyle w:val="Fotnotsreferens"/>
        </w:rPr>
        <w:footnoteRef/>
      </w:r>
      <w:r>
        <w:t xml:space="preserve"> </w:t>
      </w:r>
      <w:r>
        <w:rPr>
          <w:lang w:val="sv-FI"/>
        </w:rPr>
        <w:t xml:space="preserve">Partsbegreppet i 8 § i förvaltningslagen motsvarar 11 § i förvaltningslagen (FFS 434/2003). För detaljmotiveringen, se </w:t>
      </w:r>
      <w:r w:rsidRPr="00C755CD">
        <w:rPr>
          <w:lang w:val="sv-FI"/>
        </w:rPr>
        <w:t>RP 72/2002 rd</w:t>
      </w:r>
      <w:r>
        <w:rPr>
          <w:lang w:val="sv-FI"/>
        </w:rPr>
        <w:t xml:space="preserve">, s. 67. För detaljmotiveringen till </w:t>
      </w:r>
      <w:r w:rsidRPr="00C755CD">
        <w:rPr>
          <w:lang w:val="sv-FI"/>
        </w:rPr>
        <w:t>6</w:t>
      </w:r>
      <w:r>
        <w:rPr>
          <w:lang w:val="sv-FI"/>
        </w:rPr>
        <w:t> §</w:t>
      </w:r>
      <w:r w:rsidRPr="00C755CD">
        <w:rPr>
          <w:lang w:val="sv-FI"/>
        </w:rPr>
        <w:t xml:space="preserve"> i förvaltningsprocesslagen</w:t>
      </w:r>
      <w:r>
        <w:rPr>
          <w:lang w:val="sv-FI"/>
        </w:rPr>
        <w:t xml:space="preserve">, se </w:t>
      </w:r>
      <w:r w:rsidRPr="00C755CD">
        <w:rPr>
          <w:lang w:val="sv-FI"/>
        </w:rPr>
        <w:t>RP 217</w:t>
      </w:r>
      <w:r>
        <w:rPr>
          <w:lang w:val="sv-FI"/>
        </w:rPr>
        <w:t>/</w:t>
      </w:r>
      <w:r w:rsidRPr="00C755CD">
        <w:rPr>
          <w:lang w:val="sv-FI"/>
        </w:rPr>
        <w:t>1995 rd</w:t>
      </w:r>
      <w:r>
        <w:rPr>
          <w:lang w:val="sv-FI"/>
        </w:rPr>
        <w:t>, s.</w:t>
      </w:r>
      <w:r w:rsidRPr="00C755CD">
        <w:rPr>
          <w:lang w:val="sv-FI"/>
        </w:rPr>
        <w:t xml:space="preserve"> 41</w:t>
      </w:r>
      <w:r>
        <w:rPr>
          <w:lang w:val="sv-FI"/>
        </w:rPr>
        <w:t>.</w:t>
      </w:r>
    </w:p>
  </w:footnote>
  <w:footnote w:id="29">
    <w:p w14:paraId="62F32B6E" w14:textId="21F979A3" w:rsidR="000C71DD" w:rsidRPr="002E411F" w:rsidRDefault="000C71DD" w:rsidP="00E56114">
      <w:pPr>
        <w:pStyle w:val="Fotnotstext"/>
        <w:rPr>
          <w:lang w:val="sv-FI"/>
        </w:rPr>
      </w:pPr>
      <w:r>
        <w:rPr>
          <w:rStyle w:val="Fotnotsreferens"/>
        </w:rPr>
        <w:footnoteRef/>
      </w:r>
      <w:r>
        <w:t xml:space="preserve"> </w:t>
      </w:r>
      <w:r w:rsidRPr="002E411F">
        <w:t>FR nr 8/2006–2007</w:t>
      </w:r>
      <w:r>
        <w:t>.</w:t>
      </w:r>
    </w:p>
  </w:footnote>
  <w:footnote w:id="30">
    <w:p w14:paraId="283A1BC9" w14:textId="1E24E70F" w:rsidR="000C71DD" w:rsidRPr="000445A2" w:rsidRDefault="000C71DD" w:rsidP="000445A2">
      <w:pPr>
        <w:pStyle w:val="Fotnotstext"/>
        <w:jc w:val="both"/>
        <w:rPr>
          <w:lang w:val="sv-FI"/>
        </w:rPr>
      </w:pPr>
      <w:r>
        <w:rPr>
          <w:rStyle w:val="Fotnotsreferens"/>
        </w:rPr>
        <w:footnoteRef/>
      </w:r>
      <w:r>
        <w:t xml:space="preserve"> </w:t>
      </w:r>
      <w:r>
        <w:rPr>
          <w:lang w:val="sv-FI"/>
        </w:rPr>
        <w:t xml:space="preserve">I detta sammanhang bör noteras att rikets regering den 5 april 2018 har lämnat en proposition till riksdagen innehållande </w:t>
      </w:r>
      <w:r w:rsidRPr="000445A2">
        <w:rPr>
          <w:lang w:val="sv-FI"/>
        </w:rPr>
        <w:t>förslag till lag om rättegång i förvaltnings</w:t>
      </w:r>
      <w:r w:rsidR="00673868">
        <w:rPr>
          <w:lang w:val="sv-FI"/>
        </w:rPr>
        <w:t>-</w:t>
      </w:r>
      <w:r w:rsidRPr="000445A2">
        <w:rPr>
          <w:lang w:val="sv-FI"/>
        </w:rPr>
        <w:t>ärenden som ligger i riksdagen (RP 29/2018 rd)</w:t>
      </w:r>
      <w:r>
        <w:rPr>
          <w:lang w:val="sv-FI"/>
        </w:rPr>
        <w:t>. Den föreslagna lagen ska ersätta förvaltningsprocesslagen.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9BBEC" w14:textId="43802C71" w:rsidR="000C71DD" w:rsidRDefault="000C71DD">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D10F43">
      <w:rPr>
        <w:rStyle w:val="Sidnummer"/>
        <w:noProof/>
      </w:rPr>
      <w:t>2</w:t>
    </w:r>
    <w:r>
      <w:rPr>
        <w:rStyle w:val="Sidnummer"/>
      </w:rPr>
      <w:fldChar w:fldCharType="end"/>
    </w:r>
  </w:p>
  <w:p w14:paraId="70DB0F0B" w14:textId="77777777" w:rsidR="000C71DD" w:rsidRDefault="000C71D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F7BA0" w14:textId="3B64186F" w:rsidR="000C71DD" w:rsidRDefault="000C71DD">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D10F43">
      <w:rPr>
        <w:rStyle w:val="Sidnummer"/>
        <w:noProof/>
      </w:rPr>
      <w:t>45</w:t>
    </w:r>
    <w:r>
      <w:rPr>
        <w:rStyle w:val="Sid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6C6D400"/>
    <w:lvl w:ilvl="0">
      <w:start w:val="1"/>
      <w:numFmt w:val="bullet"/>
      <w:pStyle w:val="Punktlista3"/>
      <w:lvlText w:val=""/>
      <w:lvlJc w:val="left"/>
      <w:pPr>
        <w:tabs>
          <w:tab w:val="num" w:pos="926"/>
        </w:tabs>
        <w:ind w:left="926" w:hanging="360"/>
      </w:pPr>
      <w:rPr>
        <w:rFonts w:ascii="Symbol" w:hAnsi="Symbol" w:hint="default"/>
      </w:rPr>
    </w:lvl>
  </w:abstractNum>
  <w:abstractNum w:abstractNumId="1">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2">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
    <w:nsid w:val="59667976"/>
    <w:multiLevelType w:val="hybridMultilevel"/>
    <w:tmpl w:val="104807B8"/>
    <w:lvl w:ilvl="0" w:tplc="BD12F836">
      <w:start w:val="1"/>
      <w:numFmt w:val="lowerLetter"/>
      <w:lvlText w:val="%1)"/>
      <w:lvlJc w:val="left"/>
      <w:pPr>
        <w:ind w:left="645" w:hanging="360"/>
      </w:pPr>
      <w:rPr>
        <w:rFonts w:hint="default"/>
      </w:rPr>
    </w:lvl>
    <w:lvl w:ilvl="1" w:tplc="BD12F836">
      <w:start w:val="1"/>
      <w:numFmt w:val="lowerLetter"/>
      <w:lvlText w:val="%2)"/>
      <w:lvlJc w:val="left"/>
      <w:pPr>
        <w:ind w:left="1365" w:hanging="360"/>
      </w:pPr>
      <w:rPr>
        <w:rFonts w:hint="default"/>
      </w:rPr>
    </w:lvl>
    <w:lvl w:ilvl="2" w:tplc="081D001B" w:tentative="1">
      <w:start w:val="1"/>
      <w:numFmt w:val="lowerRoman"/>
      <w:lvlText w:val="%3."/>
      <w:lvlJc w:val="right"/>
      <w:pPr>
        <w:ind w:left="2085" w:hanging="180"/>
      </w:pPr>
    </w:lvl>
    <w:lvl w:ilvl="3" w:tplc="081D000F" w:tentative="1">
      <w:start w:val="1"/>
      <w:numFmt w:val="decimal"/>
      <w:lvlText w:val="%4."/>
      <w:lvlJc w:val="left"/>
      <w:pPr>
        <w:ind w:left="2805" w:hanging="360"/>
      </w:pPr>
    </w:lvl>
    <w:lvl w:ilvl="4" w:tplc="081D0019" w:tentative="1">
      <w:start w:val="1"/>
      <w:numFmt w:val="lowerLetter"/>
      <w:lvlText w:val="%5."/>
      <w:lvlJc w:val="left"/>
      <w:pPr>
        <w:ind w:left="3525" w:hanging="360"/>
      </w:pPr>
    </w:lvl>
    <w:lvl w:ilvl="5" w:tplc="081D001B" w:tentative="1">
      <w:start w:val="1"/>
      <w:numFmt w:val="lowerRoman"/>
      <w:lvlText w:val="%6."/>
      <w:lvlJc w:val="right"/>
      <w:pPr>
        <w:ind w:left="4245" w:hanging="180"/>
      </w:pPr>
    </w:lvl>
    <w:lvl w:ilvl="6" w:tplc="081D000F" w:tentative="1">
      <w:start w:val="1"/>
      <w:numFmt w:val="decimal"/>
      <w:lvlText w:val="%7."/>
      <w:lvlJc w:val="left"/>
      <w:pPr>
        <w:ind w:left="4965" w:hanging="360"/>
      </w:pPr>
    </w:lvl>
    <w:lvl w:ilvl="7" w:tplc="081D0019" w:tentative="1">
      <w:start w:val="1"/>
      <w:numFmt w:val="lowerLetter"/>
      <w:lvlText w:val="%8."/>
      <w:lvlJc w:val="left"/>
      <w:pPr>
        <w:ind w:left="5685" w:hanging="360"/>
      </w:pPr>
    </w:lvl>
    <w:lvl w:ilvl="8" w:tplc="081D001B" w:tentative="1">
      <w:start w:val="1"/>
      <w:numFmt w:val="lowerRoman"/>
      <w:lvlText w:val="%9."/>
      <w:lvlJc w:val="right"/>
      <w:pPr>
        <w:ind w:left="6405" w:hanging="180"/>
      </w:pPr>
    </w:lvl>
  </w:abstractNum>
  <w:abstractNum w:abstractNumId="5">
    <w:nsid w:val="6836277F"/>
    <w:multiLevelType w:val="hybridMultilevel"/>
    <w:tmpl w:val="9E406EA6"/>
    <w:lvl w:ilvl="0" w:tplc="19ECF3A4">
      <w:start w:val="2"/>
      <w:numFmt w:val="bullet"/>
      <w:lvlText w:val="-"/>
      <w:lvlJc w:val="left"/>
      <w:pPr>
        <w:ind w:left="720" w:hanging="360"/>
      </w:pPr>
      <w:rPr>
        <w:rFonts w:ascii="Times New Roman" w:eastAsia="Times New Roman" w:hAnsi="Times New Roman" w:cs="Times New Roman"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nsid w:val="78E53D83"/>
    <w:multiLevelType w:val="multilevel"/>
    <w:tmpl w:val="31305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9F87CBF"/>
    <w:multiLevelType w:val="hybridMultilevel"/>
    <w:tmpl w:val="104807B8"/>
    <w:lvl w:ilvl="0" w:tplc="BD12F836">
      <w:start w:val="1"/>
      <w:numFmt w:val="lowerLetter"/>
      <w:lvlText w:val="%1)"/>
      <w:lvlJc w:val="left"/>
      <w:pPr>
        <w:ind w:left="645" w:hanging="360"/>
      </w:pPr>
      <w:rPr>
        <w:rFonts w:hint="default"/>
      </w:rPr>
    </w:lvl>
    <w:lvl w:ilvl="1" w:tplc="BD12F836">
      <w:start w:val="1"/>
      <w:numFmt w:val="lowerLetter"/>
      <w:lvlText w:val="%2)"/>
      <w:lvlJc w:val="left"/>
      <w:pPr>
        <w:ind w:left="1365" w:hanging="360"/>
      </w:pPr>
      <w:rPr>
        <w:rFonts w:hint="default"/>
      </w:rPr>
    </w:lvl>
    <w:lvl w:ilvl="2" w:tplc="081D001B" w:tentative="1">
      <w:start w:val="1"/>
      <w:numFmt w:val="lowerRoman"/>
      <w:lvlText w:val="%3."/>
      <w:lvlJc w:val="right"/>
      <w:pPr>
        <w:ind w:left="2085" w:hanging="180"/>
      </w:pPr>
    </w:lvl>
    <w:lvl w:ilvl="3" w:tplc="081D000F" w:tentative="1">
      <w:start w:val="1"/>
      <w:numFmt w:val="decimal"/>
      <w:lvlText w:val="%4."/>
      <w:lvlJc w:val="left"/>
      <w:pPr>
        <w:ind w:left="2805" w:hanging="360"/>
      </w:pPr>
    </w:lvl>
    <w:lvl w:ilvl="4" w:tplc="081D0019" w:tentative="1">
      <w:start w:val="1"/>
      <w:numFmt w:val="lowerLetter"/>
      <w:lvlText w:val="%5."/>
      <w:lvlJc w:val="left"/>
      <w:pPr>
        <w:ind w:left="3525" w:hanging="360"/>
      </w:pPr>
    </w:lvl>
    <w:lvl w:ilvl="5" w:tplc="081D001B" w:tentative="1">
      <w:start w:val="1"/>
      <w:numFmt w:val="lowerRoman"/>
      <w:lvlText w:val="%6."/>
      <w:lvlJc w:val="right"/>
      <w:pPr>
        <w:ind w:left="4245" w:hanging="180"/>
      </w:pPr>
    </w:lvl>
    <w:lvl w:ilvl="6" w:tplc="081D000F" w:tentative="1">
      <w:start w:val="1"/>
      <w:numFmt w:val="decimal"/>
      <w:lvlText w:val="%7."/>
      <w:lvlJc w:val="left"/>
      <w:pPr>
        <w:ind w:left="4965" w:hanging="360"/>
      </w:pPr>
    </w:lvl>
    <w:lvl w:ilvl="7" w:tplc="081D0019" w:tentative="1">
      <w:start w:val="1"/>
      <w:numFmt w:val="lowerLetter"/>
      <w:lvlText w:val="%8."/>
      <w:lvlJc w:val="left"/>
      <w:pPr>
        <w:ind w:left="5685" w:hanging="360"/>
      </w:pPr>
    </w:lvl>
    <w:lvl w:ilvl="8" w:tplc="081D001B" w:tentative="1">
      <w:start w:val="1"/>
      <w:numFmt w:val="lowerRoman"/>
      <w:lvlText w:val="%9."/>
      <w:lvlJc w:val="right"/>
      <w:pPr>
        <w:ind w:left="6405" w:hanging="180"/>
      </w:pPr>
    </w:lvl>
  </w:abstractNum>
  <w:abstractNum w:abstractNumId="8">
    <w:nsid w:val="7D3A7B27"/>
    <w:multiLevelType w:val="hybridMultilevel"/>
    <w:tmpl w:val="104807B8"/>
    <w:lvl w:ilvl="0" w:tplc="BD12F836">
      <w:start w:val="1"/>
      <w:numFmt w:val="lowerLetter"/>
      <w:lvlText w:val="%1)"/>
      <w:lvlJc w:val="left"/>
      <w:pPr>
        <w:ind w:left="645" w:hanging="360"/>
      </w:pPr>
      <w:rPr>
        <w:rFonts w:hint="default"/>
      </w:rPr>
    </w:lvl>
    <w:lvl w:ilvl="1" w:tplc="BD12F836">
      <w:start w:val="1"/>
      <w:numFmt w:val="lowerLetter"/>
      <w:lvlText w:val="%2)"/>
      <w:lvlJc w:val="left"/>
      <w:pPr>
        <w:ind w:left="1365" w:hanging="360"/>
      </w:pPr>
      <w:rPr>
        <w:rFonts w:hint="default"/>
      </w:rPr>
    </w:lvl>
    <w:lvl w:ilvl="2" w:tplc="081D001B" w:tentative="1">
      <w:start w:val="1"/>
      <w:numFmt w:val="lowerRoman"/>
      <w:lvlText w:val="%3."/>
      <w:lvlJc w:val="right"/>
      <w:pPr>
        <w:ind w:left="2085" w:hanging="180"/>
      </w:pPr>
    </w:lvl>
    <w:lvl w:ilvl="3" w:tplc="081D000F" w:tentative="1">
      <w:start w:val="1"/>
      <w:numFmt w:val="decimal"/>
      <w:lvlText w:val="%4."/>
      <w:lvlJc w:val="left"/>
      <w:pPr>
        <w:ind w:left="2805" w:hanging="360"/>
      </w:pPr>
    </w:lvl>
    <w:lvl w:ilvl="4" w:tplc="081D0019" w:tentative="1">
      <w:start w:val="1"/>
      <w:numFmt w:val="lowerLetter"/>
      <w:lvlText w:val="%5."/>
      <w:lvlJc w:val="left"/>
      <w:pPr>
        <w:ind w:left="3525" w:hanging="360"/>
      </w:pPr>
    </w:lvl>
    <w:lvl w:ilvl="5" w:tplc="081D001B" w:tentative="1">
      <w:start w:val="1"/>
      <w:numFmt w:val="lowerRoman"/>
      <w:lvlText w:val="%6."/>
      <w:lvlJc w:val="right"/>
      <w:pPr>
        <w:ind w:left="4245" w:hanging="180"/>
      </w:pPr>
    </w:lvl>
    <w:lvl w:ilvl="6" w:tplc="081D000F" w:tentative="1">
      <w:start w:val="1"/>
      <w:numFmt w:val="decimal"/>
      <w:lvlText w:val="%7."/>
      <w:lvlJc w:val="left"/>
      <w:pPr>
        <w:ind w:left="4965" w:hanging="360"/>
      </w:pPr>
    </w:lvl>
    <w:lvl w:ilvl="7" w:tplc="081D0019" w:tentative="1">
      <w:start w:val="1"/>
      <w:numFmt w:val="lowerLetter"/>
      <w:lvlText w:val="%8."/>
      <w:lvlJc w:val="left"/>
      <w:pPr>
        <w:ind w:left="5685" w:hanging="360"/>
      </w:pPr>
    </w:lvl>
    <w:lvl w:ilvl="8" w:tplc="081D001B" w:tentative="1">
      <w:start w:val="1"/>
      <w:numFmt w:val="lowerRoman"/>
      <w:lvlText w:val="%9."/>
      <w:lvlJc w:val="right"/>
      <w:pPr>
        <w:ind w:left="6405" w:hanging="180"/>
      </w:pPr>
    </w:lvl>
  </w:abstractNum>
  <w:num w:numId="1">
    <w:abstractNumId w:val="0"/>
  </w:num>
  <w:num w:numId="2">
    <w:abstractNumId w:val="2"/>
  </w:num>
  <w:num w:numId="3">
    <w:abstractNumId w:val="3"/>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5"/>
  </w:num>
  <w:num w:numId="14">
    <w:abstractNumId w:val="7"/>
  </w:num>
  <w:num w:numId="15">
    <w:abstractNumId w:val="8"/>
  </w:num>
  <w:num w:numId="16">
    <w:abstractNumId w:val="4"/>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B0"/>
    <w:rsid w:val="00000287"/>
    <w:rsid w:val="00000941"/>
    <w:rsid w:val="0000118F"/>
    <w:rsid w:val="000025CB"/>
    <w:rsid w:val="00002672"/>
    <w:rsid w:val="00002BBE"/>
    <w:rsid w:val="00002D52"/>
    <w:rsid w:val="000030E0"/>
    <w:rsid w:val="00003BCF"/>
    <w:rsid w:val="00003BFE"/>
    <w:rsid w:val="0000447A"/>
    <w:rsid w:val="00004505"/>
    <w:rsid w:val="00004A0D"/>
    <w:rsid w:val="00004FE8"/>
    <w:rsid w:val="0000532C"/>
    <w:rsid w:val="000053CA"/>
    <w:rsid w:val="0000544F"/>
    <w:rsid w:val="000054C5"/>
    <w:rsid w:val="0000551E"/>
    <w:rsid w:val="00005904"/>
    <w:rsid w:val="00006802"/>
    <w:rsid w:val="00006FC9"/>
    <w:rsid w:val="00010429"/>
    <w:rsid w:val="000109AD"/>
    <w:rsid w:val="00010A83"/>
    <w:rsid w:val="00012196"/>
    <w:rsid w:val="00012779"/>
    <w:rsid w:val="000128E0"/>
    <w:rsid w:val="00013047"/>
    <w:rsid w:val="0001318E"/>
    <w:rsid w:val="000133D4"/>
    <w:rsid w:val="00013F02"/>
    <w:rsid w:val="00016563"/>
    <w:rsid w:val="00016754"/>
    <w:rsid w:val="00016F35"/>
    <w:rsid w:val="0001794B"/>
    <w:rsid w:val="00017CE1"/>
    <w:rsid w:val="00020500"/>
    <w:rsid w:val="00020E9E"/>
    <w:rsid w:val="000214A0"/>
    <w:rsid w:val="00021C87"/>
    <w:rsid w:val="00021EDA"/>
    <w:rsid w:val="00022898"/>
    <w:rsid w:val="00022CC3"/>
    <w:rsid w:val="000237AB"/>
    <w:rsid w:val="0002414B"/>
    <w:rsid w:val="00025065"/>
    <w:rsid w:val="0002550B"/>
    <w:rsid w:val="00026063"/>
    <w:rsid w:val="0002711E"/>
    <w:rsid w:val="00027879"/>
    <w:rsid w:val="00027EB0"/>
    <w:rsid w:val="00030137"/>
    <w:rsid w:val="000304FB"/>
    <w:rsid w:val="00030A0C"/>
    <w:rsid w:val="00030AB3"/>
    <w:rsid w:val="00030B9D"/>
    <w:rsid w:val="00030BD6"/>
    <w:rsid w:val="00030CA8"/>
    <w:rsid w:val="000312D2"/>
    <w:rsid w:val="0003148D"/>
    <w:rsid w:val="000316DF"/>
    <w:rsid w:val="000325FF"/>
    <w:rsid w:val="000328C0"/>
    <w:rsid w:val="000345CB"/>
    <w:rsid w:val="00035133"/>
    <w:rsid w:val="00035F47"/>
    <w:rsid w:val="0003617A"/>
    <w:rsid w:val="00036358"/>
    <w:rsid w:val="00040215"/>
    <w:rsid w:val="00041765"/>
    <w:rsid w:val="00041792"/>
    <w:rsid w:val="000422C5"/>
    <w:rsid w:val="0004279A"/>
    <w:rsid w:val="0004287A"/>
    <w:rsid w:val="00042B67"/>
    <w:rsid w:val="0004319C"/>
    <w:rsid w:val="00043363"/>
    <w:rsid w:val="0004422E"/>
    <w:rsid w:val="000445A2"/>
    <w:rsid w:val="00044FF6"/>
    <w:rsid w:val="0004507C"/>
    <w:rsid w:val="00045BF4"/>
    <w:rsid w:val="00045C35"/>
    <w:rsid w:val="00045DFD"/>
    <w:rsid w:val="00046F7C"/>
    <w:rsid w:val="00047049"/>
    <w:rsid w:val="000470CD"/>
    <w:rsid w:val="00050303"/>
    <w:rsid w:val="00051D66"/>
    <w:rsid w:val="00051E32"/>
    <w:rsid w:val="0005215B"/>
    <w:rsid w:val="000532AB"/>
    <w:rsid w:val="0005368C"/>
    <w:rsid w:val="000536BD"/>
    <w:rsid w:val="00053A21"/>
    <w:rsid w:val="00054C4B"/>
    <w:rsid w:val="00054C6C"/>
    <w:rsid w:val="00055B57"/>
    <w:rsid w:val="00055F66"/>
    <w:rsid w:val="00055F6C"/>
    <w:rsid w:val="00055F84"/>
    <w:rsid w:val="00055FFF"/>
    <w:rsid w:val="000562B1"/>
    <w:rsid w:val="00056DC7"/>
    <w:rsid w:val="00057347"/>
    <w:rsid w:val="000576E7"/>
    <w:rsid w:val="0006100E"/>
    <w:rsid w:val="000619B4"/>
    <w:rsid w:val="00062022"/>
    <w:rsid w:val="00062CE4"/>
    <w:rsid w:val="00063874"/>
    <w:rsid w:val="00065589"/>
    <w:rsid w:val="00066B61"/>
    <w:rsid w:val="00067409"/>
    <w:rsid w:val="0007028F"/>
    <w:rsid w:val="0007190A"/>
    <w:rsid w:val="00072AAF"/>
    <w:rsid w:val="000741A9"/>
    <w:rsid w:val="0007455A"/>
    <w:rsid w:val="000747A8"/>
    <w:rsid w:val="000751FB"/>
    <w:rsid w:val="00075789"/>
    <w:rsid w:val="0007627D"/>
    <w:rsid w:val="00076313"/>
    <w:rsid w:val="000765DA"/>
    <w:rsid w:val="0007688B"/>
    <w:rsid w:val="00076E77"/>
    <w:rsid w:val="00076ED7"/>
    <w:rsid w:val="00077049"/>
    <w:rsid w:val="000773EF"/>
    <w:rsid w:val="00077F4E"/>
    <w:rsid w:val="00081371"/>
    <w:rsid w:val="00081701"/>
    <w:rsid w:val="00081A4F"/>
    <w:rsid w:val="00081C66"/>
    <w:rsid w:val="00082543"/>
    <w:rsid w:val="0008425B"/>
    <w:rsid w:val="0008480B"/>
    <w:rsid w:val="00084961"/>
    <w:rsid w:val="0008583D"/>
    <w:rsid w:val="00085981"/>
    <w:rsid w:val="000867A6"/>
    <w:rsid w:val="00090E69"/>
    <w:rsid w:val="0009166F"/>
    <w:rsid w:val="00091704"/>
    <w:rsid w:val="000918D1"/>
    <w:rsid w:val="0009273F"/>
    <w:rsid w:val="000932E0"/>
    <w:rsid w:val="00093497"/>
    <w:rsid w:val="000938B5"/>
    <w:rsid w:val="00093CE3"/>
    <w:rsid w:val="00093DC1"/>
    <w:rsid w:val="00094136"/>
    <w:rsid w:val="000946C2"/>
    <w:rsid w:val="00094C7B"/>
    <w:rsid w:val="000954EC"/>
    <w:rsid w:val="000959C4"/>
    <w:rsid w:val="00095D87"/>
    <w:rsid w:val="0009635F"/>
    <w:rsid w:val="0009639B"/>
    <w:rsid w:val="000968C8"/>
    <w:rsid w:val="00096926"/>
    <w:rsid w:val="00097BC4"/>
    <w:rsid w:val="000A06AA"/>
    <w:rsid w:val="000A0775"/>
    <w:rsid w:val="000A1165"/>
    <w:rsid w:val="000A1ADF"/>
    <w:rsid w:val="000A1E6C"/>
    <w:rsid w:val="000A21F8"/>
    <w:rsid w:val="000A2435"/>
    <w:rsid w:val="000A27B0"/>
    <w:rsid w:val="000A3C92"/>
    <w:rsid w:val="000A4E52"/>
    <w:rsid w:val="000A5806"/>
    <w:rsid w:val="000A5B5D"/>
    <w:rsid w:val="000A5E81"/>
    <w:rsid w:val="000A5FD3"/>
    <w:rsid w:val="000A6146"/>
    <w:rsid w:val="000A695A"/>
    <w:rsid w:val="000A72B9"/>
    <w:rsid w:val="000A752C"/>
    <w:rsid w:val="000B013D"/>
    <w:rsid w:val="000B0270"/>
    <w:rsid w:val="000B07FB"/>
    <w:rsid w:val="000B1551"/>
    <w:rsid w:val="000B2673"/>
    <w:rsid w:val="000B3B62"/>
    <w:rsid w:val="000B567B"/>
    <w:rsid w:val="000B640B"/>
    <w:rsid w:val="000B6462"/>
    <w:rsid w:val="000B669E"/>
    <w:rsid w:val="000B6C8F"/>
    <w:rsid w:val="000B6EBC"/>
    <w:rsid w:val="000B7362"/>
    <w:rsid w:val="000B7880"/>
    <w:rsid w:val="000C015B"/>
    <w:rsid w:val="000C0309"/>
    <w:rsid w:val="000C0AC7"/>
    <w:rsid w:val="000C1F08"/>
    <w:rsid w:val="000C22BC"/>
    <w:rsid w:val="000C2BA4"/>
    <w:rsid w:val="000C39D6"/>
    <w:rsid w:val="000C3D3E"/>
    <w:rsid w:val="000C3F62"/>
    <w:rsid w:val="000C6F2A"/>
    <w:rsid w:val="000C71DD"/>
    <w:rsid w:val="000C7F3B"/>
    <w:rsid w:val="000D0FDB"/>
    <w:rsid w:val="000D19A4"/>
    <w:rsid w:val="000D2F0C"/>
    <w:rsid w:val="000D50CB"/>
    <w:rsid w:val="000D5430"/>
    <w:rsid w:val="000D563E"/>
    <w:rsid w:val="000D599B"/>
    <w:rsid w:val="000D62DB"/>
    <w:rsid w:val="000D63C9"/>
    <w:rsid w:val="000D6486"/>
    <w:rsid w:val="000D6F41"/>
    <w:rsid w:val="000D7263"/>
    <w:rsid w:val="000E0B07"/>
    <w:rsid w:val="000E1760"/>
    <w:rsid w:val="000E1D2E"/>
    <w:rsid w:val="000E253D"/>
    <w:rsid w:val="000E2C0A"/>
    <w:rsid w:val="000E3FBD"/>
    <w:rsid w:val="000E5E04"/>
    <w:rsid w:val="000E7B8F"/>
    <w:rsid w:val="000E7FA5"/>
    <w:rsid w:val="000F1202"/>
    <w:rsid w:val="000F1724"/>
    <w:rsid w:val="000F1B58"/>
    <w:rsid w:val="000F2774"/>
    <w:rsid w:val="000F2C74"/>
    <w:rsid w:val="000F304E"/>
    <w:rsid w:val="000F31D4"/>
    <w:rsid w:val="000F3717"/>
    <w:rsid w:val="000F451D"/>
    <w:rsid w:val="000F4AF6"/>
    <w:rsid w:val="000F5276"/>
    <w:rsid w:val="000F53E7"/>
    <w:rsid w:val="000F5D8D"/>
    <w:rsid w:val="000F77C0"/>
    <w:rsid w:val="000F7AA8"/>
    <w:rsid w:val="00100532"/>
    <w:rsid w:val="001009C8"/>
    <w:rsid w:val="00100AB2"/>
    <w:rsid w:val="001014E9"/>
    <w:rsid w:val="00101AD9"/>
    <w:rsid w:val="00102723"/>
    <w:rsid w:val="001029BB"/>
    <w:rsid w:val="00102F47"/>
    <w:rsid w:val="00103514"/>
    <w:rsid w:val="0010422B"/>
    <w:rsid w:val="0010447C"/>
    <w:rsid w:val="00104A27"/>
    <w:rsid w:val="00104E82"/>
    <w:rsid w:val="001059ED"/>
    <w:rsid w:val="00105A86"/>
    <w:rsid w:val="00105AD2"/>
    <w:rsid w:val="00105D1E"/>
    <w:rsid w:val="00106111"/>
    <w:rsid w:val="00106718"/>
    <w:rsid w:val="00106928"/>
    <w:rsid w:val="001072DD"/>
    <w:rsid w:val="00107C00"/>
    <w:rsid w:val="001100C2"/>
    <w:rsid w:val="001100D4"/>
    <w:rsid w:val="00110D66"/>
    <w:rsid w:val="00113F7A"/>
    <w:rsid w:val="00114379"/>
    <w:rsid w:val="0011486F"/>
    <w:rsid w:val="0011520A"/>
    <w:rsid w:val="00115855"/>
    <w:rsid w:val="001167EE"/>
    <w:rsid w:val="0012056E"/>
    <w:rsid w:val="00121084"/>
    <w:rsid w:val="00122040"/>
    <w:rsid w:val="001223E5"/>
    <w:rsid w:val="00122492"/>
    <w:rsid w:val="001224F0"/>
    <w:rsid w:val="00122649"/>
    <w:rsid w:val="001235A7"/>
    <w:rsid w:val="00123612"/>
    <w:rsid w:val="00123F79"/>
    <w:rsid w:val="00124395"/>
    <w:rsid w:val="001243DF"/>
    <w:rsid w:val="00124BCB"/>
    <w:rsid w:val="001256B7"/>
    <w:rsid w:val="001264A1"/>
    <w:rsid w:val="00126976"/>
    <w:rsid w:val="001274C0"/>
    <w:rsid w:val="0013054D"/>
    <w:rsid w:val="00130BB5"/>
    <w:rsid w:val="00131C13"/>
    <w:rsid w:val="001327E8"/>
    <w:rsid w:val="00132EBA"/>
    <w:rsid w:val="001345FE"/>
    <w:rsid w:val="001354CB"/>
    <w:rsid w:val="00137527"/>
    <w:rsid w:val="001378D8"/>
    <w:rsid w:val="00137FBC"/>
    <w:rsid w:val="00141F31"/>
    <w:rsid w:val="001430DB"/>
    <w:rsid w:val="0014700E"/>
    <w:rsid w:val="0014703C"/>
    <w:rsid w:val="0014739D"/>
    <w:rsid w:val="0014798E"/>
    <w:rsid w:val="00150B44"/>
    <w:rsid w:val="00150C81"/>
    <w:rsid w:val="00151CCD"/>
    <w:rsid w:val="00151D29"/>
    <w:rsid w:val="00153457"/>
    <w:rsid w:val="001534C7"/>
    <w:rsid w:val="001545A8"/>
    <w:rsid w:val="001548D8"/>
    <w:rsid w:val="00154BC2"/>
    <w:rsid w:val="00154C0A"/>
    <w:rsid w:val="00154E3C"/>
    <w:rsid w:val="00154F3A"/>
    <w:rsid w:val="0015505D"/>
    <w:rsid w:val="001558D2"/>
    <w:rsid w:val="0015684B"/>
    <w:rsid w:val="00156973"/>
    <w:rsid w:val="00156A27"/>
    <w:rsid w:val="001570CE"/>
    <w:rsid w:val="001571D8"/>
    <w:rsid w:val="0015735E"/>
    <w:rsid w:val="00157434"/>
    <w:rsid w:val="00157EAE"/>
    <w:rsid w:val="0016017F"/>
    <w:rsid w:val="00161C01"/>
    <w:rsid w:val="001620AC"/>
    <w:rsid w:val="0016236B"/>
    <w:rsid w:val="00162641"/>
    <w:rsid w:val="00162BA9"/>
    <w:rsid w:val="00162EB0"/>
    <w:rsid w:val="00164D76"/>
    <w:rsid w:val="00166AFD"/>
    <w:rsid w:val="00167110"/>
    <w:rsid w:val="0016728A"/>
    <w:rsid w:val="00167C74"/>
    <w:rsid w:val="0017020F"/>
    <w:rsid w:val="00170264"/>
    <w:rsid w:val="001702B6"/>
    <w:rsid w:val="00171373"/>
    <w:rsid w:val="00171431"/>
    <w:rsid w:val="00171E89"/>
    <w:rsid w:val="00172369"/>
    <w:rsid w:val="001723B8"/>
    <w:rsid w:val="001729E5"/>
    <w:rsid w:val="00172C36"/>
    <w:rsid w:val="00172F61"/>
    <w:rsid w:val="001731A7"/>
    <w:rsid w:val="00173B82"/>
    <w:rsid w:val="0017422E"/>
    <w:rsid w:val="00175B19"/>
    <w:rsid w:val="00175B74"/>
    <w:rsid w:val="00176106"/>
    <w:rsid w:val="00176484"/>
    <w:rsid w:val="00176AF0"/>
    <w:rsid w:val="0018030D"/>
    <w:rsid w:val="001808F8"/>
    <w:rsid w:val="00180E29"/>
    <w:rsid w:val="0018178F"/>
    <w:rsid w:val="00181EBE"/>
    <w:rsid w:val="00182DC1"/>
    <w:rsid w:val="00183E10"/>
    <w:rsid w:val="0018481A"/>
    <w:rsid w:val="0018536F"/>
    <w:rsid w:val="00185953"/>
    <w:rsid w:val="00185CA1"/>
    <w:rsid w:val="00185CF6"/>
    <w:rsid w:val="00186759"/>
    <w:rsid w:val="0019050C"/>
    <w:rsid w:val="0019092F"/>
    <w:rsid w:val="00190C83"/>
    <w:rsid w:val="0019123C"/>
    <w:rsid w:val="00191658"/>
    <w:rsid w:val="00191FED"/>
    <w:rsid w:val="001928D8"/>
    <w:rsid w:val="00192E1C"/>
    <w:rsid w:val="00193E0A"/>
    <w:rsid w:val="00193E3C"/>
    <w:rsid w:val="001944E0"/>
    <w:rsid w:val="00194AAD"/>
    <w:rsid w:val="001952D0"/>
    <w:rsid w:val="0019580C"/>
    <w:rsid w:val="00195E46"/>
    <w:rsid w:val="00195F5B"/>
    <w:rsid w:val="00196239"/>
    <w:rsid w:val="00196631"/>
    <w:rsid w:val="00196A1E"/>
    <w:rsid w:val="0019720F"/>
    <w:rsid w:val="00197F28"/>
    <w:rsid w:val="001A05B0"/>
    <w:rsid w:val="001A0C4C"/>
    <w:rsid w:val="001A1B55"/>
    <w:rsid w:val="001A3D02"/>
    <w:rsid w:val="001A4C1F"/>
    <w:rsid w:val="001A53F6"/>
    <w:rsid w:val="001A57F0"/>
    <w:rsid w:val="001A5A57"/>
    <w:rsid w:val="001A5BFF"/>
    <w:rsid w:val="001B048D"/>
    <w:rsid w:val="001B073A"/>
    <w:rsid w:val="001B074E"/>
    <w:rsid w:val="001B0F3F"/>
    <w:rsid w:val="001B133D"/>
    <w:rsid w:val="001B166E"/>
    <w:rsid w:val="001B2C96"/>
    <w:rsid w:val="001B552D"/>
    <w:rsid w:val="001B6252"/>
    <w:rsid w:val="001C0A57"/>
    <w:rsid w:val="001C0B32"/>
    <w:rsid w:val="001C1F52"/>
    <w:rsid w:val="001C2920"/>
    <w:rsid w:val="001C366C"/>
    <w:rsid w:val="001C46E9"/>
    <w:rsid w:val="001C53D4"/>
    <w:rsid w:val="001C5C04"/>
    <w:rsid w:val="001C636A"/>
    <w:rsid w:val="001C6B28"/>
    <w:rsid w:val="001C7848"/>
    <w:rsid w:val="001D0097"/>
    <w:rsid w:val="001D06B7"/>
    <w:rsid w:val="001D0946"/>
    <w:rsid w:val="001D0C23"/>
    <w:rsid w:val="001D0DEA"/>
    <w:rsid w:val="001D192A"/>
    <w:rsid w:val="001D1D3A"/>
    <w:rsid w:val="001D2227"/>
    <w:rsid w:val="001D28F7"/>
    <w:rsid w:val="001D348F"/>
    <w:rsid w:val="001D38D4"/>
    <w:rsid w:val="001D39EB"/>
    <w:rsid w:val="001D4E37"/>
    <w:rsid w:val="001D505A"/>
    <w:rsid w:val="001D60D2"/>
    <w:rsid w:val="001D61C5"/>
    <w:rsid w:val="001D638D"/>
    <w:rsid w:val="001D6CC3"/>
    <w:rsid w:val="001D759A"/>
    <w:rsid w:val="001D7C33"/>
    <w:rsid w:val="001D7D09"/>
    <w:rsid w:val="001E0C87"/>
    <w:rsid w:val="001E1E6A"/>
    <w:rsid w:val="001E32F9"/>
    <w:rsid w:val="001E423B"/>
    <w:rsid w:val="001E493E"/>
    <w:rsid w:val="001E4F30"/>
    <w:rsid w:val="001E5716"/>
    <w:rsid w:val="001E582A"/>
    <w:rsid w:val="001E5E40"/>
    <w:rsid w:val="001F03A5"/>
    <w:rsid w:val="001F0AA4"/>
    <w:rsid w:val="001F178F"/>
    <w:rsid w:val="001F1C11"/>
    <w:rsid w:val="001F215E"/>
    <w:rsid w:val="001F2357"/>
    <w:rsid w:val="001F30D8"/>
    <w:rsid w:val="001F4336"/>
    <w:rsid w:val="001F46C0"/>
    <w:rsid w:val="001F6157"/>
    <w:rsid w:val="001F6A3E"/>
    <w:rsid w:val="001F716C"/>
    <w:rsid w:val="002005A3"/>
    <w:rsid w:val="002007C5"/>
    <w:rsid w:val="00200845"/>
    <w:rsid w:val="00200FBF"/>
    <w:rsid w:val="002015CC"/>
    <w:rsid w:val="002019D1"/>
    <w:rsid w:val="00202894"/>
    <w:rsid w:val="00202D3C"/>
    <w:rsid w:val="00203A1A"/>
    <w:rsid w:val="00203A2C"/>
    <w:rsid w:val="00203F24"/>
    <w:rsid w:val="0020475E"/>
    <w:rsid w:val="00204772"/>
    <w:rsid w:val="0020571E"/>
    <w:rsid w:val="0020575A"/>
    <w:rsid w:val="0020575B"/>
    <w:rsid w:val="0020591C"/>
    <w:rsid w:val="0020642F"/>
    <w:rsid w:val="00206CD4"/>
    <w:rsid w:val="00207057"/>
    <w:rsid w:val="002102DD"/>
    <w:rsid w:val="00210634"/>
    <w:rsid w:val="002110D8"/>
    <w:rsid w:val="0021134E"/>
    <w:rsid w:val="00211DCE"/>
    <w:rsid w:val="002123F0"/>
    <w:rsid w:val="00212A72"/>
    <w:rsid w:val="0021396D"/>
    <w:rsid w:val="0021427A"/>
    <w:rsid w:val="00214823"/>
    <w:rsid w:val="00214879"/>
    <w:rsid w:val="00214CD9"/>
    <w:rsid w:val="00214DC3"/>
    <w:rsid w:val="00216A0F"/>
    <w:rsid w:val="002176FE"/>
    <w:rsid w:val="00220A41"/>
    <w:rsid w:val="002210F8"/>
    <w:rsid w:val="00221A1F"/>
    <w:rsid w:val="00221B49"/>
    <w:rsid w:val="00221D53"/>
    <w:rsid w:val="00222D5F"/>
    <w:rsid w:val="00223472"/>
    <w:rsid w:val="00224058"/>
    <w:rsid w:val="002248A8"/>
    <w:rsid w:val="00226383"/>
    <w:rsid w:val="002266C0"/>
    <w:rsid w:val="00227F7D"/>
    <w:rsid w:val="00230C14"/>
    <w:rsid w:val="00231C06"/>
    <w:rsid w:val="00231E54"/>
    <w:rsid w:val="00232AF5"/>
    <w:rsid w:val="002331AD"/>
    <w:rsid w:val="00233A86"/>
    <w:rsid w:val="00233A9D"/>
    <w:rsid w:val="00234E93"/>
    <w:rsid w:val="0023601C"/>
    <w:rsid w:val="002366FB"/>
    <w:rsid w:val="00236D28"/>
    <w:rsid w:val="0023760F"/>
    <w:rsid w:val="00237879"/>
    <w:rsid w:val="00237CC4"/>
    <w:rsid w:val="00241391"/>
    <w:rsid w:val="002418BE"/>
    <w:rsid w:val="00241E29"/>
    <w:rsid w:val="00242F43"/>
    <w:rsid w:val="00243E78"/>
    <w:rsid w:val="00245275"/>
    <w:rsid w:val="00245462"/>
    <w:rsid w:val="00246119"/>
    <w:rsid w:val="00246A83"/>
    <w:rsid w:val="00247D03"/>
    <w:rsid w:val="00250C69"/>
    <w:rsid w:val="00251CEB"/>
    <w:rsid w:val="00252D1E"/>
    <w:rsid w:val="00253AAE"/>
    <w:rsid w:val="00254A65"/>
    <w:rsid w:val="00254BB7"/>
    <w:rsid w:val="00257DB2"/>
    <w:rsid w:val="00260802"/>
    <w:rsid w:val="0026093F"/>
    <w:rsid w:val="002610DF"/>
    <w:rsid w:val="00261555"/>
    <w:rsid w:val="00262CA5"/>
    <w:rsid w:val="00262DF4"/>
    <w:rsid w:val="00264D71"/>
    <w:rsid w:val="00265084"/>
    <w:rsid w:val="002651F7"/>
    <w:rsid w:val="002669C2"/>
    <w:rsid w:val="00272139"/>
    <w:rsid w:val="002735E6"/>
    <w:rsid w:val="00274A64"/>
    <w:rsid w:val="00274C53"/>
    <w:rsid w:val="00275012"/>
    <w:rsid w:val="00275675"/>
    <w:rsid w:val="00275CE7"/>
    <w:rsid w:val="00276103"/>
    <w:rsid w:val="00276EF8"/>
    <w:rsid w:val="00277CEC"/>
    <w:rsid w:val="00280166"/>
    <w:rsid w:val="002806F2"/>
    <w:rsid w:val="002812C4"/>
    <w:rsid w:val="0028157A"/>
    <w:rsid w:val="00282B2A"/>
    <w:rsid w:val="00282C54"/>
    <w:rsid w:val="0028301F"/>
    <w:rsid w:val="00284406"/>
    <w:rsid w:val="00285C20"/>
    <w:rsid w:val="00285C33"/>
    <w:rsid w:val="0028656D"/>
    <w:rsid w:val="00286587"/>
    <w:rsid w:val="002871B4"/>
    <w:rsid w:val="002873EF"/>
    <w:rsid w:val="0028752D"/>
    <w:rsid w:val="00287B9F"/>
    <w:rsid w:val="002906D8"/>
    <w:rsid w:val="00290DE2"/>
    <w:rsid w:val="0029110C"/>
    <w:rsid w:val="002914BB"/>
    <w:rsid w:val="0029175C"/>
    <w:rsid w:val="002922C6"/>
    <w:rsid w:val="00292450"/>
    <w:rsid w:val="00293D91"/>
    <w:rsid w:val="00293EBE"/>
    <w:rsid w:val="00293FCA"/>
    <w:rsid w:val="00294F2F"/>
    <w:rsid w:val="0029508F"/>
    <w:rsid w:val="00295818"/>
    <w:rsid w:val="00295B8A"/>
    <w:rsid w:val="00295E39"/>
    <w:rsid w:val="00295F7F"/>
    <w:rsid w:val="00296684"/>
    <w:rsid w:val="002967A4"/>
    <w:rsid w:val="00296987"/>
    <w:rsid w:val="00296A6D"/>
    <w:rsid w:val="00296BA3"/>
    <w:rsid w:val="00297C92"/>
    <w:rsid w:val="00297EE7"/>
    <w:rsid w:val="002A0031"/>
    <w:rsid w:val="002A162A"/>
    <w:rsid w:val="002A185E"/>
    <w:rsid w:val="002A1D43"/>
    <w:rsid w:val="002A3BB4"/>
    <w:rsid w:val="002A3E40"/>
    <w:rsid w:val="002A4664"/>
    <w:rsid w:val="002A48F6"/>
    <w:rsid w:val="002A5686"/>
    <w:rsid w:val="002A62EF"/>
    <w:rsid w:val="002A6771"/>
    <w:rsid w:val="002A6978"/>
    <w:rsid w:val="002A7161"/>
    <w:rsid w:val="002A75C9"/>
    <w:rsid w:val="002B0D7A"/>
    <w:rsid w:val="002B103D"/>
    <w:rsid w:val="002B13B9"/>
    <w:rsid w:val="002B1509"/>
    <w:rsid w:val="002B1861"/>
    <w:rsid w:val="002B1EC0"/>
    <w:rsid w:val="002B23A2"/>
    <w:rsid w:val="002B421C"/>
    <w:rsid w:val="002B4386"/>
    <w:rsid w:val="002B43E2"/>
    <w:rsid w:val="002B57E7"/>
    <w:rsid w:val="002B59F9"/>
    <w:rsid w:val="002B5AD0"/>
    <w:rsid w:val="002B5FF8"/>
    <w:rsid w:val="002B72F5"/>
    <w:rsid w:val="002B75FD"/>
    <w:rsid w:val="002B78E9"/>
    <w:rsid w:val="002C0393"/>
    <w:rsid w:val="002C0678"/>
    <w:rsid w:val="002C0BF7"/>
    <w:rsid w:val="002C125A"/>
    <w:rsid w:val="002C131B"/>
    <w:rsid w:val="002C19B4"/>
    <w:rsid w:val="002C31FC"/>
    <w:rsid w:val="002C3BEF"/>
    <w:rsid w:val="002C3D5D"/>
    <w:rsid w:val="002C4109"/>
    <w:rsid w:val="002C42B9"/>
    <w:rsid w:val="002C4FD8"/>
    <w:rsid w:val="002C53BE"/>
    <w:rsid w:val="002C5FBA"/>
    <w:rsid w:val="002C644B"/>
    <w:rsid w:val="002C697B"/>
    <w:rsid w:val="002C6E8F"/>
    <w:rsid w:val="002C70FB"/>
    <w:rsid w:val="002C7673"/>
    <w:rsid w:val="002C78B5"/>
    <w:rsid w:val="002C78D3"/>
    <w:rsid w:val="002D0785"/>
    <w:rsid w:val="002D1804"/>
    <w:rsid w:val="002D1E12"/>
    <w:rsid w:val="002D2A90"/>
    <w:rsid w:val="002D2BE6"/>
    <w:rsid w:val="002D3730"/>
    <w:rsid w:val="002D3787"/>
    <w:rsid w:val="002D3F4B"/>
    <w:rsid w:val="002D4615"/>
    <w:rsid w:val="002D591B"/>
    <w:rsid w:val="002D75E1"/>
    <w:rsid w:val="002D7707"/>
    <w:rsid w:val="002D7E5F"/>
    <w:rsid w:val="002D7F0E"/>
    <w:rsid w:val="002E0549"/>
    <w:rsid w:val="002E0A26"/>
    <w:rsid w:val="002E12B3"/>
    <w:rsid w:val="002E1515"/>
    <w:rsid w:val="002E1D5E"/>
    <w:rsid w:val="002E23B0"/>
    <w:rsid w:val="002E3A2C"/>
    <w:rsid w:val="002E3BB4"/>
    <w:rsid w:val="002E411F"/>
    <w:rsid w:val="002E444A"/>
    <w:rsid w:val="002E49CE"/>
    <w:rsid w:val="002E4E89"/>
    <w:rsid w:val="002E4F6C"/>
    <w:rsid w:val="002E5A30"/>
    <w:rsid w:val="002E5EBF"/>
    <w:rsid w:val="002E6972"/>
    <w:rsid w:val="002E69BE"/>
    <w:rsid w:val="002E69ED"/>
    <w:rsid w:val="002E6EBB"/>
    <w:rsid w:val="002E7610"/>
    <w:rsid w:val="002F030A"/>
    <w:rsid w:val="002F1465"/>
    <w:rsid w:val="002F1F36"/>
    <w:rsid w:val="002F36B6"/>
    <w:rsid w:val="002F394A"/>
    <w:rsid w:val="002F3F56"/>
    <w:rsid w:val="002F3F59"/>
    <w:rsid w:val="002F4158"/>
    <w:rsid w:val="002F4275"/>
    <w:rsid w:val="002F42D2"/>
    <w:rsid w:val="002F44BC"/>
    <w:rsid w:val="002F45D1"/>
    <w:rsid w:val="002F5087"/>
    <w:rsid w:val="002F50F3"/>
    <w:rsid w:val="002F5649"/>
    <w:rsid w:val="002F668C"/>
    <w:rsid w:val="002F6DF1"/>
    <w:rsid w:val="002F765E"/>
    <w:rsid w:val="0030008B"/>
    <w:rsid w:val="00301B37"/>
    <w:rsid w:val="003022A6"/>
    <w:rsid w:val="003027C3"/>
    <w:rsid w:val="0030347E"/>
    <w:rsid w:val="003042D8"/>
    <w:rsid w:val="0031024A"/>
    <w:rsid w:val="00313A7D"/>
    <w:rsid w:val="00315BEA"/>
    <w:rsid w:val="00315FB3"/>
    <w:rsid w:val="0031639F"/>
    <w:rsid w:val="0031640A"/>
    <w:rsid w:val="00317B76"/>
    <w:rsid w:val="00317E02"/>
    <w:rsid w:val="00317E84"/>
    <w:rsid w:val="00320115"/>
    <w:rsid w:val="003207E5"/>
    <w:rsid w:val="003213D0"/>
    <w:rsid w:val="003213FD"/>
    <w:rsid w:val="003219D1"/>
    <w:rsid w:val="00321C5E"/>
    <w:rsid w:val="00322345"/>
    <w:rsid w:val="00322DB0"/>
    <w:rsid w:val="0032302C"/>
    <w:rsid w:val="00323369"/>
    <w:rsid w:val="00323E17"/>
    <w:rsid w:val="00324221"/>
    <w:rsid w:val="00324E42"/>
    <w:rsid w:val="003256B2"/>
    <w:rsid w:val="00325E93"/>
    <w:rsid w:val="0032675E"/>
    <w:rsid w:val="00327164"/>
    <w:rsid w:val="00327249"/>
    <w:rsid w:val="003272BC"/>
    <w:rsid w:val="00327BC5"/>
    <w:rsid w:val="00327FFC"/>
    <w:rsid w:val="003301F8"/>
    <w:rsid w:val="00330443"/>
    <w:rsid w:val="0033112F"/>
    <w:rsid w:val="00331339"/>
    <w:rsid w:val="00332540"/>
    <w:rsid w:val="00332BF3"/>
    <w:rsid w:val="00333FC9"/>
    <w:rsid w:val="003342B9"/>
    <w:rsid w:val="003348BC"/>
    <w:rsid w:val="00334D63"/>
    <w:rsid w:val="00334EA8"/>
    <w:rsid w:val="003356D2"/>
    <w:rsid w:val="0033612B"/>
    <w:rsid w:val="00336429"/>
    <w:rsid w:val="003366F0"/>
    <w:rsid w:val="00336801"/>
    <w:rsid w:val="00337256"/>
    <w:rsid w:val="00337E93"/>
    <w:rsid w:val="00337E9A"/>
    <w:rsid w:val="00340365"/>
    <w:rsid w:val="0034132F"/>
    <w:rsid w:val="003417C0"/>
    <w:rsid w:val="00342FC4"/>
    <w:rsid w:val="0034378A"/>
    <w:rsid w:val="00343AB3"/>
    <w:rsid w:val="00343BE4"/>
    <w:rsid w:val="00344384"/>
    <w:rsid w:val="003444DF"/>
    <w:rsid w:val="00344FB3"/>
    <w:rsid w:val="00346E48"/>
    <w:rsid w:val="00347774"/>
    <w:rsid w:val="003477D3"/>
    <w:rsid w:val="003479DF"/>
    <w:rsid w:val="00347C42"/>
    <w:rsid w:val="003501E5"/>
    <w:rsid w:val="00350352"/>
    <w:rsid w:val="00351217"/>
    <w:rsid w:val="00351608"/>
    <w:rsid w:val="00351C52"/>
    <w:rsid w:val="00352479"/>
    <w:rsid w:val="00352506"/>
    <w:rsid w:val="003527C0"/>
    <w:rsid w:val="00354CE8"/>
    <w:rsid w:val="00355104"/>
    <w:rsid w:val="0035661E"/>
    <w:rsid w:val="00356A22"/>
    <w:rsid w:val="00357622"/>
    <w:rsid w:val="00357B6C"/>
    <w:rsid w:val="00357FC3"/>
    <w:rsid w:val="0036049F"/>
    <w:rsid w:val="00360FCC"/>
    <w:rsid w:val="00361622"/>
    <w:rsid w:val="0036184F"/>
    <w:rsid w:val="00361A08"/>
    <w:rsid w:val="003623E1"/>
    <w:rsid w:val="003630D6"/>
    <w:rsid w:val="00363C34"/>
    <w:rsid w:val="00364D75"/>
    <w:rsid w:val="003655D9"/>
    <w:rsid w:val="0036789A"/>
    <w:rsid w:val="00370078"/>
    <w:rsid w:val="00370B9C"/>
    <w:rsid w:val="00370BC0"/>
    <w:rsid w:val="00372000"/>
    <w:rsid w:val="00372ACE"/>
    <w:rsid w:val="00372AE1"/>
    <w:rsid w:val="00373E10"/>
    <w:rsid w:val="003741C2"/>
    <w:rsid w:val="00374B01"/>
    <w:rsid w:val="00374DF4"/>
    <w:rsid w:val="00374F2F"/>
    <w:rsid w:val="00375512"/>
    <w:rsid w:val="003755B1"/>
    <w:rsid w:val="003760D4"/>
    <w:rsid w:val="003764C5"/>
    <w:rsid w:val="00377CAD"/>
    <w:rsid w:val="00381037"/>
    <w:rsid w:val="00381F1D"/>
    <w:rsid w:val="00381FAA"/>
    <w:rsid w:val="0038204F"/>
    <w:rsid w:val="00382ECB"/>
    <w:rsid w:val="003831FD"/>
    <w:rsid w:val="00383533"/>
    <w:rsid w:val="003835DE"/>
    <w:rsid w:val="00383EB8"/>
    <w:rsid w:val="00386AAE"/>
    <w:rsid w:val="003902EF"/>
    <w:rsid w:val="003906DB"/>
    <w:rsid w:val="00390776"/>
    <w:rsid w:val="003907AC"/>
    <w:rsid w:val="00390E3E"/>
    <w:rsid w:val="00390FE7"/>
    <w:rsid w:val="00391A7F"/>
    <w:rsid w:val="00391E1E"/>
    <w:rsid w:val="00391E49"/>
    <w:rsid w:val="00392A61"/>
    <w:rsid w:val="00396024"/>
    <w:rsid w:val="003962EC"/>
    <w:rsid w:val="00396355"/>
    <w:rsid w:val="00396509"/>
    <w:rsid w:val="0039695A"/>
    <w:rsid w:val="003973F3"/>
    <w:rsid w:val="003A087A"/>
    <w:rsid w:val="003A1BE6"/>
    <w:rsid w:val="003A2B0E"/>
    <w:rsid w:val="003A2C7C"/>
    <w:rsid w:val="003A3058"/>
    <w:rsid w:val="003A30AB"/>
    <w:rsid w:val="003A4F61"/>
    <w:rsid w:val="003A5B4A"/>
    <w:rsid w:val="003A605B"/>
    <w:rsid w:val="003A6681"/>
    <w:rsid w:val="003A72AA"/>
    <w:rsid w:val="003A7538"/>
    <w:rsid w:val="003B1464"/>
    <w:rsid w:val="003B1BC9"/>
    <w:rsid w:val="003B2D08"/>
    <w:rsid w:val="003B34E4"/>
    <w:rsid w:val="003B3E22"/>
    <w:rsid w:val="003B4940"/>
    <w:rsid w:val="003B59CF"/>
    <w:rsid w:val="003B6E7B"/>
    <w:rsid w:val="003C078C"/>
    <w:rsid w:val="003C18AF"/>
    <w:rsid w:val="003C1ACC"/>
    <w:rsid w:val="003C2246"/>
    <w:rsid w:val="003C23C3"/>
    <w:rsid w:val="003C295A"/>
    <w:rsid w:val="003C44EE"/>
    <w:rsid w:val="003C4FE5"/>
    <w:rsid w:val="003C505A"/>
    <w:rsid w:val="003C5938"/>
    <w:rsid w:val="003C59CE"/>
    <w:rsid w:val="003C5F72"/>
    <w:rsid w:val="003C7206"/>
    <w:rsid w:val="003C79EE"/>
    <w:rsid w:val="003C7D1F"/>
    <w:rsid w:val="003D025B"/>
    <w:rsid w:val="003D0399"/>
    <w:rsid w:val="003D069E"/>
    <w:rsid w:val="003D1F95"/>
    <w:rsid w:val="003D25D2"/>
    <w:rsid w:val="003D2610"/>
    <w:rsid w:val="003D286C"/>
    <w:rsid w:val="003D38F1"/>
    <w:rsid w:val="003D3BD3"/>
    <w:rsid w:val="003D4333"/>
    <w:rsid w:val="003D4569"/>
    <w:rsid w:val="003D56F9"/>
    <w:rsid w:val="003D588F"/>
    <w:rsid w:val="003D6AB5"/>
    <w:rsid w:val="003D719F"/>
    <w:rsid w:val="003D7473"/>
    <w:rsid w:val="003D7A6C"/>
    <w:rsid w:val="003D7CE5"/>
    <w:rsid w:val="003E05FE"/>
    <w:rsid w:val="003E06A6"/>
    <w:rsid w:val="003E0A44"/>
    <w:rsid w:val="003E0E0D"/>
    <w:rsid w:val="003E2645"/>
    <w:rsid w:val="003E28AD"/>
    <w:rsid w:val="003E2E4D"/>
    <w:rsid w:val="003E3458"/>
    <w:rsid w:val="003E34A1"/>
    <w:rsid w:val="003E3527"/>
    <w:rsid w:val="003E3F09"/>
    <w:rsid w:val="003E3F71"/>
    <w:rsid w:val="003E4456"/>
    <w:rsid w:val="003E49BA"/>
    <w:rsid w:val="003E51A9"/>
    <w:rsid w:val="003E5CBB"/>
    <w:rsid w:val="003E6B04"/>
    <w:rsid w:val="003E7543"/>
    <w:rsid w:val="003E7586"/>
    <w:rsid w:val="003E784A"/>
    <w:rsid w:val="003F094E"/>
    <w:rsid w:val="003F22C1"/>
    <w:rsid w:val="003F2C7C"/>
    <w:rsid w:val="003F2FFA"/>
    <w:rsid w:val="003F30A0"/>
    <w:rsid w:val="003F6303"/>
    <w:rsid w:val="003F78B7"/>
    <w:rsid w:val="0040032B"/>
    <w:rsid w:val="0040041A"/>
    <w:rsid w:val="00400AE0"/>
    <w:rsid w:val="00400B4C"/>
    <w:rsid w:val="004014B2"/>
    <w:rsid w:val="004017C5"/>
    <w:rsid w:val="0040253B"/>
    <w:rsid w:val="004025AE"/>
    <w:rsid w:val="00402844"/>
    <w:rsid w:val="00403189"/>
    <w:rsid w:val="0040437D"/>
    <w:rsid w:val="00404AC7"/>
    <w:rsid w:val="00404C67"/>
    <w:rsid w:val="00404E7A"/>
    <w:rsid w:val="00405610"/>
    <w:rsid w:val="004067A8"/>
    <w:rsid w:val="00406B31"/>
    <w:rsid w:val="004071E7"/>
    <w:rsid w:val="004073F5"/>
    <w:rsid w:val="00407844"/>
    <w:rsid w:val="00407B9B"/>
    <w:rsid w:val="00410456"/>
    <w:rsid w:val="0041157B"/>
    <w:rsid w:val="004116FF"/>
    <w:rsid w:val="00411DAE"/>
    <w:rsid w:val="00411E19"/>
    <w:rsid w:val="004128D5"/>
    <w:rsid w:val="00412C8B"/>
    <w:rsid w:val="00413430"/>
    <w:rsid w:val="00413905"/>
    <w:rsid w:val="004146B3"/>
    <w:rsid w:val="00414C24"/>
    <w:rsid w:val="00415471"/>
    <w:rsid w:val="00416A14"/>
    <w:rsid w:val="00416BBD"/>
    <w:rsid w:val="004172D8"/>
    <w:rsid w:val="004173F2"/>
    <w:rsid w:val="00417AD8"/>
    <w:rsid w:val="00421815"/>
    <w:rsid w:val="00421BB3"/>
    <w:rsid w:val="00422550"/>
    <w:rsid w:val="00422811"/>
    <w:rsid w:val="00423013"/>
    <w:rsid w:val="00425B5A"/>
    <w:rsid w:val="00426E22"/>
    <w:rsid w:val="0042707D"/>
    <w:rsid w:val="00427AC2"/>
    <w:rsid w:val="0043001F"/>
    <w:rsid w:val="0043007B"/>
    <w:rsid w:val="004303A0"/>
    <w:rsid w:val="0043055F"/>
    <w:rsid w:val="00430DA7"/>
    <w:rsid w:val="004312AA"/>
    <w:rsid w:val="004314EC"/>
    <w:rsid w:val="004321B5"/>
    <w:rsid w:val="004322A0"/>
    <w:rsid w:val="0043263A"/>
    <w:rsid w:val="00433744"/>
    <w:rsid w:val="00433950"/>
    <w:rsid w:val="00433B11"/>
    <w:rsid w:val="00434D63"/>
    <w:rsid w:val="004352E7"/>
    <w:rsid w:val="004361F1"/>
    <w:rsid w:val="00436254"/>
    <w:rsid w:val="00436340"/>
    <w:rsid w:val="00437808"/>
    <w:rsid w:val="00437DB0"/>
    <w:rsid w:val="00441F91"/>
    <w:rsid w:val="004428A5"/>
    <w:rsid w:val="00442B2B"/>
    <w:rsid w:val="0044358F"/>
    <w:rsid w:val="00444385"/>
    <w:rsid w:val="00445EEC"/>
    <w:rsid w:val="0044721D"/>
    <w:rsid w:val="0044734D"/>
    <w:rsid w:val="00447D1E"/>
    <w:rsid w:val="00450A81"/>
    <w:rsid w:val="00450CD2"/>
    <w:rsid w:val="00451057"/>
    <w:rsid w:val="00451263"/>
    <w:rsid w:val="0045185E"/>
    <w:rsid w:val="00451CE7"/>
    <w:rsid w:val="00452FD1"/>
    <w:rsid w:val="004532DE"/>
    <w:rsid w:val="00453C8D"/>
    <w:rsid w:val="00454335"/>
    <w:rsid w:val="00454840"/>
    <w:rsid w:val="004549C8"/>
    <w:rsid w:val="004556DF"/>
    <w:rsid w:val="00455C09"/>
    <w:rsid w:val="0045657C"/>
    <w:rsid w:val="004565CF"/>
    <w:rsid w:val="00456D10"/>
    <w:rsid w:val="00456DB7"/>
    <w:rsid w:val="00461A2A"/>
    <w:rsid w:val="00461F0D"/>
    <w:rsid w:val="004621C2"/>
    <w:rsid w:val="00462368"/>
    <w:rsid w:val="00463543"/>
    <w:rsid w:val="0046487D"/>
    <w:rsid w:val="00464E03"/>
    <w:rsid w:val="00464EA2"/>
    <w:rsid w:val="004654EA"/>
    <w:rsid w:val="004662CD"/>
    <w:rsid w:val="004662FA"/>
    <w:rsid w:val="004671B8"/>
    <w:rsid w:val="00467BAB"/>
    <w:rsid w:val="00470194"/>
    <w:rsid w:val="00471C68"/>
    <w:rsid w:val="0047214C"/>
    <w:rsid w:val="00472BE0"/>
    <w:rsid w:val="00472EFF"/>
    <w:rsid w:val="00472FBE"/>
    <w:rsid w:val="00474503"/>
    <w:rsid w:val="00474998"/>
    <w:rsid w:val="004749C3"/>
    <w:rsid w:val="004758B6"/>
    <w:rsid w:val="00477FAB"/>
    <w:rsid w:val="00481E92"/>
    <w:rsid w:val="00484161"/>
    <w:rsid w:val="004843C0"/>
    <w:rsid w:val="004845D4"/>
    <w:rsid w:val="00484BC2"/>
    <w:rsid w:val="0048528C"/>
    <w:rsid w:val="00485690"/>
    <w:rsid w:val="00485D4C"/>
    <w:rsid w:val="00485E0C"/>
    <w:rsid w:val="00485E10"/>
    <w:rsid w:val="00485EA2"/>
    <w:rsid w:val="004872EF"/>
    <w:rsid w:val="00490038"/>
    <w:rsid w:val="0049071E"/>
    <w:rsid w:val="004909F9"/>
    <w:rsid w:val="004928F7"/>
    <w:rsid w:val="00492E38"/>
    <w:rsid w:val="00493AE0"/>
    <w:rsid w:val="0049445D"/>
    <w:rsid w:val="0049447F"/>
    <w:rsid w:val="00494590"/>
    <w:rsid w:val="004947CB"/>
    <w:rsid w:val="00495132"/>
    <w:rsid w:val="00495374"/>
    <w:rsid w:val="0049539F"/>
    <w:rsid w:val="0049597D"/>
    <w:rsid w:val="00496233"/>
    <w:rsid w:val="004970D5"/>
    <w:rsid w:val="00497BD4"/>
    <w:rsid w:val="004A08DB"/>
    <w:rsid w:val="004A19F8"/>
    <w:rsid w:val="004A28CC"/>
    <w:rsid w:val="004A28E5"/>
    <w:rsid w:val="004A2D0C"/>
    <w:rsid w:val="004A2E7B"/>
    <w:rsid w:val="004A2EAB"/>
    <w:rsid w:val="004A40C6"/>
    <w:rsid w:val="004A50E9"/>
    <w:rsid w:val="004A5963"/>
    <w:rsid w:val="004A6886"/>
    <w:rsid w:val="004A6927"/>
    <w:rsid w:val="004A6BA1"/>
    <w:rsid w:val="004A75AC"/>
    <w:rsid w:val="004A7D27"/>
    <w:rsid w:val="004A7D31"/>
    <w:rsid w:val="004A7E21"/>
    <w:rsid w:val="004B0E95"/>
    <w:rsid w:val="004B1C23"/>
    <w:rsid w:val="004B28F0"/>
    <w:rsid w:val="004B3905"/>
    <w:rsid w:val="004B4849"/>
    <w:rsid w:val="004B5E16"/>
    <w:rsid w:val="004B63A1"/>
    <w:rsid w:val="004B71FE"/>
    <w:rsid w:val="004B7830"/>
    <w:rsid w:val="004B7F19"/>
    <w:rsid w:val="004C023E"/>
    <w:rsid w:val="004C1E7E"/>
    <w:rsid w:val="004C3A56"/>
    <w:rsid w:val="004C577D"/>
    <w:rsid w:val="004C5A58"/>
    <w:rsid w:val="004C5C0E"/>
    <w:rsid w:val="004C5D48"/>
    <w:rsid w:val="004C6EE4"/>
    <w:rsid w:val="004D1BE9"/>
    <w:rsid w:val="004D22BC"/>
    <w:rsid w:val="004D2BDC"/>
    <w:rsid w:val="004D2EDD"/>
    <w:rsid w:val="004D2FEE"/>
    <w:rsid w:val="004D447D"/>
    <w:rsid w:val="004D5183"/>
    <w:rsid w:val="004D5DF0"/>
    <w:rsid w:val="004D6C06"/>
    <w:rsid w:val="004D7F04"/>
    <w:rsid w:val="004D7FC7"/>
    <w:rsid w:val="004E03F9"/>
    <w:rsid w:val="004E0996"/>
    <w:rsid w:val="004E0AC0"/>
    <w:rsid w:val="004E15A7"/>
    <w:rsid w:val="004E16C7"/>
    <w:rsid w:val="004E171C"/>
    <w:rsid w:val="004E2457"/>
    <w:rsid w:val="004E2838"/>
    <w:rsid w:val="004E2FEE"/>
    <w:rsid w:val="004E33E8"/>
    <w:rsid w:val="004E3B35"/>
    <w:rsid w:val="004E3CD9"/>
    <w:rsid w:val="004E46EA"/>
    <w:rsid w:val="004E4F42"/>
    <w:rsid w:val="004E5DE2"/>
    <w:rsid w:val="004E6238"/>
    <w:rsid w:val="004F048A"/>
    <w:rsid w:val="004F083B"/>
    <w:rsid w:val="004F126C"/>
    <w:rsid w:val="004F1D2E"/>
    <w:rsid w:val="004F2191"/>
    <w:rsid w:val="004F221E"/>
    <w:rsid w:val="004F311F"/>
    <w:rsid w:val="004F33B0"/>
    <w:rsid w:val="004F3A2A"/>
    <w:rsid w:val="004F430F"/>
    <w:rsid w:val="004F5A12"/>
    <w:rsid w:val="004F6734"/>
    <w:rsid w:val="004F6EEB"/>
    <w:rsid w:val="004F7255"/>
    <w:rsid w:val="004F7CDD"/>
    <w:rsid w:val="004F7E6B"/>
    <w:rsid w:val="00500331"/>
    <w:rsid w:val="00500827"/>
    <w:rsid w:val="00500D82"/>
    <w:rsid w:val="005019C6"/>
    <w:rsid w:val="00501ABA"/>
    <w:rsid w:val="0050260A"/>
    <w:rsid w:val="00502AC8"/>
    <w:rsid w:val="00503052"/>
    <w:rsid w:val="005031E8"/>
    <w:rsid w:val="00505076"/>
    <w:rsid w:val="00505947"/>
    <w:rsid w:val="00505D6E"/>
    <w:rsid w:val="00506D02"/>
    <w:rsid w:val="0050752E"/>
    <w:rsid w:val="00507678"/>
    <w:rsid w:val="00510AAC"/>
    <w:rsid w:val="00510AD4"/>
    <w:rsid w:val="00510CF8"/>
    <w:rsid w:val="00510ECD"/>
    <w:rsid w:val="00511360"/>
    <w:rsid w:val="00511CB8"/>
    <w:rsid w:val="005120AD"/>
    <w:rsid w:val="0051243B"/>
    <w:rsid w:val="0051336B"/>
    <w:rsid w:val="00514208"/>
    <w:rsid w:val="005148EE"/>
    <w:rsid w:val="005156B6"/>
    <w:rsid w:val="0051608E"/>
    <w:rsid w:val="00516AD7"/>
    <w:rsid w:val="00516BBB"/>
    <w:rsid w:val="0051734F"/>
    <w:rsid w:val="0052027E"/>
    <w:rsid w:val="00521B53"/>
    <w:rsid w:val="00521DE9"/>
    <w:rsid w:val="00522210"/>
    <w:rsid w:val="00522E36"/>
    <w:rsid w:val="00522FD0"/>
    <w:rsid w:val="00523310"/>
    <w:rsid w:val="00523D27"/>
    <w:rsid w:val="00523F42"/>
    <w:rsid w:val="0052522D"/>
    <w:rsid w:val="0052528A"/>
    <w:rsid w:val="0052593F"/>
    <w:rsid w:val="00525E50"/>
    <w:rsid w:val="00526BB8"/>
    <w:rsid w:val="00526DD1"/>
    <w:rsid w:val="00530398"/>
    <w:rsid w:val="0053182A"/>
    <w:rsid w:val="00531F52"/>
    <w:rsid w:val="00532988"/>
    <w:rsid w:val="00532F7A"/>
    <w:rsid w:val="0053387D"/>
    <w:rsid w:val="00533CAE"/>
    <w:rsid w:val="00534590"/>
    <w:rsid w:val="005351C2"/>
    <w:rsid w:val="005352B4"/>
    <w:rsid w:val="0053600D"/>
    <w:rsid w:val="0053673D"/>
    <w:rsid w:val="00537397"/>
    <w:rsid w:val="005375F6"/>
    <w:rsid w:val="00537E06"/>
    <w:rsid w:val="0054001D"/>
    <w:rsid w:val="00540184"/>
    <w:rsid w:val="005402BD"/>
    <w:rsid w:val="005409DE"/>
    <w:rsid w:val="005411CD"/>
    <w:rsid w:val="00541F9D"/>
    <w:rsid w:val="00542152"/>
    <w:rsid w:val="00543AF2"/>
    <w:rsid w:val="00543F14"/>
    <w:rsid w:val="00544828"/>
    <w:rsid w:val="0054549C"/>
    <w:rsid w:val="00545568"/>
    <w:rsid w:val="0054568A"/>
    <w:rsid w:val="00546721"/>
    <w:rsid w:val="00546BA3"/>
    <w:rsid w:val="00547143"/>
    <w:rsid w:val="00550060"/>
    <w:rsid w:val="005503A7"/>
    <w:rsid w:val="005516DD"/>
    <w:rsid w:val="00552BD3"/>
    <w:rsid w:val="0055402C"/>
    <w:rsid w:val="005565D7"/>
    <w:rsid w:val="00556D24"/>
    <w:rsid w:val="00557216"/>
    <w:rsid w:val="0055773D"/>
    <w:rsid w:val="005607E2"/>
    <w:rsid w:val="005614DA"/>
    <w:rsid w:val="00561890"/>
    <w:rsid w:val="00562C9E"/>
    <w:rsid w:val="005632B0"/>
    <w:rsid w:val="00563771"/>
    <w:rsid w:val="0056377A"/>
    <w:rsid w:val="00563EA6"/>
    <w:rsid w:val="005645EB"/>
    <w:rsid w:val="00564D17"/>
    <w:rsid w:val="005660CC"/>
    <w:rsid w:val="005668B7"/>
    <w:rsid w:val="00567253"/>
    <w:rsid w:val="00567485"/>
    <w:rsid w:val="0056759A"/>
    <w:rsid w:val="00567DD6"/>
    <w:rsid w:val="00567F8B"/>
    <w:rsid w:val="0057026A"/>
    <w:rsid w:val="0057100F"/>
    <w:rsid w:val="00571727"/>
    <w:rsid w:val="00571C00"/>
    <w:rsid w:val="00571CD3"/>
    <w:rsid w:val="0057203A"/>
    <w:rsid w:val="0057240E"/>
    <w:rsid w:val="0057398B"/>
    <w:rsid w:val="0057607A"/>
    <w:rsid w:val="00576341"/>
    <w:rsid w:val="005768D6"/>
    <w:rsid w:val="00576F21"/>
    <w:rsid w:val="0058002F"/>
    <w:rsid w:val="00581641"/>
    <w:rsid w:val="005819E3"/>
    <w:rsid w:val="00582D62"/>
    <w:rsid w:val="00583180"/>
    <w:rsid w:val="0058325D"/>
    <w:rsid w:val="00583E9E"/>
    <w:rsid w:val="0058415D"/>
    <w:rsid w:val="00585958"/>
    <w:rsid w:val="00585E6E"/>
    <w:rsid w:val="00591C22"/>
    <w:rsid w:val="00591FB0"/>
    <w:rsid w:val="00592642"/>
    <w:rsid w:val="00593D65"/>
    <w:rsid w:val="00595288"/>
    <w:rsid w:val="005955EC"/>
    <w:rsid w:val="005962F4"/>
    <w:rsid w:val="005A029A"/>
    <w:rsid w:val="005A0A31"/>
    <w:rsid w:val="005A1F48"/>
    <w:rsid w:val="005A2DDB"/>
    <w:rsid w:val="005A2F5A"/>
    <w:rsid w:val="005A352A"/>
    <w:rsid w:val="005A4114"/>
    <w:rsid w:val="005A47B1"/>
    <w:rsid w:val="005A4998"/>
    <w:rsid w:val="005A4B14"/>
    <w:rsid w:val="005A4FEB"/>
    <w:rsid w:val="005A563D"/>
    <w:rsid w:val="005A5758"/>
    <w:rsid w:val="005A6E6A"/>
    <w:rsid w:val="005A7036"/>
    <w:rsid w:val="005A79A7"/>
    <w:rsid w:val="005A7EF1"/>
    <w:rsid w:val="005B05B0"/>
    <w:rsid w:val="005B0736"/>
    <w:rsid w:val="005B1DBE"/>
    <w:rsid w:val="005B2631"/>
    <w:rsid w:val="005B2B4B"/>
    <w:rsid w:val="005B33B8"/>
    <w:rsid w:val="005B3892"/>
    <w:rsid w:val="005B4279"/>
    <w:rsid w:val="005B4C16"/>
    <w:rsid w:val="005B4D54"/>
    <w:rsid w:val="005B5ACF"/>
    <w:rsid w:val="005B5CFF"/>
    <w:rsid w:val="005B796D"/>
    <w:rsid w:val="005B7E8D"/>
    <w:rsid w:val="005C004B"/>
    <w:rsid w:val="005C08DB"/>
    <w:rsid w:val="005C0C76"/>
    <w:rsid w:val="005C0F34"/>
    <w:rsid w:val="005C1759"/>
    <w:rsid w:val="005C179E"/>
    <w:rsid w:val="005C2239"/>
    <w:rsid w:val="005C22EE"/>
    <w:rsid w:val="005C26BB"/>
    <w:rsid w:val="005C2C41"/>
    <w:rsid w:val="005C317D"/>
    <w:rsid w:val="005C3225"/>
    <w:rsid w:val="005C409D"/>
    <w:rsid w:val="005C43EB"/>
    <w:rsid w:val="005C4466"/>
    <w:rsid w:val="005C4B65"/>
    <w:rsid w:val="005C5C62"/>
    <w:rsid w:val="005C6086"/>
    <w:rsid w:val="005C62F6"/>
    <w:rsid w:val="005C70D2"/>
    <w:rsid w:val="005C74FC"/>
    <w:rsid w:val="005C7B2D"/>
    <w:rsid w:val="005C7E9A"/>
    <w:rsid w:val="005D193D"/>
    <w:rsid w:val="005D4449"/>
    <w:rsid w:val="005D4678"/>
    <w:rsid w:val="005D48DA"/>
    <w:rsid w:val="005D5263"/>
    <w:rsid w:val="005D5DD3"/>
    <w:rsid w:val="005D797A"/>
    <w:rsid w:val="005E0062"/>
    <w:rsid w:val="005E0990"/>
    <w:rsid w:val="005E100E"/>
    <w:rsid w:val="005E2546"/>
    <w:rsid w:val="005E2A75"/>
    <w:rsid w:val="005E3014"/>
    <w:rsid w:val="005E37C7"/>
    <w:rsid w:val="005E47C2"/>
    <w:rsid w:val="005E570C"/>
    <w:rsid w:val="005E61FF"/>
    <w:rsid w:val="005E63C2"/>
    <w:rsid w:val="005E64FF"/>
    <w:rsid w:val="005E6604"/>
    <w:rsid w:val="005E7F10"/>
    <w:rsid w:val="005F16E5"/>
    <w:rsid w:val="005F1DF9"/>
    <w:rsid w:val="005F235B"/>
    <w:rsid w:val="005F29F3"/>
    <w:rsid w:val="005F3477"/>
    <w:rsid w:val="005F3543"/>
    <w:rsid w:val="005F4965"/>
    <w:rsid w:val="005F4A1E"/>
    <w:rsid w:val="005F5A0D"/>
    <w:rsid w:val="005F6943"/>
    <w:rsid w:val="005F6B73"/>
    <w:rsid w:val="005F71C3"/>
    <w:rsid w:val="00600A24"/>
    <w:rsid w:val="00600E32"/>
    <w:rsid w:val="00602998"/>
    <w:rsid w:val="00603340"/>
    <w:rsid w:val="0060401D"/>
    <w:rsid w:val="00605541"/>
    <w:rsid w:val="00605653"/>
    <w:rsid w:val="006056D5"/>
    <w:rsid w:val="00605FD1"/>
    <w:rsid w:val="00606BA2"/>
    <w:rsid w:val="00606DE2"/>
    <w:rsid w:val="00607461"/>
    <w:rsid w:val="006076E2"/>
    <w:rsid w:val="00607A1F"/>
    <w:rsid w:val="00610465"/>
    <w:rsid w:val="0061082C"/>
    <w:rsid w:val="00610966"/>
    <w:rsid w:val="00610C58"/>
    <w:rsid w:val="00611625"/>
    <w:rsid w:val="0061444E"/>
    <w:rsid w:val="006154A4"/>
    <w:rsid w:val="00616A5A"/>
    <w:rsid w:val="00617A66"/>
    <w:rsid w:val="00620708"/>
    <w:rsid w:val="006212DD"/>
    <w:rsid w:val="00622335"/>
    <w:rsid w:val="006227E1"/>
    <w:rsid w:val="0062319F"/>
    <w:rsid w:val="00623696"/>
    <w:rsid w:val="00624F55"/>
    <w:rsid w:val="006252F1"/>
    <w:rsid w:val="00625494"/>
    <w:rsid w:val="0062690A"/>
    <w:rsid w:val="00630AD0"/>
    <w:rsid w:val="00630F61"/>
    <w:rsid w:val="00631104"/>
    <w:rsid w:val="0063124B"/>
    <w:rsid w:val="006315E4"/>
    <w:rsid w:val="00632139"/>
    <w:rsid w:val="00632A15"/>
    <w:rsid w:val="00632D42"/>
    <w:rsid w:val="00632F2D"/>
    <w:rsid w:val="0063482B"/>
    <w:rsid w:val="00634A27"/>
    <w:rsid w:val="00635041"/>
    <w:rsid w:val="00635181"/>
    <w:rsid w:val="00635E9F"/>
    <w:rsid w:val="00636D5D"/>
    <w:rsid w:val="00636EF0"/>
    <w:rsid w:val="006372E4"/>
    <w:rsid w:val="0063795E"/>
    <w:rsid w:val="00640433"/>
    <w:rsid w:val="00641272"/>
    <w:rsid w:val="0064183F"/>
    <w:rsid w:val="00641852"/>
    <w:rsid w:val="00641C3C"/>
    <w:rsid w:val="006424E0"/>
    <w:rsid w:val="00642F3B"/>
    <w:rsid w:val="00644021"/>
    <w:rsid w:val="0064406A"/>
    <w:rsid w:val="00644ABA"/>
    <w:rsid w:val="006450C7"/>
    <w:rsid w:val="0064511A"/>
    <w:rsid w:val="00646350"/>
    <w:rsid w:val="00647921"/>
    <w:rsid w:val="00647BE9"/>
    <w:rsid w:val="006508B8"/>
    <w:rsid w:val="00650A0D"/>
    <w:rsid w:val="00651174"/>
    <w:rsid w:val="006512E2"/>
    <w:rsid w:val="00651370"/>
    <w:rsid w:val="00652373"/>
    <w:rsid w:val="00652982"/>
    <w:rsid w:val="00652E3A"/>
    <w:rsid w:val="00652FE2"/>
    <w:rsid w:val="0065345B"/>
    <w:rsid w:val="00653695"/>
    <w:rsid w:val="0065396C"/>
    <w:rsid w:val="00654913"/>
    <w:rsid w:val="006558B9"/>
    <w:rsid w:val="00655DCD"/>
    <w:rsid w:val="00656792"/>
    <w:rsid w:val="00657026"/>
    <w:rsid w:val="006601A7"/>
    <w:rsid w:val="006605A0"/>
    <w:rsid w:val="00661403"/>
    <w:rsid w:val="00661F52"/>
    <w:rsid w:val="00665182"/>
    <w:rsid w:val="006652D8"/>
    <w:rsid w:val="00667601"/>
    <w:rsid w:val="006678DB"/>
    <w:rsid w:val="00667DF8"/>
    <w:rsid w:val="00667F7F"/>
    <w:rsid w:val="00670143"/>
    <w:rsid w:val="00670802"/>
    <w:rsid w:val="0067194B"/>
    <w:rsid w:val="00672608"/>
    <w:rsid w:val="00672AC9"/>
    <w:rsid w:val="00672D92"/>
    <w:rsid w:val="00673175"/>
    <w:rsid w:val="006731EF"/>
    <w:rsid w:val="00673223"/>
    <w:rsid w:val="0067369C"/>
    <w:rsid w:val="00673732"/>
    <w:rsid w:val="00673868"/>
    <w:rsid w:val="00673BEF"/>
    <w:rsid w:val="00673E1E"/>
    <w:rsid w:val="00675357"/>
    <w:rsid w:val="006757EA"/>
    <w:rsid w:val="006759B0"/>
    <w:rsid w:val="006766AA"/>
    <w:rsid w:val="006818FD"/>
    <w:rsid w:val="00681FE6"/>
    <w:rsid w:val="00682535"/>
    <w:rsid w:val="0068261D"/>
    <w:rsid w:val="00682A02"/>
    <w:rsid w:val="00682B2F"/>
    <w:rsid w:val="006839BC"/>
    <w:rsid w:val="006857E0"/>
    <w:rsid w:val="00686698"/>
    <w:rsid w:val="006874AD"/>
    <w:rsid w:val="006877E8"/>
    <w:rsid w:val="006903F7"/>
    <w:rsid w:val="00690D06"/>
    <w:rsid w:val="006923DC"/>
    <w:rsid w:val="006931D1"/>
    <w:rsid w:val="006935C0"/>
    <w:rsid w:val="00693F0F"/>
    <w:rsid w:val="00694003"/>
    <w:rsid w:val="00694BA8"/>
    <w:rsid w:val="006954C9"/>
    <w:rsid w:val="0069582E"/>
    <w:rsid w:val="00695C15"/>
    <w:rsid w:val="00696533"/>
    <w:rsid w:val="0069658B"/>
    <w:rsid w:val="00696B7F"/>
    <w:rsid w:val="006975FA"/>
    <w:rsid w:val="00697801"/>
    <w:rsid w:val="006A00DA"/>
    <w:rsid w:val="006A09C0"/>
    <w:rsid w:val="006A0CB1"/>
    <w:rsid w:val="006A103E"/>
    <w:rsid w:val="006A17F8"/>
    <w:rsid w:val="006A20AB"/>
    <w:rsid w:val="006A24D7"/>
    <w:rsid w:val="006A3639"/>
    <w:rsid w:val="006A3B35"/>
    <w:rsid w:val="006A3C81"/>
    <w:rsid w:val="006A571C"/>
    <w:rsid w:val="006A5DC5"/>
    <w:rsid w:val="006A71ED"/>
    <w:rsid w:val="006A762B"/>
    <w:rsid w:val="006A7FE6"/>
    <w:rsid w:val="006B00C0"/>
    <w:rsid w:val="006B09BE"/>
    <w:rsid w:val="006B0A02"/>
    <w:rsid w:val="006B1D29"/>
    <w:rsid w:val="006B1F15"/>
    <w:rsid w:val="006B20E9"/>
    <w:rsid w:val="006B3199"/>
    <w:rsid w:val="006B3D4F"/>
    <w:rsid w:val="006B4308"/>
    <w:rsid w:val="006B44F9"/>
    <w:rsid w:val="006B48D5"/>
    <w:rsid w:val="006B4EA6"/>
    <w:rsid w:val="006B57CB"/>
    <w:rsid w:val="006B5AB6"/>
    <w:rsid w:val="006B5D51"/>
    <w:rsid w:val="006B5D77"/>
    <w:rsid w:val="006B633C"/>
    <w:rsid w:val="006C0C23"/>
    <w:rsid w:val="006C1252"/>
    <w:rsid w:val="006C1864"/>
    <w:rsid w:val="006C1875"/>
    <w:rsid w:val="006C1BD3"/>
    <w:rsid w:val="006C31E9"/>
    <w:rsid w:val="006C3238"/>
    <w:rsid w:val="006C3E67"/>
    <w:rsid w:val="006C40E0"/>
    <w:rsid w:val="006C447F"/>
    <w:rsid w:val="006C5546"/>
    <w:rsid w:val="006C5F3A"/>
    <w:rsid w:val="006C6B62"/>
    <w:rsid w:val="006C6FEC"/>
    <w:rsid w:val="006D0181"/>
    <w:rsid w:val="006D0423"/>
    <w:rsid w:val="006D06FE"/>
    <w:rsid w:val="006D0836"/>
    <w:rsid w:val="006D0CE1"/>
    <w:rsid w:val="006D0E67"/>
    <w:rsid w:val="006D15F0"/>
    <w:rsid w:val="006D1FFE"/>
    <w:rsid w:val="006D225F"/>
    <w:rsid w:val="006D33F4"/>
    <w:rsid w:val="006D37B7"/>
    <w:rsid w:val="006D3E0B"/>
    <w:rsid w:val="006D41E0"/>
    <w:rsid w:val="006D4AE5"/>
    <w:rsid w:val="006D52B8"/>
    <w:rsid w:val="006D5D4B"/>
    <w:rsid w:val="006D6994"/>
    <w:rsid w:val="006D6C20"/>
    <w:rsid w:val="006D7503"/>
    <w:rsid w:val="006E0CA3"/>
    <w:rsid w:val="006E1498"/>
    <w:rsid w:val="006E16F5"/>
    <w:rsid w:val="006E17C2"/>
    <w:rsid w:val="006E1DF5"/>
    <w:rsid w:val="006E34BC"/>
    <w:rsid w:val="006E41E3"/>
    <w:rsid w:val="006E4AD8"/>
    <w:rsid w:val="006E503F"/>
    <w:rsid w:val="006E56EB"/>
    <w:rsid w:val="006E5D12"/>
    <w:rsid w:val="006E69CB"/>
    <w:rsid w:val="006E6CD2"/>
    <w:rsid w:val="006E7349"/>
    <w:rsid w:val="006E7D1C"/>
    <w:rsid w:val="006F045B"/>
    <w:rsid w:val="006F0497"/>
    <w:rsid w:val="006F0DC1"/>
    <w:rsid w:val="006F0E56"/>
    <w:rsid w:val="006F1FD6"/>
    <w:rsid w:val="006F26AD"/>
    <w:rsid w:val="006F2C7E"/>
    <w:rsid w:val="006F3825"/>
    <w:rsid w:val="006F3A84"/>
    <w:rsid w:val="006F4386"/>
    <w:rsid w:val="006F4E2D"/>
    <w:rsid w:val="006F5A87"/>
    <w:rsid w:val="006F621B"/>
    <w:rsid w:val="006F6476"/>
    <w:rsid w:val="006F6E07"/>
    <w:rsid w:val="006F6FAA"/>
    <w:rsid w:val="006F7432"/>
    <w:rsid w:val="006F779D"/>
    <w:rsid w:val="007005E3"/>
    <w:rsid w:val="00700A73"/>
    <w:rsid w:val="007010E0"/>
    <w:rsid w:val="00701533"/>
    <w:rsid w:val="00701F55"/>
    <w:rsid w:val="0070207C"/>
    <w:rsid w:val="00702490"/>
    <w:rsid w:val="00702E79"/>
    <w:rsid w:val="00703467"/>
    <w:rsid w:val="00703712"/>
    <w:rsid w:val="00704199"/>
    <w:rsid w:val="007043D7"/>
    <w:rsid w:val="00704CC2"/>
    <w:rsid w:val="00705C4A"/>
    <w:rsid w:val="00705E1D"/>
    <w:rsid w:val="0070615F"/>
    <w:rsid w:val="00706756"/>
    <w:rsid w:val="007070F5"/>
    <w:rsid w:val="00707DBF"/>
    <w:rsid w:val="00710452"/>
    <w:rsid w:val="007105AD"/>
    <w:rsid w:val="00710E89"/>
    <w:rsid w:val="00712812"/>
    <w:rsid w:val="007130BC"/>
    <w:rsid w:val="0071312E"/>
    <w:rsid w:val="007132D6"/>
    <w:rsid w:val="007134A6"/>
    <w:rsid w:val="00713736"/>
    <w:rsid w:val="00714269"/>
    <w:rsid w:val="007156D5"/>
    <w:rsid w:val="0071601A"/>
    <w:rsid w:val="00717DF1"/>
    <w:rsid w:val="00717FC6"/>
    <w:rsid w:val="00720CE2"/>
    <w:rsid w:val="007213E2"/>
    <w:rsid w:val="00722119"/>
    <w:rsid w:val="00722D5C"/>
    <w:rsid w:val="00723C0A"/>
    <w:rsid w:val="00723CBE"/>
    <w:rsid w:val="00724249"/>
    <w:rsid w:val="007255B8"/>
    <w:rsid w:val="00725B82"/>
    <w:rsid w:val="00726A63"/>
    <w:rsid w:val="00727F96"/>
    <w:rsid w:val="007316D4"/>
    <w:rsid w:val="00734CB7"/>
    <w:rsid w:val="007352B0"/>
    <w:rsid w:val="0073720B"/>
    <w:rsid w:val="007372C9"/>
    <w:rsid w:val="007377C1"/>
    <w:rsid w:val="00737A4D"/>
    <w:rsid w:val="00737BF6"/>
    <w:rsid w:val="007400A9"/>
    <w:rsid w:val="00740581"/>
    <w:rsid w:val="00741254"/>
    <w:rsid w:val="00741C51"/>
    <w:rsid w:val="007425B2"/>
    <w:rsid w:val="0074422B"/>
    <w:rsid w:val="007446B0"/>
    <w:rsid w:val="007456F8"/>
    <w:rsid w:val="00746385"/>
    <w:rsid w:val="00746966"/>
    <w:rsid w:val="00746EB7"/>
    <w:rsid w:val="007473A5"/>
    <w:rsid w:val="00747FBA"/>
    <w:rsid w:val="00750333"/>
    <w:rsid w:val="00750E7A"/>
    <w:rsid w:val="007510EF"/>
    <w:rsid w:val="00752266"/>
    <w:rsid w:val="00754440"/>
    <w:rsid w:val="0075445A"/>
    <w:rsid w:val="00754A8E"/>
    <w:rsid w:val="00754B6A"/>
    <w:rsid w:val="00755705"/>
    <w:rsid w:val="00755DDD"/>
    <w:rsid w:val="007562E4"/>
    <w:rsid w:val="00757972"/>
    <w:rsid w:val="0076003C"/>
    <w:rsid w:val="0076039C"/>
    <w:rsid w:val="00761722"/>
    <w:rsid w:val="0076188B"/>
    <w:rsid w:val="00761A53"/>
    <w:rsid w:val="0076484F"/>
    <w:rsid w:val="00764B69"/>
    <w:rsid w:val="00765484"/>
    <w:rsid w:val="007656AF"/>
    <w:rsid w:val="00766AE1"/>
    <w:rsid w:val="0076701E"/>
    <w:rsid w:val="00767177"/>
    <w:rsid w:val="00767D05"/>
    <w:rsid w:val="00767DF0"/>
    <w:rsid w:val="00771130"/>
    <w:rsid w:val="00771BEF"/>
    <w:rsid w:val="00771C32"/>
    <w:rsid w:val="00772073"/>
    <w:rsid w:val="007726D6"/>
    <w:rsid w:val="00773C33"/>
    <w:rsid w:val="00774C8D"/>
    <w:rsid w:val="00775B04"/>
    <w:rsid w:val="0077673E"/>
    <w:rsid w:val="007772D4"/>
    <w:rsid w:val="00777E54"/>
    <w:rsid w:val="00780F10"/>
    <w:rsid w:val="00781306"/>
    <w:rsid w:val="00781592"/>
    <w:rsid w:val="00782991"/>
    <w:rsid w:val="00783B2F"/>
    <w:rsid w:val="0078404B"/>
    <w:rsid w:val="007848FB"/>
    <w:rsid w:val="007856B0"/>
    <w:rsid w:val="00785DB5"/>
    <w:rsid w:val="00786322"/>
    <w:rsid w:val="00786A77"/>
    <w:rsid w:val="00786C53"/>
    <w:rsid w:val="00787BE6"/>
    <w:rsid w:val="00787CDA"/>
    <w:rsid w:val="0079055B"/>
    <w:rsid w:val="007906E3"/>
    <w:rsid w:val="00790953"/>
    <w:rsid w:val="00790F8E"/>
    <w:rsid w:val="00791A35"/>
    <w:rsid w:val="00792583"/>
    <w:rsid w:val="007927A9"/>
    <w:rsid w:val="00792860"/>
    <w:rsid w:val="00792922"/>
    <w:rsid w:val="00792D9B"/>
    <w:rsid w:val="00793240"/>
    <w:rsid w:val="007938D7"/>
    <w:rsid w:val="00793BFA"/>
    <w:rsid w:val="00793C8C"/>
    <w:rsid w:val="007945E9"/>
    <w:rsid w:val="007946F1"/>
    <w:rsid w:val="00794CC0"/>
    <w:rsid w:val="00795EBA"/>
    <w:rsid w:val="00795F6B"/>
    <w:rsid w:val="0079791C"/>
    <w:rsid w:val="007A047C"/>
    <w:rsid w:val="007A05E8"/>
    <w:rsid w:val="007A0B76"/>
    <w:rsid w:val="007A3453"/>
    <w:rsid w:val="007A6074"/>
    <w:rsid w:val="007A63BD"/>
    <w:rsid w:val="007A7DA9"/>
    <w:rsid w:val="007A7FF0"/>
    <w:rsid w:val="007B0267"/>
    <w:rsid w:val="007B029C"/>
    <w:rsid w:val="007B02D3"/>
    <w:rsid w:val="007B0F7A"/>
    <w:rsid w:val="007B1053"/>
    <w:rsid w:val="007B1A5D"/>
    <w:rsid w:val="007B1DB1"/>
    <w:rsid w:val="007B2489"/>
    <w:rsid w:val="007B289B"/>
    <w:rsid w:val="007B3FCA"/>
    <w:rsid w:val="007B4A19"/>
    <w:rsid w:val="007B55AA"/>
    <w:rsid w:val="007B55C0"/>
    <w:rsid w:val="007B55FA"/>
    <w:rsid w:val="007B5B78"/>
    <w:rsid w:val="007B5C43"/>
    <w:rsid w:val="007B6C7A"/>
    <w:rsid w:val="007B6F2F"/>
    <w:rsid w:val="007C0002"/>
    <w:rsid w:val="007C00E8"/>
    <w:rsid w:val="007C03DC"/>
    <w:rsid w:val="007C0B50"/>
    <w:rsid w:val="007C0EDF"/>
    <w:rsid w:val="007C153D"/>
    <w:rsid w:val="007C2415"/>
    <w:rsid w:val="007C2C97"/>
    <w:rsid w:val="007C2D5D"/>
    <w:rsid w:val="007C3091"/>
    <w:rsid w:val="007C3C31"/>
    <w:rsid w:val="007C4CDE"/>
    <w:rsid w:val="007C55A4"/>
    <w:rsid w:val="007C5ACE"/>
    <w:rsid w:val="007C5DB8"/>
    <w:rsid w:val="007C5F6B"/>
    <w:rsid w:val="007C7A13"/>
    <w:rsid w:val="007D0529"/>
    <w:rsid w:val="007D0A67"/>
    <w:rsid w:val="007D1CAC"/>
    <w:rsid w:val="007D1FAA"/>
    <w:rsid w:val="007D3022"/>
    <w:rsid w:val="007D48F5"/>
    <w:rsid w:val="007D6953"/>
    <w:rsid w:val="007D72E5"/>
    <w:rsid w:val="007D755A"/>
    <w:rsid w:val="007D7B1C"/>
    <w:rsid w:val="007E035F"/>
    <w:rsid w:val="007E0D70"/>
    <w:rsid w:val="007E102F"/>
    <w:rsid w:val="007E1AB5"/>
    <w:rsid w:val="007E20BF"/>
    <w:rsid w:val="007E2CFF"/>
    <w:rsid w:val="007E35A3"/>
    <w:rsid w:val="007E385C"/>
    <w:rsid w:val="007E38A7"/>
    <w:rsid w:val="007E3F5E"/>
    <w:rsid w:val="007E41C9"/>
    <w:rsid w:val="007E49E0"/>
    <w:rsid w:val="007E51D8"/>
    <w:rsid w:val="007E581A"/>
    <w:rsid w:val="007E5A7B"/>
    <w:rsid w:val="007E6BA3"/>
    <w:rsid w:val="007E7D42"/>
    <w:rsid w:val="007E7F19"/>
    <w:rsid w:val="007E7FA8"/>
    <w:rsid w:val="007F0159"/>
    <w:rsid w:val="007F07FC"/>
    <w:rsid w:val="007F0A95"/>
    <w:rsid w:val="007F0D4E"/>
    <w:rsid w:val="007F1094"/>
    <w:rsid w:val="007F1320"/>
    <w:rsid w:val="007F15A0"/>
    <w:rsid w:val="007F2229"/>
    <w:rsid w:val="007F25EB"/>
    <w:rsid w:val="007F2641"/>
    <w:rsid w:val="007F399A"/>
    <w:rsid w:val="007F40EC"/>
    <w:rsid w:val="007F422B"/>
    <w:rsid w:val="007F42B7"/>
    <w:rsid w:val="007F6103"/>
    <w:rsid w:val="007F6448"/>
    <w:rsid w:val="007F734F"/>
    <w:rsid w:val="008013D5"/>
    <w:rsid w:val="00801A42"/>
    <w:rsid w:val="00801E0B"/>
    <w:rsid w:val="0080297E"/>
    <w:rsid w:val="00802A7E"/>
    <w:rsid w:val="00802C06"/>
    <w:rsid w:val="00802CDF"/>
    <w:rsid w:val="008031F0"/>
    <w:rsid w:val="00803254"/>
    <w:rsid w:val="008039A0"/>
    <w:rsid w:val="008040A6"/>
    <w:rsid w:val="00804814"/>
    <w:rsid w:val="0080534E"/>
    <w:rsid w:val="008053B1"/>
    <w:rsid w:val="00805A3E"/>
    <w:rsid w:val="00805ECC"/>
    <w:rsid w:val="00806FE3"/>
    <w:rsid w:val="008079A2"/>
    <w:rsid w:val="00811110"/>
    <w:rsid w:val="00811880"/>
    <w:rsid w:val="00812B87"/>
    <w:rsid w:val="00813F8C"/>
    <w:rsid w:val="008153F3"/>
    <w:rsid w:val="0081547D"/>
    <w:rsid w:val="00815569"/>
    <w:rsid w:val="0081565D"/>
    <w:rsid w:val="0081584E"/>
    <w:rsid w:val="00815D18"/>
    <w:rsid w:val="0081737A"/>
    <w:rsid w:val="008179F8"/>
    <w:rsid w:val="00817FB2"/>
    <w:rsid w:val="00821E5B"/>
    <w:rsid w:val="00822009"/>
    <w:rsid w:val="008221DE"/>
    <w:rsid w:val="0082257D"/>
    <w:rsid w:val="00822A4D"/>
    <w:rsid w:val="008244AD"/>
    <w:rsid w:val="00824942"/>
    <w:rsid w:val="00824FF3"/>
    <w:rsid w:val="008257E3"/>
    <w:rsid w:val="00825FAC"/>
    <w:rsid w:val="00826091"/>
    <w:rsid w:val="00830137"/>
    <w:rsid w:val="008308FE"/>
    <w:rsid w:val="00830C00"/>
    <w:rsid w:val="00831362"/>
    <w:rsid w:val="00831E03"/>
    <w:rsid w:val="008321A8"/>
    <w:rsid w:val="008323F0"/>
    <w:rsid w:val="008324DB"/>
    <w:rsid w:val="008347B4"/>
    <w:rsid w:val="00834DF6"/>
    <w:rsid w:val="00837466"/>
    <w:rsid w:val="008378F9"/>
    <w:rsid w:val="00837FB6"/>
    <w:rsid w:val="008400BB"/>
    <w:rsid w:val="00840979"/>
    <w:rsid w:val="00841234"/>
    <w:rsid w:val="00841450"/>
    <w:rsid w:val="00841D1D"/>
    <w:rsid w:val="00842A6B"/>
    <w:rsid w:val="00842B10"/>
    <w:rsid w:val="00843202"/>
    <w:rsid w:val="0084392C"/>
    <w:rsid w:val="008444D1"/>
    <w:rsid w:val="008450DA"/>
    <w:rsid w:val="00845B23"/>
    <w:rsid w:val="00845C76"/>
    <w:rsid w:val="00845C7F"/>
    <w:rsid w:val="00846D38"/>
    <w:rsid w:val="00850175"/>
    <w:rsid w:val="00850510"/>
    <w:rsid w:val="00850C8B"/>
    <w:rsid w:val="00850FD5"/>
    <w:rsid w:val="00852104"/>
    <w:rsid w:val="008532B7"/>
    <w:rsid w:val="00854648"/>
    <w:rsid w:val="0085621A"/>
    <w:rsid w:val="008565C1"/>
    <w:rsid w:val="0085662F"/>
    <w:rsid w:val="00857184"/>
    <w:rsid w:val="00857355"/>
    <w:rsid w:val="00857B2C"/>
    <w:rsid w:val="008614E1"/>
    <w:rsid w:val="0086175A"/>
    <w:rsid w:val="0086384A"/>
    <w:rsid w:val="00864375"/>
    <w:rsid w:val="0086553F"/>
    <w:rsid w:val="00866094"/>
    <w:rsid w:val="00866380"/>
    <w:rsid w:val="008672AE"/>
    <w:rsid w:val="00867505"/>
    <w:rsid w:val="00867621"/>
    <w:rsid w:val="00867E14"/>
    <w:rsid w:val="00870280"/>
    <w:rsid w:val="00871667"/>
    <w:rsid w:val="00871EF9"/>
    <w:rsid w:val="0087440E"/>
    <w:rsid w:val="00874A5F"/>
    <w:rsid w:val="00874CD4"/>
    <w:rsid w:val="00874EC5"/>
    <w:rsid w:val="008751E9"/>
    <w:rsid w:val="0087520A"/>
    <w:rsid w:val="0087551C"/>
    <w:rsid w:val="00875D57"/>
    <w:rsid w:val="00875E51"/>
    <w:rsid w:val="00877787"/>
    <w:rsid w:val="008778E1"/>
    <w:rsid w:val="00880315"/>
    <w:rsid w:val="00880AD8"/>
    <w:rsid w:val="0088170A"/>
    <w:rsid w:val="0088197F"/>
    <w:rsid w:val="00881B66"/>
    <w:rsid w:val="00882CEF"/>
    <w:rsid w:val="008833BE"/>
    <w:rsid w:val="008839F1"/>
    <w:rsid w:val="00883FDD"/>
    <w:rsid w:val="00884459"/>
    <w:rsid w:val="00884A0E"/>
    <w:rsid w:val="00884B5F"/>
    <w:rsid w:val="0088553C"/>
    <w:rsid w:val="008865C0"/>
    <w:rsid w:val="008875D2"/>
    <w:rsid w:val="00890690"/>
    <w:rsid w:val="00891BBF"/>
    <w:rsid w:val="00892201"/>
    <w:rsid w:val="0089242E"/>
    <w:rsid w:val="00892874"/>
    <w:rsid w:val="00892B84"/>
    <w:rsid w:val="00893357"/>
    <w:rsid w:val="008938F5"/>
    <w:rsid w:val="00894408"/>
    <w:rsid w:val="00895069"/>
    <w:rsid w:val="00896B4E"/>
    <w:rsid w:val="008979BE"/>
    <w:rsid w:val="00897DBD"/>
    <w:rsid w:val="008A14CF"/>
    <w:rsid w:val="008A2D33"/>
    <w:rsid w:val="008A3369"/>
    <w:rsid w:val="008A45C9"/>
    <w:rsid w:val="008A4B24"/>
    <w:rsid w:val="008A4D82"/>
    <w:rsid w:val="008A52AA"/>
    <w:rsid w:val="008A5749"/>
    <w:rsid w:val="008A5F2D"/>
    <w:rsid w:val="008A638E"/>
    <w:rsid w:val="008A7525"/>
    <w:rsid w:val="008A7E3F"/>
    <w:rsid w:val="008A7EBB"/>
    <w:rsid w:val="008B0878"/>
    <w:rsid w:val="008B1047"/>
    <w:rsid w:val="008B1DE5"/>
    <w:rsid w:val="008B1E71"/>
    <w:rsid w:val="008B2714"/>
    <w:rsid w:val="008B4063"/>
    <w:rsid w:val="008B4764"/>
    <w:rsid w:val="008B4DC7"/>
    <w:rsid w:val="008B5830"/>
    <w:rsid w:val="008B62E1"/>
    <w:rsid w:val="008B63F2"/>
    <w:rsid w:val="008C0401"/>
    <w:rsid w:val="008C09AD"/>
    <w:rsid w:val="008C1364"/>
    <w:rsid w:val="008C13B1"/>
    <w:rsid w:val="008C2374"/>
    <w:rsid w:val="008C24FA"/>
    <w:rsid w:val="008C39C9"/>
    <w:rsid w:val="008C4317"/>
    <w:rsid w:val="008C4EF1"/>
    <w:rsid w:val="008C5F84"/>
    <w:rsid w:val="008C6881"/>
    <w:rsid w:val="008C6893"/>
    <w:rsid w:val="008C69EE"/>
    <w:rsid w:val="008C76AD"/>
    <w:rsid w:val="008C76F6"/>
    <w:rsid w:val="008D02A1"/>
    <w:rsid w:val="008D08AF"/>
    <w:rsid w:val="008D0B3A"/>
    <w:rsid w:val="008D0BA9"/>
    <w:rsid w:val="008D0E51"/>
    <w:rsid w:val="008D1B5B"/>
    <w:rsid w:val="008D20F9"/>
    <w:rsid w:val="008D227A"/>
    <w:rsid w:val="008D2386"/>
    <w:rsid w:val="008D2A90"/>
    <w:rsid w:val="008D3D29"/>
    <w:rsid w:val="008D4074"/>
    <w:rsid w:val="008D4375"/>
    <w:rsid w:val="008D4A02"/>
    <w:rsid w:val="008D4E73"/>
    <w:rsid w:val="008D53C0"/>
    <w:rsid w:val="008D564F"/>
    <w:rsid w:val="008E1539"/>
    <w:rsid w:val="008E16FF"/>
    <w:rsid w:val="008E18CC"/>
    <w:rsid w:val="008E2388"/>
    <w:rsid w:val="008E388C"/>
    <w:rsid w:val="008E3AE2"/>
    <w:rsid w:val="008E4D45"/>
    <w:rsid w:val="008E7197"/>
    <w:rsid w:val="008E7A3D"/>
    <w:rsid w:val="008E7A77"/>
    <w:rsid w:val="008F0176"/>
    <w:rsid w:val="008F09F7"/>
    <w:rsid w:val="008F2302"/>
    <w:rsid w:val="008F24B6"/>
    <w:rsid w:val="008F2D02"/>
    <w:rsid w:val="008F302E"/>
    <w:rsid w:val="008F4C39"/>
    <w:rsid w:val="008F4D96"/>
    <w:rsid w:val="008F5723"/>
    <w:rsid w:val="008F7A33"/>
    <w:rsid w:val="008F7A7A"/>
    <w:rsid w:val="008F7FF4"/>
    <w:rsid w:val="00900B75"/>
    <w:rsid w:val="00901418"/>
    <w:rsid w:val="0090386B"/>
    <w:rsid w:val="00903935"/>
    <w:rsid w:val="009041D7"/>
    <w:rsid w:val="00904271"/>
    <w:rsid w:val="00904E18"/>
    <w:rsid w:val="00905AC6"/>
    <w:rsid w:val="0090737C"/>
    <w:rsid w:val="009073AE"/>
    <w:rsid w:val="00907ECC"/>
    <w:rsid w:val="0091061B"/>
    <w:rsid w:val="00913072"/>
    <w:rsid w:val="00913193"/>
    <w:rsid w:val="0091337D"/>
    <w:rsid w:val="00913BED"/>
    <w:rsid w:val="00914898"/>
    <w:rsid w:val="00915276"/>
    <w:rsid w:val="009156A9"/>
    <w:rsid w:val="0091709A"/>
    <w:rsid w:val="0091789A"/>
    <w:rsid w:val="00920BBA"/>
    <w:rsid w:val="0092146B"/>
    <w:rsid w:val="009214E0"/>
    <w:rsid w:val="00921C9D"/>
    <w:rsid w:val="00921CF9"/>
    <w:rsid w:val="00922828"/>
    <w:rsid w:val="00922AA7"/>
    <w:rsid w:val="00922D34"/>
    <w:rsid w:val="0092477F"/>
    <w:rsid w:val="00924CE0"/>
    <w:rsid w:val="009257FA"/>
    <w:rsid w:val="00925808"/>
    <w:rsid w:val="00925DDA"/>
    <w:rsid w:val="00925DF4"/>
    <w:rsid w:val="00926903"/>
    <w:rsid w:val="009271D6"/>
    <w:rsid w:val="00930890"/>
    <w:rsid w:val="0093208B"/>
    <w:rsid w:val="009322BA"/>
    <w:rsid w:val="00932FE2"/>
    <w:rsid w:val="00934552"/>
    <w:rsid w:val="00935646"/>
    <w:rsid w:val="0093585B"/>
    <w:rsid w:val="00935A4C"/>
    <w:rsid w:val="0093769A"/>
    <w:rsid w:val="00937E92"/>
    <w:rsid w:val="0094014B"/>
    <w:rsid w:val="00940538"/>
    <w:rsid w:val="00940E93"/>
    <w:rsid w:val="00941181"/>
    <w:rsid w:val="009415F7"/>
    <w:rsid w:val="00941D75"/>
    <w:rsid w:val="00942977"/>
    <w:rsid w:val="00943A36"/>
    <w:rsid w:val="00944177"/>
    <w:rsid w:val="00944696"/>
    <w:rsid w:val="009447C5"/>
    <w:rsid w:val="009453BB"/>
    <w:rsid w:val="00945472"/>
    <w:rsid w:val="009458F1"/>
    <w:rsid w:val="00945CFF"/>
    <w:rsid w:val="00947017"/>
    <w:rsid w:val="0095002B"/>
    <w:rsid w:val="00950A7B"/>
    <w:rsid w:val="00950F0D"/>
    <w:rsid w:val="009518BC"/>
    <w:rsid w:val="00951A8F"/>
    <w:rsid w:val="00951C9F"/>
    <w:rsid w:val="0095260C"/>
    <w:rsid w:val="00953148"/>
    <w:rsid w:val="00953789"/>
    <w:rsid w:val="00953A1D"/>
    <w:rsid w:val="00953F08"/>
    <w:rsid w:val="00954307"/>
    <w:rsid w:val="00954ACC"/>
    <w:rsid w:val="00954D4A"/>
    <w:rsid w:val="00955302"/>
    <w:rsid w:val="0095566F"/>
    <w:rsid w:val="00955D22"/>
    <w:rsid w:val="009575A4"/>
    <w:rsid w:val="009604A5"/>
    <w:rsid w:val="00960923"/>
    <w:rsid w:val="00960E9F"/>
    <w:rsid w:val="009613E4"/>
    <w:rsid w:val="00961E60"/>
    <w:rsid w:val="00962184"/>
    <w:rsid w:val="00962530"/>
    <w:rsid w:val="009637A9"/>
    <w:rsid w:val="00964183"/>
    <w:rsid w:val="009648A5"/>
    <w:rsid w:val="009652D9"/>
    <w:rsid w:val="0096564E"/>
    <w:rsid w:val="009658CA"/>
    <w:rsid w:val="0096694F"/>
    <w:rsid w:val="00967389"/>
    <w:rsid w:val="00967485"/>
    <w:rsid w:val="00967CF9"/>
    <w:rsid w:val="00967F25"/>
    <w:rsid w:val="00970D55"/>
    <w:rsid w:val="0097396E"/>
    <w:rsid w:val="00973A2C"/>
    <w:rsid w:val="00975C51"/>
    <w:rsid w:val="00976370"/>
    <w:rsid w:val="009764DC"/>
    <w:rsid w:val="00977E67"/>
    <w:rsid w:val="009805B5"/>
    <w:rsid w:val="0098090D"/>
    <w:rsid w:val="00980ACE"/>
    <w:rsid w:val="009822A1"/>
    <w:rsid w:val="0098241B"/>
    <w:rsid w:val="009837A7"/>
    <w:rsid w:val="009847E1"/>
    <w:rsid w:val="00984EFC"/>
    <w:rsid w:val="00985A42"/>
    <w:rsid w:val="00985CF5"/>
    <w:rsid w:val="0098678A"/>
    <w:rsid w:val="009868FB"/>
    <w:rsid w:val="00987455"/>
    <w:rsid w:val="00991DE7"/>
    <w:rsid w:val="00991FEE"/>
    <w:rsid w:val="00992539"/>
    <w:rsid w:val="0099295B"/>
    <w:rsid w:val="00992FEB"/>
    <w:rsid w:val="00993147"/>
    <w:rsid w:val="00993F94"/>
    <w:rsid w:val="00993FB0"/>
    <w:rsid w:val="00994F7A"/>
    <w:rsid w:val="009951AF"/>
    <w:rsid w:val="009958EF"/>
    <w:rsid w:val="00995CA4"/>
    <w:rsid w:val="00995F24"/>
    <w:rsid w:val="00996093"/>
    <w:rsid w:val="009960E7"/>
    <w:rsid w:val="009969AD"/>
    <w:rsid w:val="00996C66"/>
    <w:rsid w:val="009A05DF"/>
    <w:rsid w:val="009A0B81"/>
    <w:rsid w:val="009A0D2C"/>
    <w:rsid w:val="009A1165"/>
    <w:rsid w:val="009A18AB"/>
    <w:rsid w:val="009A1C8F"/>
    <w:rsid w:val="009A1DF5"/>
    <w:rsid w:val="009A1F11"/>
    <w:rsid w:val="009A280B"/>
    <w:rsid w:val="009A2828"/>
    <w:rsid w:val="009A2EEE"/>
    <w:rsid w:val="009A400F"/>
    <w:rsid w:val="009A41B0"/>
    <w:rsid w:val="009A436D"/>
    <w:rsid w:val="009A5162"/>
    <w:rsid w:val="009A6014"/>
    <w:rsid w:val="009A69F9"/>
    <w:rsid w:val="009A6C5B"/>
    <w:rsid w:val="009A6E3C"/>
    <w:rsid w:val="009A6EB7"/>
    <w:rsid w:val="009A7237"/>
    <w:rsid w:val="009B0807"/>
    <w:rsid w:val="009B0E49"/>
    <w:rsid w:val="009B25AC"/>
    <w:rsid w:val="009B2BA4"/>
    <w:rsid w:val="009B3166"/>
    <w:rsid w:val="009B37BD"/>
    <w:rsid w:val="009B567F"/>
    <w:rsid w:val="009B5E6A"/>
    <w:rsid w:val="009B6D44"/>
    <w:rsid w:val="009B6E32"/>
    <w:rsid w:val="009B781D"/>
    <w:rsid w:val="009C0CD1"/>
    <w:rsid w:val="009C124F"/>
    <w:rsid w:val="009C162F"/>
    <w:rsid w:val="009C1973"/>
    <w:rsid w:val="009C1986"/>
    <w:rsid w:val="009C2429"/>
    <w:rsid w:val="009C2463"/>
    <w:rsid w:val="009C2620"/>
    <w:rsid w:val="009C2884"/>
    <w:rsid w:val="009C2F11"/>
    <w:rsid w:val="009C3791"/>
    <w:rsid w:val="009C4077"/>
    <w:rsid w:val="009C4907"/>
    <w:rsid w:val="009C4B91"/>
    <w:rsid w:val="009C50C9"/>
    <w:rsid w:val="009D024B"/>
    <w:rsid w:val="009D0807"/>
    <w:rsid w:val="009D0876"/>
    <w:rsid w:val="009D0A6E"/>
    <w:rsid w:val="009D0B44"/>
    <w:rsid w:val="009D166B"/>
    <w:rsid w:val="009D279B"/>
    <w:rsid w:val="009D2F38"/>
    <w:rsid w:val="009D3A01"/>
    <w:rsid w:val="009D482E"/>
    <w:rsid w:val="009D539E"/>
    <w:rsid w:val="009D6019"/>
    <w:rsid w:val="009D71D5"/>
    <w:rsid w:val="009E0D69"/>
    <w:rsid w:val="009E20DC"/>
    <w:rsid w:val="009E2182"/>
    <w:rsid w:val="009E3180"/>
    <w:rsid w:val="009E327A"/>
    <w:rsid w:val="009E38F8"/>
    <w:rsid w:val="009E3B3F"/>
    <w:rsid w:val="009E4D1F"/>
    <w:rsid w:val="009E4E8F"/>
    <w:rsid w:val="009E4FEB"/>
    <w:rsid w:val="009E5456"/>
    <w:rsid w:val="009E66DE"/>
    <w:rsid w:val="009E6BEC"/>
    <w:rsid w:val="009E6C1B"/>
    <w:rsid w:val="009E7614"/>
    <w:rsid w:val="009F01F2"/>
    <w:rsid w:val="009F154F"/>
    <w:rsid w:val="009F2169"/>
    <w:rsid w:val="009F25A5"/>
    <w:rsid w:val="009F3AAE"/>
    <w:rsid w:val="009F3B00"/>
    <w:rsid w:val="009F4D47"/>
    <w:rsid w:val="009F4EDC"/>
    <w:rsid w:val="009F556F"/>
    <w:rsid w:val="009F56C3"/>
    <w:rsid w:val="009F60A7"/>
    <w:rsid w:val="009F6D7C"/>
    <w:rsid w:val="009F719A"/>
    <w:rsid w:val="009F7F30"/>
    <w:rsid w:val="00A0016B"/>
    <w:rsid w:val="00A00743"/>
    <w:rsid w:val="00A009E1"/>
    <w:rsid w:val="00A00C99"/>
    <w:rsid w:val="00A025E2"/>
    <w:rsid w:val="00A028EC"/>
    <w:rsid w:val="00A029AC"/>
    <w:rsid w:val="00A033CE"/>
    <w:rsid w:val="00A03BC0"/>
    <w:rsid w:val="00A03BEA"/>
    <w:rsid w:val="00A0503D"/>
    <w:rsid w:val="00A05A40"/>
    <w:rsid w:val="00A100DE"/>
    <w:rsid w:val="00A10446"/>
    <w:rsid w:val="00A10472"/>
    <w:rsid w:val="00A105C9"/>
    <w:rsid w:val="00A1074F"/>
    <w:rsid w:val="00A11544"/>
    <w:rsid w:val="00A12480"/>
    <w:rsid w:val="00A12C20"/>
    <w:rsid w:val="00A15A0A"/>
    <w:rsid w:val="00A15CCB"/>
    <w:rsid w:val="00A162FB"/>
    <w:rsid w:val="00A17699"/>
    <w:rsid w:val="00A201AC"/>
    <w:rsid w:val="00A20637"/>
    <w:rsid w:val="00A21002"/>
    <w:rsid w:val="00A21451"/>
    <w:rsid w:val="00A21654"/>
    <w:rsid w:val="00A22A37"/>
    <w:rsid w:val="00A2333B"/>
    <w:rsid w:val="00A236B3"/>
    <w:rsid w:val="00A24657"/>
    <w:rsid w:val="00A25C9A"/>
    <w:rsid w:val="00A25FE2"/>
    <w:rsid w:val="00A26B4C"/>
    <w:rsid w:val="00A272AC"/>
    <w:rsid w:val="00A30654"/>
    <w:rsid w:val="00A30DB6"/>
    <w:rsid w:val="00A30F46"/>
    <w:rsid w:val="00A31007"/>
    <w:rsid w:val="00A32242"/>
    <w:rsid w:val="00A3247D"/>
    <w:rsid w:val="00A32ED7"/>
    <w:rsid w:val="00A33027"/>
    <w:rsid w:val="00A34227"/>
    <w:rsid w:val="00A34617"/>
    <w:rsid w:val="00A3562B"/>
    <w:rsid w:val="00A35BC0"/>
    <w:rsid w:val="00A35FB7"/>
    <w:rsid w:val="00A369DB"/>
    <w:rsid w:val="00A36E7A"/>
    <w:rsid w:val="00A37D67"/>
    <w:rsid w:val="00A402A1"/>
    <w:rsid w:val="00A408FF"/>
    <w:rsid w:val="00A40EC1"/>
    <w:rsid w:val="00A411D1"/>
    <w:rsid w:val="00A42D4F"/>
    <w:rsid w:val="00A42F25"/>
    <w:rsid w:val="00A4332D"/>
    <w:rsid w:val="00A435D8"/>
    <w:rsid w:val="00A43C38"/>
    <w:rsid w:val="00A43ED8"/>
    <w:rsid w:val="00A4400E"/>
    <w:rsid w:val="00A440C2"/>
    <w:rsid w:val="00A4516D"/>
    <w:rsid w:val="00A46078"/>
    <w:rsid w:val="00A51BD1"/>
    <w:rsid w:val="00A51E9F"/>
    <w:rsid w:val="00A52014"/>
    <w:rsid w:val="00A52D1F"/>
    <w:rsid w:val="00A540C1"/>
    <w:rsid w:val="00A551F6"/>
    <w:rsid w:val="00A5527E"/>
    <w:rsid w:val="00A55439"/>
    <w:rsid w:val="00A55843"/>
    <w:rsid w:val="00A56A3C"/>
    <w:rsid w:val="00A57191"/>
    <w:rsid w:val="00A600BF"/>
    <w:rsid w:val="00A619FA"/>
    <w:rsid w:val="00A62936"/>
    <w:rsid w:val="00A633BD"/>
    <w:rsid w:val="00A64490"/>
    <w:rsid w:val="00A64BAF"/>
    <w:rsid w:val="00A64BDB"/>
    <w:rsid w:val="00A652A5"/>
    <w:rsid w:val="00A659F4"/>
    <w:rsid w:val="00A66A46"/>
    <w:rsid w:val="00A674EC"/>
    <w:rsid w:val="00A67E8D"/>
    <w:rsid w:val="00A70342"/>
    <w:rsid w:val="00A706F0"/>
    <w:rsid w:val="00A71157"/>
    <w:rsid w:val="00A712BF"/>
    <w:rsid w:val="00A7271D"/>
    <w:rsid w:val="00A74171"/>
    <w:rsid w:val="00A74A68"/>
    <w:rsid w:val="00A74BEE"/>
    <w:rsid w:val="00A74EC4"/>
    <w:rsid w:val="00A75447"/>
    <w:rsid w:val="00A755F6"/>
    <w:rsid w:val="00A759DD"/>
    <w:rsid w:val="00A7720B"/>
    <w:rsid w:val="00A774E2"/>
    <w:rsid w:val="00A77EA8"/>
    <w:rsid w:val="00A80238"/>
    <w:rsid w:val="00A80533"/>
    <w:rsid w:val="00A80CFC"/>
    <w:rsid w:val="00A81ACC"/>
    <w:rsid w:val="00A826F4"/>
    <w:rsid w:val="00A82F2D"/>
    <w:rsid w:val="00A830CE"/>
    <w:rsid w:val="00A85C72"/>
    <w:rsid w:val="00A85D1A"/>
    <w:rsid w:val="00A875C1"/>
    <w:rsid w:val="00A909DF"/>
    <w:rsid w:val="00A9123F"/>
    <w:rsid w:val="00A919B4"/>
    <w:rsid w:val="00A9288B"/>
    <w:rsid w:val="00A92EDC"/>
    <w:rsid w:val="00A93230"/>
    <w:rsid w:val="00A93DFA"/>
    <w:rsid w:val="00A94476"/>
    <w:rsid w:val="00A94FDC"/>
    <w:rsid w:val="00A971A5"/>
    <w:rsid w:val="00A971C9"/>
    <w:rsid w:val="00A97341"/>
    <w:rsid w:val="00A9761D"/>
    <w:rsid w:val="00A97D8C"/>
    <w:rsid w:val="00A97EB2"/>
    <w:rsid w:val="00A97FAE"/>
    <w:rsid w:val="00AA0057"/>
    <w:rsid w:val="00AA0332"/>
    <w:rsid w:val="00AA0A9E"/>
    <w:rsid w:val="00AA1B46"/>
    <w:rsid w:val="00AA2C18"/>
    <w:rsid w:val="00AA3619"/>
    <w:rsid w:val="00AA4194"/>
    <w:rsid w:val="00AA472E"/>
    <w:rsid w:val="00AA481B"/>
    <w:rsid w:val="00AA4A7A"/>
    <w:rsid w:val="00AA5B1F"/>
    <w:rsid w:val="00AA6922"/>
    <w:rsid w:val="00AA6BB0"/>
    <w:rsid w:val="00AA78A0"/>
    <w:rsid w:val="00AA7BB6"/>
    <w:rsid w:val="00AA7DFD"/>
    <w:rsid w:val="00AA7F28"/>
    <w:rsid w:val="00AB1050"/>
    <w:rsid w:val="00AB2E29"/>
    <w:rsid w:val="00AB33F6"/>
    <w:rsid w:val="00AB389F"/>
    <w:rsid w:val="00AB3992"/>
    <w:rsid w:val="00AB3B81"/>
    <w:rsid w:val="00AB470A"/>
    <w:rsid w:val="00AB5224"/>
    <w:rsid w:val="00AB5A64"/>
    <w:rsid w:val="00AB66B1"/>
    <w:rsid w:val="00AB7905"/>
    <w:rsid w:val="00AB7B5E"/>
    <w:rsid w:val="00AB7CAA"/>
    <w:rsid w:val="00AB7D96"/>
    <w:rsid w:val="00AC0216"/>
    <w:rsid w:val="00AC02D4"/>
    <w:rsid w:val="00AC07FC"/>
    <w:rsid w:val="00AC1DF9"/>
    <w:rsid w:val="00AC20BE"/>
    <w:rsid w:val="00AC2392"/>
    <w:rsid w:val="00AC2DBA"/>
    <w:rsid w:val="00AC2E04"/>
    <w:rsid w:val="00AC3121"/>
    <w:rsid w:val="00AC4359"/>
    <w:rsid w:val="00AC46E9"/>
    <w:rsid w:val="00AC4779"/>
    <w:rsid w:val="00AC522A"/>
    <w:rsid w:val="00AC655D"/>
    <w:rsid w:val="00AC7AF8"/>
    <w:rsid w:val="00AD03DB"/>
    <w:rsid w:val="00AD1310"/>
    <w:rsid w:val="00AD143B"/>
    <w:rsid w:val="00AD1498"/>
    <w:rsid w:val="00AD18AF"/>
    <w:rsid w:val="00AD1F30"/>
    <w:rsid w:val="00AD2544"/>
    <w:rsid w:val="00AD2CC0"/>
    <w:rsid w:val="00AD410E"/>
    <w:rsid w:val="00AD4406"/>
    <w:rsid w:val="00AD4439"/>
    <w:rsid w:val="00AD4629"/>
    <w:rsid w:val="00AD4B0C"/>
    <w:rsid w:val="00AD5593"/>
    <w:rsid w:val="00AD55C9"/>
    <w:rsid w:val="00AD560A"/>
    <w:rsid w:val="00AD6897"/>
    <w:rsid w:val="00AD696E"/>
    <w:rsid w:val="00AD731F"/>
    <w:rsid w:val="00AD73F4"/>
    <w:rsid w:val="00AD747E"/>
    <w:rsid w:val="00AE20F7"/>
    <w:rsid w:val="00AE347B"/>
    <w:rsid w:val="00AE48BC"/>
    <w:rsid w:val="00AE561B"/>
    <w:rsid w:val="00AE587C"/>
    <w:rsid w:val="00AE67CF"/>
    <w:rsid w:val="00AE6D6A"/>
    <w:rsid w:val="00AE6EB1"/>
    <w:rsid w:val="00AE720A"/>
    <w:rsid w:val="00AF05D1"/>
    <w:rsid w:val="00AF05DB"/>
    <w:rsid w:val="00AF085A"/>
    <w:rsid w:val="00AF0C5B"/>
    <w:rsid w:val="00AF18BA"/>
    <w:rsid w:val="00AF1996"/>
    <w:rsid w:val="00AF2118"/>
    <w:rsid w:val="00AF2D85"/>
    <w:rsid w:val="00AF3004"/>
    <w:rsid w:val="00AF39D2"/>
    <w:rsid w:val="00AF4196"/>
    <w:rsid w:val="00AF42BE"/>
    <w:rsid w:val="00AF43CD"/>
    <w:rsid w:val="00AF6306"/>
    <w:rsid w:val="00AF6BD2"/>
    <w:rsid w:val="00AF71C7"/>
    <w:rsid w:val="00B00AF7"/>
    <w:rsid w:val="00B0167F"/>
    <w:rsid w:val="00B0170D"/>
    <w:rsid w:val="00B020AA"/>
    <w:rsid w:val="00B024B8"/>
    <w:rsid w:val="00B02A13"/>
    <w:rsid w:val="00B02C53"/>
    <w:rsid w:val="00B033F0"/>
    <w:rsid w:val="00B035C4"/>
    <w:rsid w:val="00B03AEB"/>
    <w:rsid w:val="00B04665"/>
    <w:rsid w:val="00B048BB"/>
    <w:rsid w:val="00B04964"/>
    <w:rsid w:val="00B05AA9"/>
    <w:rsid w:val="00B065FE"/>
    <w:rsid w:val="00B066AA"/>
    <w:rsid w:val="00B06AB5"/>
    <w:rsid w:val="00B0797B"/>
    <w:rsid w:val="00B10912"/>
    <w:rsid w:val="00B109B1"/>
    <w:rsid w:val="00B10EA6"/>
    <w:rsid w:val="00B11BDB"/>
    <w:rsid w:val="00B126FD"/>
    <w:rsid w:val="00B1271D"/>
    <w:rsid w:val="00B1292B"/>
    <w:rsid w:val="00B1365A"/>
    <w:rsid w:val="00B13DAE"/>
    <w:rsid w:val="00B1435B"/>
    <w:rsid w:val="00B14A29"/>
    <w:rsid w:val="00B14CBE"/>
    <w:rsid w:val="00B14EE6"/>
    <w:rsid w:val="00B17312"/>
    <w:rsid w:val="00B209D8"/>
    <w:rsid w:val="00B213E8"/>
    <w:rsid w:val="00B214A9"/>
    <w:rsid w:val="00B21F95"/>
    <w:rsid w:val="00B22EA6"/>
    <w:rsid w:val="00B237DB"/>
    <w:rsid w:val="00B255CB"/>
    <w:rsid w:val="00B2621D"/>
    <w:rsid w:val="00B26C05"/>
    <w:rsid w:val="00B26C94"/>
    <w:rsid w:val="00B2767A"/>
    <w:rsid w:val="00B27695"/>
    <w:rsid w:val="00B276B0"/>
    <w:rsid w:val="00B27974"/>
    <w:rsid w:val="00B279E3"/>
    <w:rsid w:val="00B27CFA"/>
    <w:rsid w:val="00B30CD1"/>
    <w:rsid w:val="00B30D70"/>
    <w:rsid w:val="00B318CA"/>
    <w:rsid w:val="00B32043"/>
    <w:rsid w:val="00B32B1A"/>
    <w:rsid w:val="00B343F1"/>
    <w:rsid w:val="00B345BE"/>
    <w:rsid w:val="00B34987"/>
    <w:rsid w:val="00B34EAD"/>
    <w:rsid w:val="00B353C0"/>
    <w:rsid w:val="00B3592C"/>
    <w:rsid w:val="00B3612A"/>
    <w:rsid w:val="00B3735A"/>
    <w:rsid w:val="00B37AAF"/>
    <w:rsid w:val="00B37BAE"/>
    <w:rsid w:val="00B40FC5"/>
    <w:rsid w:val="00B415DD"/>
    <w:rsid w:val="00B42C8E"/>
    <w:rsid w:val="00B42EB7"/>
    <w:rsid w:val="00B42FF0"/>
    <w:rsid w:val="00B4311E"/>
    <w:rsid w:val="00B43562"/>
    <w:rsid w:val="00B444A3"/>
    <w:rsid w:val="00B444B0"/>
    <w:rsid w:val="00B44579"/>
    <w:rsid w:val="00B460A6"/>
    <w:rsid w:val="00B47B72"/>
    <w:rsid w:val="00B500F6"/>
    <w:rsid w:val="00B50752"/>
    <w:rsid w:val="00B512BE"/>
    <w:rsid w:val="00B541AC"/>
    <w:rsid w:val="00B5442B"/>
    <w:rsid w:val="00B5451B"/>
    <w:rsid w:val="00B54F37"/>
    <w:rsid w:val="00B5564A"/>
    <w:rsid w:val="00B55888"/>
    <w:rsid w:val="00B568CB"/>
    <w:rsid w:val="00B56B42"/>
    <w:rsid w:val="00B571FD"/>
    <w:rsid w:val="00B60647"/>
    <w:rsid w:val="00B60B11"/>
    <w:rsid w:val="00B60CFA"/>
    <w:rsid w:val="00B615C8"/>
    <w:rsid w:val="00B61C87"/>
    <w:rsid w:val="00B61CB4"/>
    <w:rsid w:val="00B62ED8"/>
    <w:rsid w:val="00B63631"/>
    <w:rsid w:val="00B63FA3"/>
    <w:rsid w:val="00B653BE"/>
    <w:rsid w:val="00B667A0"/>
    <w:rsid w:val="00B6699C"/>
    <w:rsid w:val="00B66A37"/>
    <w:rsid w:val="00B6773F"/>
    <w:rsid w:val="00B67AC2"/>
    <w:rsid w:val="00B703BF"/>
    <w:rsid w:val="00B709E2"/>
    <w:rsid w:val="00B70BBC"/>
    <w:rsid w:val="00B70FEA"/>
    <w:rsid w:val="00B717CA"/>
    <w:rsid w:val="00B721F6"/>
    <w:rsid w:val="00B72400"/>
    <w:rsid w:val="00B72D60"/>
    <w:rsid w:val="00B73146"/>
    <w:rsid w:val="00B74DDC"/>
    <w:rsid w:val="00B76B1B"/>
    <w:rsid w:val="00B76BFB"/>
    <w:rsid w:val="00B77681"/>
    <w:rsid w:val="00B77932"/>
    <w:rsid w:val="00B77A20"/>
    <w:rsid w:val="00B80181"/>
    <w:rsid w:val="00B80716"/>
    <w:rsid w:val="00B8093E"/>
    <w:rsid w:val="00B8194F"/>
    <w:rsid w:val="00B8288A"/>
    <w:rsid w:val="00B83E2B"/>
    <w:rsid w:val="00B8536D"/>
    <w:rsid w:val="00B86B14"/>
    <w:rsid w:val="00B904C1"/>
    <w:rsid w:val="00B90970"/>
    <w:rsid w:val="00B91228"/>
    <w:rsid w:val="00B92C8F"/>
    <w:rsid w:val="00B932D2"/>
    <w:rsid w:val="00B9330F"/>
    <w:rsid w:val="00B9476C"/>
    <w:rsid w:val="00B94D63"/>
    <w:rsid w:val="00B95E9C"/>
    <w:rsid w:val="00B96621"/>
    <w:rsid w:val="00B96B5A"/>
    <w:rsid w:val="00B96EAA"/>
    <w:rsid w:val="00B970F1"/>
    <w:rsid w:val="00BA055D"/>
    <w:rsid w:val="00BA095F"/>
    <w:rsid w:val="00BA0B42"/>
    <w:rsid w:val="00BA184E"/>
    <w:rsid w:val="00BA1E92"/>
    <w:rsid w:val="00BA1F24"/>
    <w:rsid w:val="00BA21FC"/>
    <w:rsid w:val="00BA24F4"/>
    <w:rsid w:val="00BA2FDB"/>
    <w:rsid w:val="00BA3938"/>
    <w:rsid w:val="00BA3E19"/>
    <w:rsid w:val="00BA5D74"/>
    <w:rsid w:val="00BA7B1D"/>
    <w:rsid w:val="00BA7DE7"/>
    <w:rsid w:val="00BB1147"/>
    <w:rsid w:val="00BB1F2B"/>
    <w:rsid w:val="00BB299A"/>
    <w:rsid w:val="00BB2BDA"/>
    <w:rsid w:val="00BB2D09"/>
    <w:rsid w:val="00BB2DEA"/>
    <w:rsid w:val="00BB4FE9"/>
    <w:rsid w:val="00BB5049"/>
    <w:rsid w:val="00BB6CB4"/>
    <w:rsid w:val="00BC04CC"/>
    <w:rsid w:val="00BC1019"/>
    <w:rsid w:val="00BC1306"/>
    <w:rsid w:val="00BC2EA9"/>
    <w:rsid w:val="00BC30ED"/>
    <w:rsid w:val="00BC4870"/>
    <w:rsid w:val="00BC4B1D"/>
    <w:rsid w:val="00BC574B"/>
    <w:rsid w:val="00BC584F"/>
    <w:rsid w:val="00BC5AC8"/>
    <w:rsid w:val="00BC64E0"/>
    <w:rsid w:val="00BC74CE"/>
    <w:rsid w:val="00BC7DFA"/>
    <w:rsid w:val="00BD064F"/>
    <w:rsid w:val="00BD072E"/>
    <w:rsid w:val="00BD0B51"/>
    <w:rsid w:val="00BD13D2"/>
    <w:rsid w:val="00BD22AA"/>
    <w:rsid w:val="00BD313B"/>
    <w:rsid w:val="00BD36E5"/>
    <w:rsid w:val="00BD38C4"/>
    <w:rsid w:val="00BD4DD9"/>
    <w:rsid w:val="00BD5ACB"/>
    <w:rsid w:val="00BD5B63"/>
    <w:rsid w:val="00BD5CF6"/>
    <w:rsid w:val="00BD5D01"/>
    <w:rsid w:val="00BD601C"/>
    <w:rsid w:val="00BD6374"/>
    <w:rsid w:val="00BD66BB"/>
    <w:rsid w:val="00BD6B27"/>
    <w:rsid w:val="00BD6DA6"/>
    <w:rsid w:val="00BD6F19"/>
    <w:rsid w:val="00BD7B41"/>
    <w:rsid w:val="00BE051D"/>
    <w:rsid w:val="00BE23A1"/>
    <w:rsid w:val="00BE292D"/>
    <w:rsid w:val="00BE3345"/>
    <w:rsid w:val="00BE3392"/>
    <w:rsid w:val="00BE38EF"/>
    <w:rsid w:val="00BE3D63"/>
    <w:rsid w:val="00BE5E98"/>
    <w:rsid w:val="00BE64F6"/>
    <w:rsid w:val="00BE67AE"/>
    <w:rsid w:val="00BE6965"/>
    <w:rsid w:val="00BE7244"/>
    <w:rsid w:val="00BE7678"/>
    <w:rsid w:val="00BE7D46"/>
    <w:rsid w:val="00BE7E46"/>
    <w:rsid w:val="00BF0606"/>
    <w:rsid w:val="00BF1507"/>
    <w:rsid w:val="00BF1F02"/>
    <w:rsid w:val="00BF2067"/>
    <w:rsid w:val="00BF2275"/>
    <w:rsid w:val="00BF41BB"/>
    <w:rsid w:val="00BF54C6"/>
    <w:rsid w:val="00BF5A76"/>
    <w:rsid w:val="00BF5C27"/>
    <w:rsid w:val="00C0075E"/>
    <w:rsid w:val="00C008EB"/>
    <w:rsid w:val="00C00E4F"/>
    <w:rsid w:val="00C019AC"/>
    <w:rsid w:val="00C019FE"/>
    <w:rsid w:val="00C0262D"/>
    <w:rsid w:val="00C036FE"/>
    <w:rsid w:val="00C03A1B"/>
    <w:rsid w:val="00C043DC"/>
    <w:rsid w:val="00C05048"/>
    <w:rsid w:val="00C05DC6"/>
    <w:rsid w:val="00C063CE"/>
    <w:rsid w:val="00C07BA6"/>
    <w:rsid w:val="00C100F3"/>
    <w:rsid w:val="00C117C2"/>
    <w:rsid w:val="00C1199B"/>
    <w:rsid w:val="00C13A13"/>
    <w:rsid w:val="00C13EB6"/>
    <w:rsid w:val="00C14C8F"/>
    <w:rsid w:val="00C1680F"/>
    <w:rsid w:val="00C169EE"/>
    <w:rsid w:val="00C174BC"/>
    <w:rsid w:val="00C20563"/>
    <w:rsid w:val="00C20B07"/>
    <w:rsid w:val="00C20E09"/>
    <w:rsid w:val="00C2103C"/>
    <w:rsid w:val="00C2107D"/>
    <w:rsid w:val="00C22F3C"/>
    <w:rsid w:val="00C23875"/>
    <w:rsid w:val="00C243B4"/>
    <w:rsid w:val="00C248DF"/>
    <w:rsid w:val="00C25018"/>
    <w:rsid w:val="00C252C8"/>
    <w:rsid w:val="00C25461"/>
    <w:rsid w:val="00C25774"/>
    <w:rsid w:val="00C26431"/>
    <w:rsid w:val="00C26790"/>
    <w:rsid w:val="00C3165B"/>
    <w:rsid w:val="00C31ECE"/>
    <w:rsid w:val="00C32193"/>
    <w:rsid w:val="00C32305"/>
    <w:rsid w:val="00C337D6"/>
    <w:rsid w:val="00C33F9F"/>
    <w:rsid w:val="00C341E3"/>
    <w:rsid w:val="00C34273"/>
    <w:rsid w:val="00C359B6"/>
    <w:rsid w:val="00C360A2"/>
    <w:rsid w:val="00C369BE"/>
    <w:rsid w:val="00C370D1"/>
    <w:rsid w:val="00C37468"/>
    <w:rsid w:val="00C37618"/>
    <w:rsid w:val="00C3766C"/>
    <w:rsid w:val="00C37EBD"/>
    <w:rsid w:val="00C40072"/>
    <w:rsid w:val="00C40F1E"/>
    <w:rsid w:val="00C4223B"/>
    <w:rsid w:val="00C426F5"/>
    <w:rsid w:val="00C429E4"/>
    <w:rsid w:val="00C43E19"/>
    <w:rsid w:val="00C441A6"/>
    <w:rsid w:val="00C44AD5"/>
    <w:rsid w:val="00C47D00"/>
    <w:rsid w:val="00C47D3A"/>
    <w:rsid w:val="00C47E3B"/>
    <w:rsid w:val="00C50196"/>
    <w:rsid w:val="00C50366"/>
    <w:rsid w:val="00C51A0E"/>
    <w:rsid w:val="00C5236C"/>
    <w:rsid w:val="00C523EF"/>
    <w:rsid w:val="00C52661"/>
    <w:rsid w:val="00C52EE4"/>
    <w:rsid w:val="00C5310A"/>
    <w:rsid w:val="00C54524"/>
    <w:rsid w:val="00C5475A"/>
    <w:rsid w:val="00C55F87"/>
    <w:rsid w:val="00C560C2"/>
    <w:rsid w:val="00C5667F"/>
    <w:rsid w:val="00C56ADA"/>
    <w:rsid w:val="00C56D8F"/>
    <w:rsid w:val="00C56DC0"/>
    <w:rsid w:val="00C57714"/>
    <w:rsid w:val="00C6078F"/>
    <w:rsid w:val="00C61013"/>
    <w:rsid w:val="00C61681"/>
    <w:rsid w:val="00C619B3"/>
    <w:rsid w:val="00C61C72"/>
    <w:rsid w:val="00C61D3C"/>
    <w:rsid w:val="00C62010"/>
    <w:rsid w:val="00C62B41"/>
    <w:rsid w:val="00C631CA"/>
    <w:rsid w:val="00C63ED6"/>
    <w:rsid w:val="00C643B8"/>
    <w:rsid w:val="00C64FED"/>
    <w:rsid w:val="00C66967"/>
    <w:rsid w:val="00C66B27"/>
    <w:rsid w:val="00C6700F"/>
    <w:rsid w:val="00C670C7"/>
    <w:rsid w:val="00C67835"/>
    <w:rsid w:val="00C679B1"/>
    <w:rsid w:val="00C71221"/>
    <w:rsid w:val="00C718F3"/>
    <w:rsid w:val="00C72E65"/>
    <w:rsid w:val="00C73525"/>
    <w:rsid w:val="00C74447"/>
    <w:rsid w:val="00C74939"/>
    <w:rsid w:val="00C755CD"/>
    <w:rsid w:val="00C75693"/>
    <w:rsid w:val="00C7605D"/>
    <w:rsid w:val="00C762CD"/>
    <w:rsid w:val="00C7661C"/>
    <w:rsid w:val="00C775D4"/>
    <w:rsid w:val="00C804E0"/>
    <w:rsid w:val="00C80568"/>
    <w:rsid w:val="00C80AA4"/>
    <w:rsid w:val="00C80D2A"/>
    <w:rsid w:val="00C81B6D"/>
    <w:rsid w:val="00C823D1"/>
    <w:rsid w:val="00C8272B"/>
    <w:rsid w:val="00C82DCF"/>
    <w:rsid w:val="00C83129"/>
    <w:rsid w:val="00C83722"/>
    <w:rsid w:val="00C8387A"/>
    <w:rsid w:val="00C843EB"/>
    <w:rsid w:val="00C84967"/>
    <w:rsid w:val="00C84BC8"/>
    <w:rsid w:val="00C85C54"/>
    <w:rsid w:val="00C86BA1"/>
    <w:rsid w:val="00C86C3C"/>
    <w:rsid w:val="00C86E7A"/>
    <w:rsid w:val="00C87D5B"/>
    <w:rsid w:val="00C90292"/>
    <w:rsid w:val="00C9052C"/>
    <w:rsid w:val="00C9090C"/>
    <w:rsid w:val="00C90B21"/>
    <w:rsid w:val="00C9104E"/>
    <w:rsid w:val="00C9170B"/>
    <w:rsid w:val="00C9181C"/>
    <w:rsid w:val="00C91BFA"/>
    <w:rsid w:val="00C92AAE"/>
    <w:rsid w:val="00C939EA"/>
    <w:rsid w:val="00C948BD"/>
    <w:rsid w:val="00C9540A"/>
    <w:rsid w:val="00C95C0D"/>
    <w:rsid w:val="00C95DA5"/>
    <w:rsid w:val="00C964C2"/>
    <w:rsid w:val="00C967C0"/>
    <w:rsid w:val="00C978F2"/>
    <w:rsid w:val="00CA0377"/>
    <w:rsid w:val="00CA0C7E"/>
    <w:rsid w:val="00CA1409"/>
    <w:rsid w:val="00CA14D3"/>
    <w:rsid w:val="00CA212A"/>
    <w:rsid w:val="00CA21FE"/>
    <w:rsid w:val="00CA2AE0"/>
    <w:rsid w:val="00CA4C38"/>
    <w:rsid w:val="00CA4D0C"/>
    <w:rsid w:val="00CA56DA"/>
    <w:rsid w:val="00CA63E1"/>
    <w:rsid w:val="00CA64FC"/>
    <w:rsid w:val="00CA67B7"/>
    <w:rsid w:val="00CA7064"/>
    <w:rsid w:val="00CA72B0"/>
    <w:rsid w:val="00CB0C63"/>
    <w:rsid w:val="00CB1E3E"/>
    <w:rsid w:val="00CB374F"/>
    <w:rsid w:val="00CB3838"/>
    <w:rsid w:val="00CB3A92"/>
    <w:rsid w:val="00CB69B7"/>
    <w:rsid w:val="00CB6BD5"/>
    <w:rsid w:val="00CC0695"/>
    <w:rsid w:val="00CC0D20"/>
    <w:rsid w:val="00CC1013"/>
    <w:rsid w:val="00CC1ECE"/>
    <w:rsid w:val="00CC2529"/>
    <w:rsid w:val="00CC27C8"/>
    <w:rsid w:val="00CC27F2"/>
    <w:rsid w:val="00CC3490"/>
    <w:rsid w:val="00CC385B"/>
    <w:rsid w:val="00CC39A5"/>
    <w:rsid w:val="00CC496F"/>
    <w:rsid w:val="00CC57EC"/>
    <w:rsid w:val="00CC58EA"/>
    <w:rsid w:val="00CC5AF0"/>
    <w:rsid w:val="00CC5D8E"/>
    <w:rsid w:val="00CC709F"/>
    <w:rsid w:val="00CC7724"/>
    <w:rsid w:val="00CD0A35"/>
    <w:rsid w:val="00CD0B88"/>
    <w:rsid w:val="00CD1DFB"/>
    <w:rsid w:val="00CD27D7"/>
    <w:rsid w:val="00CD29E1"/>
    <w:rsid w:val="00CD3217"/>
    <w:rsid w:val="00CD54CE"/>
    <w:rsid w:val="00CD69BD"/>
    <w:rsid w:val="00CE0421"/>
    <w:rsid w:val="00CE098D"/>
    <w:rsid w:val="00CE2DC5"/>
    <w:rsid w:val="00CE30AF"/>
    <w:rsid w:val="00CE314C"/>
    <w:rsid w:val="00CE3782"/>
    <w:rsid w:val="00CE391F"/>
    <w:rsid w:val="00CE3A6C"/>
    <w:rsid w:val="00CE3EEC"/>
    <w:rsid w:val="00CE443E"/>
    <w:rsid w:val="00CE50C5"/>
    <w:rsid w:val="00CE5355"/>
    <w:rsid w:val="00CE5513"/>
    <w:rsid w:val="00CE560B"/>
    <w:rsid w:val="00CE5ABC"/>
    <w:rsid w:val="00CE5C5A"/>
    <w:rsid w:val="00CE6119"/>
    <w:rsid w:val="00CE6FB3"/>
    <w:rsid w:val="00CE7300"/>
    <w:rsid w:val="00CE7667"/>
    <w:rsid w:val="00CE7EB8"/>
    <w:rsid w:val="00CF06D9"/>
    <w:rsid w:val="00CF0EAC"/>
    <w:rsid w:val="00CF1337"/>
    <w:rsid w:val="00CF144A"/>
    <w:rsid w:val="00CF1902"/>
    <w:rsid w:val="00CF2594"/>
    <w:rsid w:val="00CF38D7"/>
    <w:rsid w:val="00CF5630"/>
    <w:rsid w:val="00CF6E79"/>
    <w:rsid w:val="00CF765C"/>
    <w:rsid w:val="00D00065"/>
    <w:rsid w:val="00D00CDB"/>
    <w:rsid w:val="00D0207C"/>
    <w:rsid w:val="00D02A0A"/>
    <w:rsid w:val="00D0393C"/>
    <w:rsid w:val="00D04D9E"/>
    <w:rsid w:val="00D04F3F"/>
    <w:rsid w:val="00D057CF"/>
    <w:rsid w:val="00D0591E"/>
    <w:rsid w:val="00D05991"/>
    <w:rsid w:val="00D06B28"/>
    <w:rsid w:val="00D06E08"/>
    <w:rsid w:val="00D071CB"/>
    <w:rsid w:val="00D0756F"/>
    <w:rsid w:val="00D10877"/>
    <w:rsid w:val="00D10C56"/>
    <w:rsid w:val="00D10F43"/>
    <w:rsid w:val="00D11635"/>
    <w:rsid w:val="00D1183C"/>
    <w:rsid w:val="00D12546"/>
    <w:rsid w:val="00D12CF5"/>
    <w:rsid w:val="00D12E66"/>
    <w:rsid w:val="00D130D8"/>
    <w:rsid w:val="00D13D47"/>
    <w:rsid w:val="00D13F5C"/>
    <w:rsid w:val="00D147A1"/>
    <w:rsid w:val="00D1546E"/>
    <w:rsid w:val="00D16FAD"/>
    <w:rsid w:val="00D17E29"/>
    <w:rsid w:val="00D20197"/>
    <w:rsid w:val="00D20D7A"/>
    <w:rsid w:val="00D21D7F"/>
    <w:rsid w:val="00D22449"/>
    <w:rsid w:val="00D22D70"/>
    <w:rsid w:val="00D232F7"/>
    <w:rsid w:val="00D235B0"/>
    <w:rsid w:val="00D23FB5"/>
    <w:rsid w:val="00D24C77"/>
    <w:rsid w:val="00D24EE7"/>
    <w:rsid w:val="00D257B3"/>
    <w:rsid w:val="00D25E80"/>
    <w:rsid w:val="00D2667C"/>
    <w:rsid w:val="00D30960"/>
    <w:rsid w:val="00D30EC4"/>
    <w:rsid w:val="00D31908"/>
    <w:rsid w:val="00D3234C"/>
    <w:rsid w:val="00D324B6"/>
    <w:rsid w:val="00D33889"/>
    <w:rsid w:val="00D345B4"/>
    <w:rsid w:val="00D35A73"/>
    <w:rsid w:val="00D366C4"/>
    <w:rsid w:val="00D3682F"/>
    <w:rsid w:val="00D37A06"/>
    <w:rsid w:val="00D4062F"/>
    <w:rsid w:val="00D416AC"/>
    <w:rsid w:val="00D42BF0"/>
    <w:rsid w:val="00D42C84"/>
    <w:rsid w:val="00D44241"/>
    <w:rsid w:val="00D443FF"/>
    <w:rsid w:val="00D458A5"/>
    <w:rsid w:val="00D469AC"/>
    <w:rsid w:val="00D4760D"/>
    <w:rsid w:val="00D50107"/>
    <w:rsid w:val="00D50124"/>
    <w:rsid w:val="00D502D0"/>
    <w:rsid w:val="00D53000"/>
    <w:rsid w:val="00D53029"/>
    <w:rsid w:val="00D53786"/>
    <w:rsid w:val="00D53870"/>
    <w:rsid w:val="00D53DB5"/>
    <w:rsid w:val="00D54DD1"/>
    <w:rsid w:val="00D5511F"/>
    <w:rsid w:val="00D55251"/>
    <w:rsid w:val="00D560B9"/>
    <w:rsid w:val="00D56147"/>
    <w:rsid w:val="00D56243"/>
    <w:rsid w:val="00D56887"/>
    <w:rsid w:val="00D56E14"/>
    <w:rsid w:val="00D5720B"/>
    <w:rsid w:val="00D60C30"/>
    <w:rsid w:val="00D62583"/>
    <w:rsid w:val="00D626E9"/>
    <w:rsid w:val="00D62780"/>
    <w:rsid w:val="00D6286B"/>
    <w:rsid w:val="00D63160"/>
    <w:rsid w:val="00D6365E"/>
    <w:rsid w:val="00D64A76"/>
    <w:rsid w:val="00D65759"/>
    <w:rsid w:val="00D65F8D"/>
    <w:rsid w:val="00D671E3"/>
    <w:rsid w:val="00D67597"/>
    <w:rsid w:val="00D67922"/>
    <w:rsid w:val="00D67D9E"/>
    <w:rsid w:val="00D70A1C"/>
    <w:rsid w:val="00D70F2D"/>
    <w:rsid w:val="00D7216B"/>
    <w:rsid w:val="00D73439"/>
    <w:rsid w:val="00D73D1F"/>
    <w:rsid w:val="00D73DEB"/>
    <w:rsid w:val="00D7482F"/>
    <w:rsid w:val="00D757CB"/>
    <w:rsid w:val="00D75B7C"/>
    <w:rsid w:val="00D75C33"/>
    <w:rsid w:val="00D75D74"/>
    <w:rsid w:val="00D7613D"/>
    <w:rsid w:val="00D766A5"/>
    <w:rsid w:val="00D76DC3"/>
    <w:rsid w:val="00D76F7C"/>
    <w:rsid w:val="00D77596"/>
    <w:rsid w:val="00D777EC"/>
    <w:rsid w:val="00D77D3A"/>
    <w:rsid w:val="00D81019"/>
    <w:rsid w:val="00D822F0"/>
    <w:rsid w:val="00D82992"/>
    <w:rsid w:val="00D83CFA"/>
    <w:rsid w:val="00D84865"/>
    <w:rsid w:val="00D84953"/>
    <w:rsid w:val="00D84B76"/>
    <w:rsid w:val="00D85477"/>
    <w:rsid w:val="00D859B8"/>
    <w:rsid w:val="00D85AD4"/>
    <w:rsid w:val="00D85BBB"/>
    <w:rsid w:val="00D8673B"/>
    <w:rsid w:val="00D8769A"/>
    <w:rsid w:val="00D87F50"/>
    <w:rsid w:val="00D87F8F"/>
    <w:rsid w:val="00D9104C"/>
    <w:rsid w:val="00D91FC9"/>
    <w:rsid w:val="00D926A4"/>
    <w:rsid w:val="00D929C1"/>
    <w:rsid w:val="00D943CD"/>
    <w:rsid w:val="00D94775"/>
    <w:rsid w:val="00D948DC"/>
    <w:rsid w:val="00D94ADB"/>
    <w:rsid w:val="00D95C4C"/>
    <w:rsid w:val="00D96B6B"/>
    <w:rsid w:val="00D9727D"/>
    <w:rsid w:val="00D97286"/>
    <w:rsid w:val="00D97A55"/>
    <w:rsid w:val="00DA025F"/>
    <w:rsid w:val="00DA05C4"/>
    <w:rsid w:val="00DA0864"/>
    <w:rsid w:val="00DA12D5"/>
    <w:rsid w:val="00DA14C9"/>
    <w:rsid w:val="00DA219C"/>
    <w:rsid w:val="00DA236E"/>
    <w:rsid w:val="00DA2548"/>
    <w:rsid w:val="00DA3130"/>
    <w:rsid w:val="00DA3AAD"/>
    <w:rsid w:val="00DA3E63"/>
    <w:rsid w:val="00DA3FE0"/>
    <w:rsid w:val="00DA43DD"/>
    <w:rsid w:val="00DA4F7C"/>
    <w:rsid w:val="00DA4F7E"/>
    <w:rsid w:val="00DA6D41"/>
    <w:rsid w:val="00DA7345"/>
    <w:rsid w:val="00DA7AD2"/>
    <w:rsid w:val="00DA7B11"/>
    <w:rsid w:val="00DA7BE5"/>
    <w:rsid w:val="00DA7E76"/>
    <w:rsid w:val="00DB021C"/>
    <w:rsid w:val="00DB0914"/>
    <w:rsid w:val="00DB1406"/>
    <w:rsid w:val="00DB28F4"/>
    <w:rsid w:val="00DB378C"/>
    <w:rsid w:val="00DB436A"/>
    <w:rsid w:val="00DB43C4"/>
    <w:rsid w:val="00DB5270"/>
    <w:rsid w:val="00DB5CEE"/>
    <w:rsid w:val="00DB64CA"/>
    <w:rsid w:val="00DB6F76"/>
    <w:rsid w:val="00DB72DA"/>
    <w:rsid w:val="00DB7358"/>
    <w:rsid w:val="00DC0087"/>
    <w:rsid w:val="00DC0E7E"/>
    <w:rsid w:val="00DC201D"/>
    <w:rsid w:val="00DC39B3"/>
    <w:rsid w:val="00DC411E"/>
    <w:rsid w:val="00DC5087"/>
    <w:rsid w:val="00DC533E"/>
    <w:rsid w:val="00DC5A03"/>
    <w:rsid w:val="00DC5C16"/>
    <w:rsid w:val="00DC5C8E"/>
    <w:rsid w:val="00DC6344"/>
    <w:rsid w:val="00DC7AB4"/>
    <w:rsid w:val="00DC7EE2"/>
    <w:rsid w:val="00DD0A63"/>
    <w:rsid w:val="00DD102D"/>
    <w:rsid w:val="00DD169A"/>
    <w:rsid w:val="00DD2365"/>
    <w:rsid w:val="00DD2E94"/>
    <w:rsid w:val="00DD35BD"/>
    <w:rsid w:val="00DD368E"/>
    <w:rsid w:val="00DD3DD3"/>
    <w:rsid w:val="00DD3E72"/>
    <w:rsid w:val="00DD49DB"/>
    <w:rsid w:val="00DD4DCF"/>
    <w:rsid w:val="00DD5E39"/>
    <w:rsid w:val="00DD6F28"/>
    <w:rsid w:val="00DD708B"/>
    <w:rsid w:val="00DD793B"/>
    <w:rsid w:val="00DE09DF"/>
    <w:rsid w:val="00DE0CA2"/>
    <w:rsid w:val="00DE0DB5"/>
    <w:rsid w:val="00DE0F33"/>
    <w:rsid w:val="00DE159A"/>
    <w:rsid w:val="00DE1F9F"/>
    <w:rsid w:val="00DE496C"/>
    <w:rsid w:val="00DE56C5"/>
    <w:rsid w:val="00DE5DDD"/>
    <w:rsid w:val="00DE62E1"/>
    <w:rsid w:val="00DE658A"/>
    <w:rsid w:val="00DE6D83"/>
    <w:rsid w:val="00DE6DFD"/>
    <w:rsid w:val="00DF08D7"/>
    <w:rsid w:val="00DF0CCC"/>
    <w:rsid w:val="00DF14E8"/>
    <w:rsid w:val="00DF1ADB"/>
    <w:rsid w:val="00DF1AE1"/>
    <w:rsid w:val="00DF29CF"/>
    <w:rsid w:val="00DF3012"/>
    <w:rsid w:val="00DF31B9"/>
    <w:rsid w:val="00DF3A17"/>
    <w:rsid w:val="00DF3DCC"/>
    <w:rsid w:val="00DF4764"/>
    <w:rsid w:val="00DF4862"/>
    <w:rsid w:val="00DF4B91"/>
    <w:rsid w:val="00DF4FE1"/>
    <w:rsid w:val="00DF5E3D"/>
    <w:rsid w:val="00DF5EAB"/>
    <w:rsid w:val="00DF7103"/>
    <w:rsid w:val="00DF7B77"/>
    <w:rsid w:val="00E002C1"/>
    <w:rsid w:val="00E003A0"/>
    <w:rsid w:val="00E009EF"/>
    <w:rsid w:val="00E00C45"/>
    <w:rsid w:val="00E016EA"/>
    <w:rsid w:val="00E01794"/>
    <w:rsid w:val="00E02057"/>
    <w:rsid w:val="00E04061"/>
    <w:rsid w:val="00E040D0"/>
    <w:rsid w:val="00E041A3"/>
    <w:rsid w:val="00E0507B"/>
    <w:rsid w:val="00E0649B"/>
    <w:rsid w:val="00E06528"/>
    <w:rsid w:val="00E0656C"/>
    <w:rsid w:val="00E0658B"/>
    <w:rsid w:val="00E07146"/>
    <w:rsid w:val="00E075BB"/>
    <w:rsid w:val="00E10D31"/>
    <w:rsid w:val="00E116AD"/>
    <w:rsid w:val="00E1216F"/>
    <w:rsid w:val="00E12D24"/>
    <w:rsid w:val="00E12DDA"/>
    <w:rsid w:val="00E131E7"/>
    <w:rsid w:val="00E13606"/>
    <w:rsid w:val="00E138C8"/>
    <w:rsid w:val="00E14D47"/>
    <w:rsid w:val="00E14E6A"/>
    <w:rsid w:val="00E15726"/>
    <w:rsid w:val="00E15F2E"/>
    <w:rsid w:val="00E164C1"/>
    <w:rsid w:val="00E1734D"/>
    <w:rsid w:val="00E176D7"/>
    <w:rsid w:val="00E17739"/>
    <w:rsid w:val="00E201F2"/>
    <w:rsid w:val="00E2052C"/>
    <w:rsid w:val="00E20D18"/>
    <w:rsid w:val="00E215CD"/>
    <w:rsid w:val="00E21687"/>
    <w:rsid w:val="00E21956"/>
    <w:rsid w:val="00E22D2F"/>
    <w:rsid w:val="00E23D16"/>
    <w:rsid w:val="00E245C4"/>
    <w:rsid w:val="00E24C60"/>
    <w:rsid w:val="00E258B0"/>
    <w:rsid w:val="00E26024"/>
    <w:rsid w:val="00E27048"/>
    <w:rsid w:val="00E2764A"/>
    <w:rsid w:val="00E27CDA"/>
    <w:rsid w:val="00E311C2"/>
    <w:rsid w:val="00E3244F"/>
    <w:rsid w:val="00E3447B"/>
    <w:rsid w:val="00E34960"/>
    <w:rsid w:val="00E34D5A"/>
    <w:rsid w:val="00E3501C"/>
    <w:rsid w:val="00E3525C"/>
    <w:rsid w:val="00E35569"/>
    <w:rsid w:val="00E36502"/>
    <w:rsid w:val="00E36A94"/>
    <w:rsid w:val="00E371E7"/>
    <w:rsid w:val="00E37783"/>
    <w:rsid w:val="00E37F9B"/>
    <w:rsid w:val="00E403D6"/>
    <w:rsid w:val="00E40CC3"/>
    <w:rsid w:val="00E41A97"/>
    <w:rsid w:val="00E4202C"/>
    <w:rsid w:val="00E42A75"/>
    <w:rsid w:val="00E431E3"/>
    <w:rsid w:val="00E43439"/>
    <w:rsid w:val="00E43B7A"/>
    <w:rsid w:val="00E44468"/>
    <w:rsid w:val="00E44B83"/>
    <w:rsid w:val="00E452FD"/>
    <w:rsid w:val="00E459C8"/>
    <w:rsid w:val="00E46A94"/>
    <w:rsid w:val="00E46FA0"/>
    <w:rsid w:val="00E50414"/>
    <w:rsid w:val="00E51299"/>
    <w:rsid w:val="00E519AE"/>
    <w:rsid w:val="00E51BD1"/>
    <w:rsid w:val="00E51C53"/>
    <w:rsid w:val="00E526A1"/>
    <w:rsid w:val="00E52E6F"/>
    <w:rsid w:val="00E54841"/>
    <w:rsid w:val="00E55340"/>
    <w:rsid w:val="00E56114"/>
    <w:rsid w:val="00E56326"/>
    <w:rsid w:val="00E564F5"/>
    <w:rsid w:val="00E5766F"/>
    <w:rsid w:val="00E576B1"/>
    <w:rsid w:val="00E60323"/>
    <w:rsid w:val="00E605AC"/>
    <w:rsid w:val="00E609E3"/>
    <w:rsid w:val="00E613D5"/>
    <w:rsid w:val="00E617AD"/>
    <w:rsid w:val="00E61CE6"/>
    <w:rsid w:val="00E61F37"/>
    <w:rsid w:val="00E62636"/>
    <w:rsid w:val="00E6308C"/>
    <w:rsid w:val="00E64F69"/>
    <w:rsid w:val="00E65D28"/>
    <w:rsid w:val="00E660E6"/>
    <w:rsid w:val="00E66201"/>
    <w:rsid w:val="00E66C36"/>
    <w:rsid w:val="00E66F9E"/>
    <w:rsid w:val="00E704B5"/>
    <w:rsid w:val="00E70962"/>
    <w:rsid w:val="00E712F9"/>
    <w:rsid w:val="00E71685"/>
    <w:rsid w:val="00E72281"/>
    <w:rsid w:val="00E722A9"/>
    <w:rsid w:val="00E72373"/>
    <w:rsid w:val="00E724C1"/>
    <w:rsid w:val="00E758EF"/>
    <w:rsid w:val="00E768EA"/>
    <w:rsid w:val="00E76B6A"/>
    <w:rsid w:val="00E76BD9"/>
    <w:rsid w:val="00E76E01"/>
    <w:rsid w:val="00E8144E"/>
    <w:rsid w:val="00E81C8E"/>
    <w:rsid w:val="00E81EBA"/>
    <w:rsid w:val="00E82A12"/>
    <w:rsid w:val="00E82D60"/>
    <w:rsid w:val="00E83B8F"/>
    <w:rsid w:val="00E845E0"/>
    <w:rsid w:val="00E84E2D"/>
    <w:rsid w:val="00E85E45"/>
    <w:rsid w:val="00E8665B"/>
    <w:rsid w:val="00E872EE"/>
    <w:rsid w:val="00E87A28"/>
    <w:rsid w:val="00E9018A"/>
    <w:rsid w:val="00E901B5"/>
    <w:rsid w:val="00E902CE"/>
    <w:rsid w:val="00E90352"/>
    <w:rsid w:val="00E90B23"/>
    <w:rsid w:val="00E91270"/>
    <w:rsid w:val="00E91560"/>
    <w:rsid w:val="00E92130"/>
    <w:rsid w:val="00E92B8F"/>
    <w:rsid w:val="00E94712"/>
    <w:rsid w:val="00E95382"/>
    <w:rsid w:val="00E9721C"/>
    <w:rsid w:val="00E97916"/>
    <w:rsid w:val="00E97BCA"/>
    <w:rsid w:val="00EA0691"/>
    <w:rsid w:val="00EA2A3E"/>
    <w:rsid w:val="00EA2AFA"/>
    <w:rsid w:val="00EA2CB4"/>
    <w:rsid w:val="00EA2CE7"/>
    <w:rsid w:val="00EA3206"/>
    <w:rsid w:val="00EA396A"/>
    <w:rsid w:val="00EA66E4"/>
    <w:rsid w:val="00EA6910"/>
    <w:rsid w:val="00EA6DD1"/>
    <w:rsid w:val="00EB29C2"/>
    <w:rsid w:val="00EB2DB3"/>
    <w:rsid w:val="00EB3878"/>
    <w:rsid w:val="00EB4A9A"/>
    <w:rsid w:val="00EB4B28"/>
    <w:rsid w:val="00EB54D0"/>
    <w:rsid w:val="00EB5A5E"/>
    <w:rsid w:val="00EB63EA"/>
    <w:rsid w:val="00EB68F4"/>
    <w:rsid w:val="00EB792A"/>
    <w:rsid w:val="00EB7D5D"/>
    <w:rsid w:val="00EC03E2"/>
    <w:rsid w:val="00EC1207"/>
    <w:rsid w:val="00EC137E"/>
    <w:rsid w:val="00EC13E5"/>
    <w:rsid w:val="00EC1616"/>
    <w:rsid w:val="00EC1A83"/>
    <w:rsid w:val="00EC1F92"/>
    <w:rsid w:val="00EC28D0"/>
    <w:rsid w:val="00EC2AE4"/>
    <w:rsid w:val="00EC2EFD"/>
    <w:rsid w:val="00EC2F3F"/>
    <w:rsid w:val="00EC3189"/>
    <w:rsid w:val="00EC34C0"/>
    <w:rsid w:val="00EC43ED"/>
    <w:rsid w:val="00EC4ABD"/>
    <w:rsid w:val="00EC5AB4"/>
    <w:rsid w:val="00EC6263"/>
    <w:rsid w:val="00EC6E05"/>
    <w:rsid w:val="00EC718F"/>
    <w:rsid w:val="00ED0DDF"/>
    <w:rsid w:val="00ED0E6D"/>
    <w:rsid w:val="00ED1486"/>
    <w:rsid w:val="00ED1908"/>
    <w:rsid w:val="00ED33A8"/>
    <w:rsid w:val="00ED4E75"/>
    <w:rsid w:val="00ED4F34"/>
    <w:rsid w:val="00ED4F91"/>
    <w:rsid w:val="00ED58E1"/>
    <w:rsid w:val="00ED6734"/>
    <w:rsid w:val="00ED6907"/>
    <w:rsid w:val="00ED7D1D"/>
    <w:rsid w:val="00ED7E44"/>
    <w:rsid w:val="00EE06E9"/>
    <w:rsid w:val="00EE14D6"/>
    <w:rsid w:val="00EE1B16"/>
    <w:rsid w:val="00EE1DC3"/>
    <w:rsid w:val="00EE2E52"/>
    <w:rsid w:val="00EE5AE7"/>
    <w:rsid w:val="00EE5BD6"/>
    <w:rsid w:val="00EE6163"/>
    <w:rsid w:val="00EE651F"/>
    <w:rsid w:val="00EE6C01"/>
    <w:rsid w:val="00EF340F"/>
    <w:rsid w:val="00EF3AAF"/>
    <w:rsid w:val="00EF3B35"/>
    <w:rsid w:val="00EF3FF1"/>
    <w:rsid w:val="00EF448E"/>
    <w:rsid w:val="00EF462D"/>
    <w:rsid w:val="00EF493F"/>
    <w:rsid w:val="00EF5417"/>
    <w:rsid w:val="00EF5B94"/>
    <w:rsid w:val="00EF64FD"/>
    <w:rsid w:val="00EF7674"/>
    <w:rsid w:val="00EF7886"/>
    <w:rsid w:val="00EF7EBB"/>
    <w:rsid w:val="00F001C0"/>
    <w:rsid w:val="00F00644"/>
    <w:rsid w:val="00F01F44"/>
    <w:rsid w:val="00F02326"/>
    <w:rsid w:val="00F02A91"/>
    <w:rsid w:val="00F02F1C"/>
    <w:rsid w:val="00F03207"/>
    <w:rsid w:val="00F03344"/>
    <w:rsid w:val="00F03BDB"/>
    <w:rsid w:val="00F03D11"/>
    <w:rsid w:val="00F03FF7"/>
    <w:rsid w:val="00F04DE7"/>
    <w:rsid w:val="00F0586F"/>
    <w:rsid w:val="00F0695C"/>
    <w:rsid w:val="00F06A62"/>
    <w:rsid w:val="00F07F04"/>
    <w:rsid w:val="00F10336"/>
    <w:rsid w:val="00F106EA"/>
    <w:rsid w:val="00F10B9A"/>
    <w:rsid w:val="00F10BDB"/>
    <w:rsid w:val="00F1125E"/>
    <w:rsid w:val="00F11E82"/>
    <w:rsid w:val="00F1238A"/>
    <w:rsid w:val="00F124D5"/>
    <w:rsid w:val="00F129F6"/>
    <w:rsid w:val="00F1325D"/>
    <w:rsid w:val="00F132C9"/>
    <w:rsid w:val="00F13335"/>
    <w:rsid w:val="00F13C75"/>
    <w:rsid w:val="00F15134"/>
    <w:rsid w:val="00F1564F"/>
    <w:rsid w:val="00F156F1"/>
    <w:rsid w:val="00F158CF"/>
    <w:rsid w:val="00F158F2"/>
    <w:rsid w:val="00F159DF"/>
    <w:rsid w:val="00F16098"/>
    <w:rsid w:val="00F16528"/>
    <w:rsid w:val="00F16B94"/>
    <w:rsid w:val="00F16F4D"/>
    <w:rsid w:val="00F21660"/>
    <w:rsid w:val="00F21903"/>
    <w:rsid w:val="00F22D61"/>
    <w:rsid w:val="00F239EA"/>
    <w:rsid w:val="00F24B7E"/>
    <w:rsid w:val="00F27E0A"/>
    <w:rsid w:val="00F3058A"/>
    <w:rsid w:val="00F318A0"/>
    <w:rsid w:val="00F32A2D"/>
    <w:rsid w:val="00F35604"/>
    <w:rsid w:val="00F35B1A"/>
    <w:rsid w:val="00F36A1C"/>
    <w:rsid w:val="00F36AC7"/>
    <w:rsid w:val="00F37CAB"/>
    <w:rsid w:val="00F40143"/>
    <w:rsid w:val="00F40D18"/>
    <w:rsid w:val="00F41211"/>
    <w:rsid w:val="00F415BF"/>
    <w:rsid w:val="00F419F6"/>
    <w:rsid w:val="00F432D1"/>
    <w:rsid w:val="00F4333B"/>
    <w:rsid w:val="00F4424F"/>
    <w:rsid w:val="00F45B0B"/>
    <w:rsid w:val="00F46BD8"/>
    <w:rsid w:val="00F47104"/>
    <w:rsid w:val="00F47E27"/>
    <w:rsid w:val="00F504DF"/>
    <w:rsid w:val="00F5066D"/>
    <w:rsid w:val="00F50BDD"/>
    <w:rsid w:val="00F514AD"/>
    <w:rsid w:val="00F52282"/>
    <w:rsid w:val="00F52330"/>
    <w:rsid w:val="00F52671"/>
    <w:rsid w:val="00F52B20"/>
    <w:rsid w:val="00F52B67"/>
    <w:rsid w:val="00F554F7"/>
    <w:rsid w:val="00F55EFD"/>
    <w:rsid w:val="00F569B2"/>
    <w:rsid w:val="00F56BE8"/>
    <w:rsid w:val="00F56CC5"/>
    <w:rsid w:val="00F56D7D"/>
    <w:rsid w:val="00F56FE1"/>
    <w:rsid w:val="00F57BDE"/>
    <w:rsid w:val="00F60147"/>
    <w:rsid w:val="00F6140F"/>
    <w:rsid w:val="00F620EE"/>
    <w:rsid w:val="00F64879"/>
    <w:rsid w:val="00F65A3B"/>
    <w:rsid w:val="00F65CC6"/>
    <w:rsid w:val="00F6603B"/>
    <w:rsid w:val="00F66A2C"/>
    <w:rsid w:val="00F6750F"/>
    <w:rsid w:val="00F67745"/>
    <w:rsid w:val="00F709F0"/>
    <w:rsid w:val="00F70A4A"/>
    <w:rsid w:val="00F710BE"/>
    <w:rsid w:val="00F715B1"/>
    <w:rsid w:val="00F7202F"/>
    <w:rsid w:val="00F721B5"/>
    <w:rsid w:val="00F72A30"/>
    <w:rsid w:val="00F73854"/>
    <w:rsid w:val="00F75453"/>
    <w:rsid w:val="00F75824"/>
    <w:rsid w:val="00F75E80"/>
    <w:rsid w:val="00F77427"/>
    <w:rsid w:val="00F77829"/>
    <w:rsid w:val="00F77EAF"/>
    <w:rsid w:val="00F8041C"/>
    <w:rsid w:val="00F80E33"/>
    <w:rsid w:val="00F81165"/>
    <w:rsid w:val="00F813C1"/>
    <w:rsid w:val="00F8237B"/>
    <w:rsid w:val="00F82819"/>
    <w:rsid w:val="00F829EE"/>
    <w:rsid w:val="00F82E5F"/>
    <w:rsid w:val="00F8357C"/>
    <w:rsid w:val="00F83853"/>
    <w:rsid w:val="00F83DEC"/>
    <w:rsid w:val="00F8427D"/>
    <w:rsid w:val="00F84283"/>
    <w:rsid w:val="00F84446"/>
    <w:rsid w:val="00F846B8"/>
    <w:rsid w:val="00F85F49"/>
    <w:rsid w:val="00F860F4"/>
    <w:rsid w:val="00F8610C"/>
    <w:rsid w:val="00F86279"/>
    <w:rsid w:val="00F86349"/>
    <w:rsid w:val="00F86CA1"/>
    <w:rsid w:val="00F87310"/>
    <w:rsid w:val="00F87B5C"/>
    <w:rsid w:val="00F908DA"/>
    <w:rsid w:val="00F90A5A"/>
    <w:rsid w:val="00F90C11"/>
    <w:rsid w:val="00F91000"/>
    <w:rsid w:val="00F9171E"/>
    <w:rsid w:val="00F91C4F"/>
    <w:rsid w:val="00F91FDD"/>
    <w:rsid w:val="00F92531"/>
    <w:rsid w:val="00F9266C"/>
    <w:rsid w:val="00F927B6"/>
    <w:rsid w:val="00F9342A"/>
    <w:rsid w:val="00F93F31"/>
    <w:rsid w:val="00F9412F"/>
    <w:rsid w:val="00F96CD9"/>
    <w:rsid w:val="00FA06C4"/>
    <w:rsid w:val="00FA0B2A"/>
    <w:rsid w:val="00FA1967"/>
    <w:rsid w:val="00FA1E2A"/>
    <w:rsid w:val="00FA3095"/>
    <w:rsid w:val="00FA347C"/>
    <w:rsid w:val="00FA49C1"/>
    <w:rsid w:val="00FA4F79"/>
    <w:rsid w:val="00FA4FCB"/>
    <w:rsid w:val="00FA5730"/>
    <w:rsid w:val="00FA595D"/>
    <w:rsid w:val="00FA5A52"/>
    <w:rsid w:val="00FA700F"/>
    <w:rsid w:val="00FB0055"/>
    <w:rsid w:val="00FB0079"/>
    <w:rsid w:val="00FB0BE4"/>
    <w:rsid w:val="00FB0C21"/>
    <w:rsid w:val="00FB152D"/>
    <w:rsid w:val="00FB16AD"/>
    <w:rsid w:val="00FB22BB"/>
    <w:rsid w:val="00FB367E"/>
    <w:rsid w:val="00FB3A20"/>
    <w:rsid w:val="00FB45D1"/>
    <w:rsid w:val="00FB4B14"/>
    <w:rsid w:val="00FB5617"/>
    <w:rsid w:val="00FB622F"/>
    <w:rsid w:val="00FB63C8"/>
    <w:rsid w:val="00FB6EB9"/>
    <w:rsid w:val="00FB6FDD"/>
    <w:rsid w:val="00FB753B"/>
    <w:rsid w:val="00FB7704"/>
    <w:rsid w:val="00FB784B"/>
    <w:rsid w:val="00FB7C95"/>
    <w:rsid w:val="00FC172C"/>
    <w:rsid w:val="00FC1FA0"/>
    <w:rsid w:val="00FC2C82"/>
    <w:rsid w:val="00FC5AB0"/>
    <w:rsid w:val="00FC5BD3"/>
    <w:rsid w:val="00FC5CC1"/>
    <w:rsid w:val="00FC5D5F"/>
    <w:rsid w:val="00FC7476"/>
    <w:rsid w:val="00FC77F9"/>
    <w:rsid w:val="00FC7829"/>
    <w:rsid w:val="00FD0320"/>
    <w:rsid w:val="00FD05BC"/>
    <w:rsid w:val="00FD0B00"/>
    <w:rsid w:val="00FD0B47"/>
    <w:rsid w:val="00FD1970"/>
    <w:rsid w:val="00FD1E3E"/>
    <w:rsid w:val="00FD2583"/>
    <w:rsid w:val="00FD2706"/>
    <w:rsid w:val="00FD2D53"/>
    <w:rsid w:val="00FD342F"/>
    <w:rsid w:val="00FD40FC"/>
    <w:rsid w:val="00FD5067"/>
    <w:rsid w:val="00FD5572"/>
    <w:rsid w:val="00FD591D"/>
    <w:rsid w:val="00FD5DB6"/>
    <w:rsid w:val="00FD5E0E"/>
    <w:rsid w:val="00FD6230"/>
    <w:rsid w:val="00FD6334"/>
    <w:rsid w:val="00FD6449"/>
    <w:rsid w:val="00FD76DA"/>
    <w:rsid w:val="00FE00C5"/>
    <w:rsid w:val="00FE126C"/>
    <w:rsid w:val="00FE27EE"/>
    <w:rsid w:val="00FE291E"/>
    <w:rsid w:val="00FE2E3B"/>
    <w:rsid w:val="00FE384C"/>
    <w:rsid w:val="00FE3CCD"/>
    <w:rsid w:val="00FE4018"/>
    <w:rsid w:val="00FE4848"/>
    <w:rsid w:val="00FE4E1F"/>
    <w:rsid w:val="00FE550F"/>
    <w:rsid w:val="00FE5944"/>
    <w:rsid w:val="00FE6492"/>
    <w:rsid w:val="00FE6758"/>
    <w:rsid w:val="00FE6C16"/>
    <w:rsid w:val="00FE6EE3"/>
    <w:rsid w:val="00FE6FF1"/>
    <w:rsid w:val="00FE7091"/>
    <w:rsid w:val="00FF039B"/>
    <w:rsid w:val="00FF1387"/>
    <w:rsid w:val="00FF1521"/>
    <w:rsid w:val="00FF191F"/>
    <w:rsid w:val="00FF334C"/>
    <w:rsid w:val="00FF3433"/>
    <w:rsid w:val="00FF3713"/>
    <w:rsid w:val="00FF3D0B"/>
    <w:rsid w:val="00FF4294"/>
    <w:rsid w:val="00FF48FE"/>
    <w:rsid w:val="00FF56C6"/>
    <w:rsid w:val="00FF5A10"/>
    <w:rsid w:val="00FF6279"/>
    <w:rsid w:val="00FF6632"/>
    <w:rsid w:val="00FF7D04"/>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7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330"/>
    <w:rPr>
      <w:sz w:val="24"/>
      <w:szCs w:val="24"/>
      <w:lang w:val="sv-SE" w:eastAsia="sv-SE"/>
    </w:rPr>
  </w:style>
  <w:style w:type="paragraph" w:styleId="Rubrik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sz w:val="22"/>
      <w:szCs w:val="22"/>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rsid w:val="00771C32"/>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styleId="Kommentarsreferens">
    <w:name w:val="annotation reference"/>
    <w:basedOn w:val="Standardstycketeckensnitt"/>
    <w:uiPriority w:val="99"/>
    <w:semiHidden/>
    <w:unhideWhenUsed/>
    <w:rsid w:val="000532AB"/>
    <w:rPr>
      <w:sz w:val="16"/>
      <w:szCs w:val="16"/>
    </w:rPr>
  </w:style>
  <w:style w:type="paragraph" w:styleId="Kommentarer">
    <w:name w:val="annotation text"/>
    <w:basedOn w:val="Normal"/>
    <w:link w:val="KommentarerChar"/>
    <w:uiPriority w:val="99"/>
    <w:semiHidden/>
    <w:unhideWhenUsed/>
    <w:rsid w:val="000532AB"/>
    <w:rPr>
      <w:sz w:val="20"/>
      <w:szCs w:val="20"/>
    </w:rPr>
  </w:style>
  <w:style w:type="character" w:customStyle="1" w:styleId="KommentarerChar">
    <w:name w:val="Kommentarer Char"/>
    <w:basedOn w:val="Standardstycketeckensnitt"/>
    <w:link w:val="Kommentarer"/>
    <w:uiPriority w:val="99"/>
    <w:semiHidden/>
    <w:rsid w:val="000532AB"/>
    <w:rPr>
      <w:lang w:val="sv-SE" w:eastAsia="sv-SE"/>
    </w:rPr>
  </w:style>
  <w:style w:type="paragraph" w:styleId="Kommentarsmne">
    <w:name w:val="annotation subject"/>
    <w:basedOn w:val="Kommentarer"/>
    <w:next w:val="Kommentarer"/>
    <w:link w:val="KommentarsmneChar"/>
    <w:uiPriority w:val="99"/>
    <w:semiHidden/>
    <w:unhideWhenUsed/>
    <w:rsid w:val="000532AB"/>
    <w:rPr>
      <w:b/>
      <w:bCs/>
    </w:rPr>
  </w:style>
  <w:style w:type="character" w:customStyle="1" w:styleId="KommentarsmneChar">
    <w:name w:val="Kommentarsämne Char"/>
    <w:basedOn w:val="KommentarerChar"/>
    <w:link w:val="Kommentarsmne"/>
    <w:uiPriority w:val="99"/>
    <w:semiHidden/>
    <w:rsid w:val="000532AB"/>
    <w:rPr>
      <w:b/>
      <w:bCs/>
      <w:lang w:val="sv-SE" w:eastAsia="sv-SE"/>
    </w:rPr>
  </w:style>
  <w:style w:type="paragraph" w:styleId="Ballongtext">
    <w:name w:val="Balloon Text"/>
    <w:basedOn w:val="Normal"/>
    <w:link w:val="BallongtextChar"/>
    <w:uiPriority w:val="99"/>
    <w:semiHidden/>
    <w:unhideWhenUsed/>
    <w:rsid w:val="000532AB"/>
    <w:rPr>
      <w:rFonts w:ascii="Tahoma" w:hAnsi="Tahoma" w:cs="Tahoma"/>
      <w:sz w:val="16"/>
      <w:szCs w:val="16"/>
    </w:rPr>
  </w:style>
  <w:style w:type="character" w:customStyle="1" w:styleId="BallongtextChar">
    <w:name w:val="Ballongtext Char"/>
    <w:basedOn w:val="Standardstycketeckensnitt"/>
    <w:link w:val="Ballongtext"/>
    <w:uiPriority w:val="99"/>
    <w:semiHidden/>
    <w:rsid w:val="000532AB"/>
    <w:rPr>
      <w:rFonts w:ascii="Tahoma" w:hAnsi="Tahoma" w:cs="Tahoma"/>
      <w:sz w:val="16"/>
      <w:szCs w:val="16"/>
      <w:lang w:val="sv-SE" w:eastAsia="sv-SE"/>
    </w:rPr>
  </w:style>
  <w:style w:type="table" w:styleId="Tabellrutnt">
    <w:name w:val="Table Grid"/>
    <w:basedOn w:val="Normaltabell"/>
    <w:uiPriority w:val="59"/>
    <w:rsid w:val="003D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nhideWhenUsed/>
    <w:rsid w:val="007F0D4E"/>
    <w:rPr>
      <w:sz w:val="20"/>
      <w:szCs w:val="20"/>
    </w:rPr>
  </w:style>
  <w:style w:type="character" w:customStyle="1" w:styleId="FotnotstextChar">
    <w:name w:val="Fotnotstext Char"/>
    <w:basedOn w:val="Standardstycketeckensnitt"/>
    <w:link w:val="Fotnotstext"/>
    <w:rsid w:val="007F0D4E"/>
    <w:rPr>
      <w:lang w:val="sv-SE" w:eastAsia="sv-SE"/>
    </w:rPr>
  </w:style>
  <w:style w:type="character" w:styleId="Fotnotsreferens">
    <w:name w:val="footnote reference"/>
    <w:basedOn w:val="Standardstycketeckensnitt"/>
    <w:semiHidden/>
    <w:unhideWhenUsed/>
    <w:rsid w:val="007F0D4E"/>
    <w:rPr>
      <w:vertAlign w:val="superscript"/>
    </w:rPr>
  </w:style>
  <w:style w:type="character" w:customStyle="1" w:styleId="UnresolvedMention">
    <w:name w:val="Unresolved Mention"/>
    <w:basedOn w:val="Standardstycketeckensnitt"/>
    <w:uiPriority w:val="99"/>
    <w:semiHidden/>
    <w:unhideWhenUsed/>
    <w:rsid w:val="00D23FB5"/>
    <w:rPr>
      <w:color w:val="808080"/>
      <w:shd w:val="clear" w:color="auto" w:fill="E6E6E6"/>
    </w:rPr>
  </w:style>
  <w:style w:type="paragraph" w:styleId="Normalwebb">
    <w:name w:val="Normal (Web)"/>
    <w:basedOn w:val="Normal"/>
    <w:uiPriority w:val="99"/>
    <w:semiHidden/>
    <w:unhideWhenUsed/>
    <w:rsid w:val="009A0D2C"/>
  </w:style>
  <w:style w:type="paragraph" w:styleId="Liststycke">
    <w:name w:val="List Paragraph"/>
    <w:basedOn w:val="Normal"/>
    <w:uiPriority w:val="34"/>
    <w:qFormat/>
    <w:rsid w:val="001E5E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330"/>
    <w:rPr>
      <w:sz w:val="24"/>
      <w:szCs w:val="24"/>
      <w:lang w:val="sv-SE" w:eastAsia="sv-SE"/>
    </w:rPr>
  </w:style>
  <w:style w:type="paragraph" w:styleId="Rubrik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sz w:val="22"/>
      <w:szCs w:val="22"/>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rsid w:val="00771C32"/>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styleId="Kommentarsreferens">
    <w:name w:val="annotation reference"/>
    <w:basedOn w:val="Standardstycketeckensnitt"/>
    <w:uiPriority w:val="99"/>
    <w:semiHidden/>
    <w:unhideWhenUsed/>
    <w:rsid w:val="000532AB"/>
    <w:rPr>
      <w:sz w:val="16"/>
      <w:szCs w:val="16"/>
    </w:rPr>
  </w:style>
  <w:style w:type="paragraph" w:styleId="Kommentarer">
    <w:name w:val="annotation text"/>
    <w:basedOn w:val="Normal"/>
    <w:link w:val="KommentarerChar"/>
    <w:uiPriority w:val="99"/>
    <w:semiHidden/>
    <w:unhideWhenUsed/>
    <w:rsid w:val="000532AB"/>
    <w:rPr>
      <w:sz w:val="20"/>
      <w:szCs w:val="20"/>
    </w:rPr>
  </w:style>
  <w:style w:type="character" w:customStyle="1" w:styleId="KommentarerChar">
    <w:name w:val="Kommentarer Char"/>
    <w:basedOn w:val="Standardstycketeckensnitt"/>
    <w:link w:val="Kommentarer"/>
    <w:uiPriority w:val="99"/>
    <w:semiHidden/>
    <w:rsid w:val="000532AB"/>
    <w:rPr>
      <w:lang w:val="sv-SE" w:eastAsia="sv-SE"/>
    </w:rPr>
  </w:style>
  <w:style w:type="paragraph" w:styleId="Kommentarsmne">
    <w:name w:val="annotation subject"/>
    <w:basedOn w:val="Kommentarer"/>
    <w:next w:val="Kommentarer"/>
    <w:link w:val="KommentarsmneChar"/>
    <w:uiPriority w:val="99"/>
    <w:semiHidden/>
    <w:unhideWhenUsed/>
    <w:rsid w:val="000532AB"/>
    <w:rPr>
      <w:b/>
      <w:bCs/>
    </w:rPr>
  </w:style>
  <w:style w:type="character" w:customStyle="1" w:styleId="KommentarsmneChar">
    <w:name w:val="Kommentarsämne Char"/>
    <w:basedOn w:val="KommentarerChar"/>
    <w:link w:val="Kommentarsmne"/>
    <w:uiPriority w:val="99"/>
    <w:semiHidden/>
    <w:rsid w:val="000532AB"/>
    <w:rPr>
      <w:b/>
      <w:bCs/>
      <w:lang w:val="sv-SE" w:eastAsia="sv-SE"/>
    </w:rPr>
  </w:style>
  <w:style w:type="paragraph" w:styleId="Ballongtext">
    <w:name w:val="Balloon Text"/>
    <w:basedOn w:val="Normal"/>
    <w:link w:val="BallongtextChar"/>
    <w:uiPriority w:val="99"/>
    <w:semiHidden/>
    <w:unhideWhenUsed/>
    <w:rsid w:val="000532AB"/>
    <w:rPr>
      <w:rFonts w:ascii="Tahoma" w:hAnsi="Tahoma" w:cs="Tahoma"/>
      <w:sz w:val="16"/>
      <w:szCs w:val="16"/>
    </w:rPr>
  </w:style>
  <w:style w:type="character" w:customStyle="1" w:styleId="BallongtextChar">
    <w:name w:val="Ballongtext Char"/>
    <w:basedOn w:val="Standardstycketeckensnitt"/>
    <w:link w:val="Ballongtext"/>
    <w:uiPriority w:val="99"/>
    <w:semiHidden/>
    <w:rsid w:val="000532AB"/>
    <w:rPr>
      <w:rFonts w:ascii="Tahoma" w:hAnsi="Tahoma" w:cs="Tahoma"/>
      <w:sz w:val="16"/>
      <w:szCs w:val="16"/>
      <w:lang w:val="sv-SE" w:eastAsia="sv-SE"/>
    </w:rPr>
  </w:style>
  <w:style w:type="table" w:styleId="Tabellrutnt">
    <w:name w:val="Table Grid"/>
    <w:basedOn w:val="Normaltabell"/>
    <w:uiPriority w:val="59"/>
    <w:rsid w:val="003D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nhideWhenUsed/>
    <w:rsid w:val="007F0D4E"/>
    <w:rPr>
      <w:sz w:val="20"/>
      <w:szCs w:val="20"/>
    </w:rPr>
  </w:style>
  <w:style w:type="character" w:customStyle="1" w:styleId="FotnotstextChar">
    <w:name w:val="Fotnotstext Char"/>
    <w:basedOn w:val="Standardstycketeckensnitt"/>
    <w:link w:val="Fotnotstext"/>
    <w:rsid w:val="007F0D4E"/>
    <w:rPr>
      <w:lang w:val="sv-SE" w:eastAsia="sv-SE"/>
    </w:rPr>
  </w:style>
  <w:style w:type="character" w:styleId="Fotnotsreferens">
    <w:name w:val="footnote reference"/>
    <w:basedOn w:val="Standardstycketeckensnitt"/>
    <w:semiHidden/>
    <w:unhideWhenUsed/>
    <w:rsid w:val="007F0D4E"/>
    <w:rPr>
      <w:vertAlign w:val="superscript"/>
    </w:rPr>
  </w:style>
  <w:style w:type="character" w:customStyle="1" w:styleId="UnresolvedMention">
    <w:name w:val="Unresolved Mention"/>
    <w:basedOn w:val="Standardstycketeckensnitt"/>
    <w:uiPriority w:val="99"/>
    <w:semiHidden/>
    <w:unhideWhenUsed/>
    <w:rsid w:val="00D23FB5"/>
    <w:rPr>
      <w:color w:val="808080"/>
      <w:shd w:val="clear" w:color="auto" w:fill="E6E6E6"/>
    </w:rPr>
  </w:style>
  <w:style w:type="paragraph" w:styleId="Normalwebb">
    <w:name w:val="Normal (Web)"/>
    <w:basedOn w:val="Normal"/>
    <w:uiPriority w:val="99"/>
    <w:semiHidden/>
    <w:unhideWhenUsed/>
    <w:rsid w:val="009A0D2C"/>
  </w:style>
  <w:style w:type="paragraph" w:styleId="Liststycke">
    <w:name w:val="List Paragraph"/>
    <w:basedOn w:val="Normal"/>
    <w:uiPriority w:val="34"/>
    <w:qFormat/>
    <w:rsid w:val="001E5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1046">
      <w:bodyDiv w:val="1"/>
      <w:marLeft w:val="0"/>
      <w:marRight w:val="0"/>
      <w:marTop w:val="0"/>
      <w:marBottom w:val="0"/>
      <w:divBdr>
        <w:top w:val="none" w:sz="0" w:space="0" w:color="auto"/>
        <w:left w:val="none" w:sz="0" w:space="0" w:color="auto"/>
        <w:bottom w:val="none" w:sz="0" w:space="0" w:color="auto"/>
        <w:right w:val="none" w:sz="0" w:space="0" w:color="auto"/>
      </w:divBdr>
      <w:divsChild>
        <w:div w:id="404373822">
          <w:marLeft w:val="0"/>
          <w:marRight w:val="0"/>
          <w:marTop w:val="0"/>
          <w:marBottom w:val="0"/>
          <w:divBdr>
            <w:top w:val="none" w:sz="0" w:space="0" w:color="auto"/>
            <w:left w:val="none" w:sz="0" w:space="0" w:color="auto"/>
            <w:bottom w:val="none" w:sz="0" w:space="0" w:color="auto"/>
            <w:right w:val="none" w:sz="0" w:space="0" w:color="auto"/>
          </w:divBdr>
          <w:divsChild>
            <w:div w:id="2003972790">
              <w:marLeft w:val="0"/>
              <w:marRight w:val="0"/>
              <w:marTop w:val="0"/>
              <w:marBottom w:val="0"/>
              <w:divBdr>
                <w:top w:val="none" w:sz="0" w:space="0" w:color="auto"/>
                <w:left w:val="none" w:sz="0" w:space="0" w:color="auto"/>
                <w:bottom w:val="none" w:sz="0" w:space="0" w:color="auto"/>
                <w:right w:val="none" w:sz="0" w:space="0" w:color="auto"/>
              </w:divBdr>
              <w:divsChild>
                <w:div w:id="915359675">
                  <w:marLeft w:val="0"/>
                  <w:marRight w:val="0"/>
                  <w:marTop w:val="0"/>
                  <w:marBottom w:val="0"/>
                  <w:divBdr>
                    <w:top w:val="none" w:sz="0" w:space="0" w:color="auto"/>
                    <w:left w:val="none" w:sz="0" w:space="0" w:color="auto"/>
                    <w:bottom w:val="none" w:sz="0" w:space="0" w:color="auto"/>
                    <w:right w:val="none" w:sz="0" w:space="0" w:color="auto"/>
                  </w:divBdr>
                  <w:divsChild>
                    <w:div w:id="253704157">
                      <w:marLeft w:val="0"/>
                      <w:marRight w:val="0"/>
                      <w:marTop w:val="0"/>
                      <w:marBottom w:val="0"/>
                      <w:divBdr>
                        <w:top w:val="none" w:sz="0" w:space="0" w:color="auto"/>
                        <w:left w:val="none" w:sz="0" w:space="0" w:color="auto"/>
                        <w:bottom w:val="none" w:sz="0" w:space="0" w:color="auto"/>
                        <w:right w:val="none" w:sz="0" w:space="0" w:color="auto"/>
                      </w:divBdr>
                      <w:divsChild>
                        <w:div w:id="513348736">
                          <w:marLeft w:val="0"/>
                          <w:marRight w:val="0"/>
                          <w:marTop w:val="0"/>
                          <w:marBottom w:val="0"/>
                          <w:divBdr>
                            <w:top w:val="none" w:sz="0" w:space="0" w:color="auto"/>
                            <w:left w:val="none" w:sz="0" w:space="0" w:color="auto"/>
                            <w:bottom w:val="none" w:sz="0" w:space="0" w:color="auto"/>
                            <w:right w:val="none" w:sz="0" w:space="0" w:color="auto"/>
                          </w:divBdr>
                          <w:divsChild>
                            <w:div w:id="1763256056">
                              <w:marLeft w:val="0"/>
                              <w:marRight w:val="0"/>
                              <w:marTop w:val="0"/>
                              <w:marBottom w:val="0"/>
                              <w:divBdr>
                                <w:top w:val="none" w:sz="0" w:space="0" w:color="auto"/>
                                <w:left w:val="none" w:sz="0" w:space="0" w:color="auto"/>
                                <w:bottom w:val="none" w:sz="0" w:space="0" w:color="auto"/>
                                <w:right w:val="none" w:sz="0" w:space="0" w:color="auto"/>
                              </w:divBdr>
                              <w:divsChild>
                                <w:div w:id="1257636603">
                                  <w:marLeft w:val="0"/>
                                  <w:marRight w:val="0"/>
                                  <w:marTop w:val="0"/>
                                  <w:marBottom w:val="0"/>
                                  <w:divBdr>
                                    <w:top w:val="none" w:sz="0" w:space="0" w:color="auto"/>
                                    <w:left w:val="none" w:sz="0" w:space="0" w:color="auto"/>
                                    <w:bottom w:val="none" w:sz="0" w:space="0" w:color="auto"/>
                                    <w:right w:val="none" w:sz="0" w:space="0" w:color="auto"/>
                                  </w:divBdr>
                                  <w:divsChild>
                                    <w:div w:id="1712413611">
                                      <w:marLeft w:val="0"/>
                                      <w:marRight w:val="0"/>
                                      <w:marTop w:val="0"/>
                                      <w:marBottom w:val="0"/>
                                      <w:divBdr>
                                        <w:top w:val="none" w:sz="0" w:space="0" w:color="auto"/>
                                        <w:left w:val="none" w:sz="0" w:space="0" w:color="auto"/>
                                        <w:bottom w:val="none" w:sz="0" w:space="0" w:color="auto"/>
                                        <w:right w:val="none" w:sz="0" w:space="0" w:color="auto"/>
                                      </w:divBdr>
                                      <w:divsChild>
                                        <w:div w:id="1399549816">
                                          <w:marLeft w:val="0"/>
                                          <w:marRight w:val="0"/>
                                          <w:marTop w:val="0"/>
                                          <w:marBottom w:val="0"/>
                                          <w:divBdr>
                                            <w:top w:val="none" w:sz="0" w:space="0" w:color="auto"/>
                                            <w:left w:val="none" w:sz="0" w:space="0" w:color="auto"/>
                                            <w:bottom w:val="none" w:sz="0" w:space="0" w:color="auto"/>
                                            <w:right w:val="none" w:sz="0" w:space="0" w:color="auto"/>
                                          </w:divBdr>
                                          <w:divsChild>
                                            <w:div w:id="40176876">
                                              <w:marLeft w:val="0"/>
                                              <w:marRight w:val="0"/>
                                              <w:marTop w:val="0"/>
                                              <w:marBottom w:val="0"/>
                                              <w:divBdr>
                                                <w:top w:val="none" w:sz="0" w:space="0" w:color="auto"/>
                                                <w:left w:val="none" w:sz="0" w:space="0" w:color="auto"/>
                                                <w:bottom w:val="none" w:sz="0" w:space="0" w:color="auto"/>
                                                <w:right w:val="none" w:sz="0" w:space="0" w:color="auto"/>
                                              </w:divBdr>
                                              <w:divsChild>
                                                <w:div w:id="1400858144">
                                                  <w:marLeft w:val="0"/>
                                                  <w:marRight w:val="0"/>
                                                  <w:marTop w:val="0"/>
                                                  <w:marBottom w:val="0"/>
                                                  <w:divBdr>
                                                    <w:top w:val="none" w:sz="0" w:space="0" w:color="auto"/>
                                                    <w:left w:val="none" w:sz="0" w:space="0" w:color="auto"/>
                                                    <w:bottom w:val="none" w:sz="0" w:space="0" w:color="auto"/>
                                                    <w:right w:val="none" w:sz="0" w:space="0" w:color="auto"/>
                                                  </w:divBdr>
                                                  <w:divsChild>
                                                    <w:div w:id="728382597">
                                                      <w:marLeft w:val="0"/>
                                                      <w:marRight w:val="0"/>
                                                      <w:marTop w:val="0"/>
                                                      <w:marBottom w:val="0"/>
                                                      <w:divBdr>
                                                        <w:top w:val="none" w:sz="0" w:space="0" w:color="auto"/>
                                                        <w:left w:val="none" w:sz="0" w:space="0" w:color="auto"/>
                                                        <w:bottom w:val="none" w:sz="0" w:space="0" w:color="auto"/>
                                                        <w:right w:val="none" w:sz="0" w:space="0" w:color="auto"/>
                                                      </w:divBdr>
                                                      <w:divsChild>
                                                        <w:div w:id="20918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854484">
      <w:bodyDiv w:val="1"/>
      <w:marLeft w:val="0"/>
      <w:marRight w:val="0"/>
      <w:marTop w:val="0"/>
      <w:marBottom w:val="0"/>
      <w:divBdr>
        <w:top w:val="none" w:sz="0" w:space="0" w:color="auto"/>
        <w:left w:val="none" w:sz="0" w:space="0" w:color="auto"/>
        <w:bottom w:val="none" w:sz="0" w:space="0" w:color="auto"/>
        <w:right w:val="none" w:sz="0" w:space="0" w:color="auto"/>
      </w:divBdr>
      <w:divsChild>
        <w:div w:id="1649244422">
          <w:marLeft w:val="0"/>
          <w:marRight w:val="0"/>
          <w:marTop w:val="0"/>
          <w:marBottom w:val="0"/>
          <w:divBdr>
            <w:top w:val="none" w:sz="0" w:space="0" w:color="auto"/>
            <w:left w:val="none" w:sz="0" w:space="0" w:color="auto"/>
            <w:bottom w:val="none" w:sz="0" w:space="0" w:color="auto"/>
            <w:right w:val="none" w:sz="0" w:space="0" w:color="auto"/>
          </w:divBdr>
        </w:div>
      </w:divsChild>
    </w:div>
    <w:div w:id="279998844">
      <w:bodyDiv w:val="1"/>
      <w:marLeft w:val="0"/>
      <w:marRight w:val="0"/>
      <w:marTop w:val="0"/>
      <w:marBottom w:val="0"/>
      <w:divBdr>
        <w:top w:val="none" w:sz="0" w:space="0" w:color="auto"/>
        <w:left w:val="none" w:sz="0" w:space="0" w:color="auto"/>
        <w:bottom w:val="none" w:sz="0" w:space="0" w:color="auto"/>
        <w:right w:val="none" w:sz="0" w:space="0" w:color="auto"/>
      </w:divBdr>
      <w:divsChild>
        <w:div w:id="842939390">
          <w:marLeft w:val="0"/>
          <w:marRight w:val="0"/>
          <w:marTop w:val="0"/>
          <w:marBottom w:val="0"/>
          <w:divBdr>
            <w:top w:val="none" w:sz="0" w:space="0" w:color="auto"/>
            <w:left w:val="none" w:sz="0" w:space="0" w:color="auto"/>
            <w:bottom w:val="none" w:sz="0" w:space="0" w:color="auto"/>
            <w:right w:val="none" w:sz="0" w:space="0" w:color="auto"/>
          </w:divBdr>
          <w:divsChild>
            <w:div w:id="734016013">
              <w:marLeft w:val="0"/>
              <w:marRight w:val="0"/>
              <w:marTop w:val="0"/>
              <w:marBottom w:val="0"/>
              <w:divBdr>
                <w:top w:val="none" w:sz="0" w:space="0" w:color="auto"/>
                <w:left w:val="none" w:sz="0" w:space="0" w:color="auto"/>
                <w:bottom w:val="none" w:sz="0" w:space="0" w:color="auto"/>
                <w:right w:val="none" w:sz="0" w:space="0" w:color="auto"/>
              </w:divBdr>
              <w:divsChild>
                <w:div w:id="552893376">
                  <w:marLeft w:val="-225"/>
                  <w:marRight w:val="-225"/>
                  <w:marTop w:val="0"/>
                  <w:marBottom w:val="0"/>
                  <w:divBdr>
                    <w:top w:val="none" w:sz="0" w:space="0" w:color="auto"/>
                    <w:left w:val="none" w:sz="0" w:space="0" w:color="auto"/>
                    <w:bottom w:val="none" w:sz="0" w:space="0" w:color="auto"/>
                    <w:right w:val="none" w:sz="0" w:space="0" w:color="auto"/>
                  </w:divBdr>
                  <w:divsChild>
                    <w:div w:id="946276647">
                      <w:marLeft w:val="0"/>
                      <w:marRight w:val="0"/>
                      <w:marTop w:val="0"/>
                      <w:marBottom w:val="0"/>
                      <w:divBdr>
                        <w:top w:val="none" w:sz="0" w:space="0" w:color="auto"/>
                        <w:left w:val="none" w:sz="0" w:space="0" w:color="auto"/>
                        <w:bottom w:val="none" w:sz="0" w:space="0" w:color="auto"/>
                        <w:right w:val="none" w:sz="0" w:space="0" w:color="auto"/>
                      </w:divBdr>
                      <w:divsChild>
                        <w:div w:id="942347947">
                          <w:marLeft w:val="-225"/>
                          <w:marRight w:val="-225"/>
                          <w:marTop w:val="0"/>
                          <w:marBottom w:val="0"/>
                          <w:divBdr>
                            <w:top w:val="none" w:sz="0" w:space="0" w:color="auto"/>
                            <w:left w:val="none" w:sz="0" w:space="0" w:color="auto"/>
                            <w:bottom w:val="none" w:sz="0" w:space="0" w:color="auto"/>
                            <w:right w:val="none" w:sz="0" w:space="0" w:color="auto"/>
                          </w:divBdr>
                          <w:divsChild>
                            <w:div w:id="1599217921">
                              <w:marLeft w:val="0"/>
                              <w:marRight w:val="0"/>
                              <w:marTop w:val="0"/>
                              <w:marBottom w:val="0"/>
                              <w:divBdr>
                                <w:top w:val="none" w:sz="0" w:space="0" w:color="auto"/>
                                <w:left w:val="none" w:sz="0" w:space="0" w:color="auto"/>
                                <w:bottom w:val="none" w:sz="0" w:space="0" w:color="auto"/>
                                <w:right w:val="none" w:sz="0" w:space="0" w:color="auto"/>
                              </w:divBdr>
                              <w:divsChild>
                                <w:div w:id="173737129">
                                  <w:marLeft w:val="0"/>
                                  <w:marRight w:val="0"/>
                                  <w:marTop w:val="0"/>
                                  <w:marBottom w:val="0"/>
                                  <w:divBdr>
                                    <w:top w:val="single" w:sz="6" w:space="31" w:color="C0C0C0"/>
                                    <w:left w:val="single" w:sz="6" w:space="31" w:color="C0C0C0"/>
                                    <w:bottom w:val="single" w:sz="6" w:space="31" w:color="C0C0C0"/>
                                    <w:right w:val="single" w:sz="6" w:space="31" w:color="C0C0C0"/>
                                  </w:divBdr>
                                  <w:divsChild>
                                    <w:div w:id="13684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926">
      <w:bodyDiv w:val="1"/>
      <w:marLeft w:val="0"/>
      <w:marRight w:val="0"/>
      <w:marTop w:val="0"/>
      <w:marBottom w:val="0"/>
      <w:divBdr>
        <w:top w:val="none" w:sz="0" w:space="0" w:color="auto"/>
        <w:left w:val="none" w:sz="0" w:space="0" w:color="auto"/>
        <w:bottom w:val="none" w:sz="0" w:space="0" w:color="auto"/>
        <w:right w:val="none" w:sz="0" w:space="0" w:color="auto"/>
      </w:divBdr>
      <w:divsChild>
        <w:div w:id="1147746088">
          <w:marLeft w:val="0"/>
          <w:marRight w:val="0"/>
          <w:marTop w:val="0"/>
          <w:marBottom w:val="0"/>
          <w:divBdr>
            <w:top w:val="none" w:sz="0" w:space="0" w:color="auto"/>
            <w:left w:val="none" w:sz="0" w:space="0" w:color="auto"/>
            <w:bottom w:val="none" w:sz="0" w:space="0" w:color="auto"/>
            <w:right w:val="none" w:sz="0" w:space="0" w:color="auto"/>
          </w:divBdr>
        </w:div>
      </w:divsChild>
    </w:div>
    <w:div w:id="444349381">
      <w:bodyDiv w:val="1"/>
      <w:marLeft w:val="0"/>
      <w:marRight w:val="0"/>
      <w:marTop w:val="0"/>
      <w:marBottom w:val="0"/>
      <w:divBdr>
        <w:top w:val="none" w:sz="0" w:space="0" w:color="auto"/>
        <w:left w:val="none" w:sz="0" w:space="0" w:color="auto"/>
        <w:bottom w:val="none" w:sz="0" w:space="0" w:color="auto"/>
        <w:right w:val="none" w:sz="0" w:space="0" w:color="auto"/>
      </w:divBdr>
    </w:div>
    <w:div w:id="472454195">
      <w:bodyDiv w:val="1"/>
      <w:marLeft w:val="0"/>
      <w:marRight w:val="0"/>
      <w:marTop w:val="0"/>
      <w:marBottom w:val="0"/>
      <w:divBdr>
        <w:top w:val="none" w:sz="0" w:space="0" w:color="auto"/>
        <w:left w:val="none" w:sz="0" w:space="0" w:color="auto"/>
        <w:bottom w:val="none" w:sz="0" w:space="0" w:color="auto"/>
        <w:right w:val="none" w:sz="0" w:space="0" w:color="auto"/>
      </w:divBdr>
      <w:divsChild>
        <w:div w:id="195506347">
          <w:marLeft w:val="0"/>
          <w:marRight w:val="0"/>
          <w:marTop w:val="0"/>
          <w:marBottom w:val="0"/>
          <w:divBdr>
            <w:top w:val="none" w:sz="0" w:space="0" w:color="auto"/>
            <w:left w:val="none" w:sz="0" w:space="0" w:color="auto"/>
            <w:bottom w:val="none" w:sz="0" w:space="0" w:color="auto"/>
            <w:right w:val="none" w:sz="0" w:space="0" w:color="auto"/>
          </w:divBdr>
          <w:divsChild>
            <w:div w:id="1149325888">
              <w:marLeft w:val="0"/>
              <w:marRight w:val="0"/>
              <w:marTop w:val="0"/>
              <w:marBottom w:val="0"/>
              <w:divBdr>
                <w:top w:val="none" w:sz="0" w:space="0" w:color="auto"/>
                <w:left w:val="none" w:sz="0" w:space="0" w:color="auto"/>
                <w:bottom w:val="none" w:sz="0" w:space="0" w:color="auto"/>
                <w:right w:val="none" w:sz="0" w:space="0" w:color="auto"/>
              </w:divBdr>
              <w:divsChild>
                <w:div w:id="1009214783">
                  <w:marLeft w:val="0"/>
                  <w:marRight w:val="0"/>
                  <w:marTop w:val="0"/>
                  <w:marBottom w:val="0"/>
                  <w:divBdr>
                    <w:top w:val="none" w:sz="0" w:space="0" w:color="auto"/>
                    <w:left w:val="none" w:sz="0" w:space="0" w:color="auto"/>
                    <w:bottom w:val="none" w:sz="0" w:space="0" w:color="auto"/>
                    <w:right w:val="none" w:sz="0" w:space="0" w:color="auto"/>
                  </w:divBdr>
                  <w:divsChild>
                    <w:div w:id="9142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08622">
      <w:bodyDiv w:val="1"/>
      <w:marLeft w:val="0"/>
      <w:marRight w:val="0"/>
      <w:marTop w:val="0"/>
      <w:marBottom w:val="0"/>
      <w:divBdr>
        <w:top w:val="none" w:sz="0" w:space="0" w:color="auto"/>
        <w:left w:val="none" w:sz="0" w:space="0" w:color="auto"/>
        <w:bottom w:val="none" w:sz="0" w:space="0" w:color="auto"/>
        <w:right w:val="none" w:sz="0" w:space="0" w:color="auto"/>
      </w:divBdr>
    </w:div>
    <w:div w:id="634262375">
      <w:bodyDiv w:val="1"/>
      <w:marLeft w:val="0"/>
      <w:marRight w:val="0"/>
      <w:marTop w:val="0"/>
      <w:marBottom w:val="0"/>
      <w:divBdr>
        <w:top w:val="none" w:sz="0" w:space="0" w:color="auto"/>
        <w:left w:val="none" w:sz="0" w:space="0" w:color="auto"/>
        <w:bottom w:val="none" w:sz="0" w:space="0" w:color="auto"/>
        <w:right w:val="none" w:sz="0" w:space="0" w:color="auto"/>
      </w:divBdr>
    </w:div>
    <w:div w:id="688409345">
      <w:bodyDiv w:val="1"/>
      <w:marLeft w:val="0"/>
      <w:marRight w:val="0"/>
      <w:marTop w:val="0"/>
      <w:marBottom w:val="0"/>
      <w:divBdr>
        <w:top w:val="none" w:sz="0" w:space="0" w:color="auto"/>
        <w:left w:val="none" w:sz="0" w:space="0" w:color="auto"/>
        <w:bottom w:val="none" w:sz="0" w:space="0" w:color="auto"/>
        <w:right w:val="none" w:sz="0" w:space="0" w:color="auto"/>
      </w:divBdr>
      <w:divsChild>
        <w:div w:id="1267733626">
          <w:marLeft w:val="0"/>
          <w:marRight w:val="0"/>
          <w:marTop w:val="0"/>
          <w:marBottom w:val="0"/>
          <w:divBdr>
            <w:top w:val="none" w:sz="0" w:space="0" w:color="auto"/>
            <w:left w:val="none" w:sz="0" w:space="0" w:color="auto"/>
            <w:bottom w:val="none" w:sz="0" w:space="0" w:color="auto"/>
            <w:right w:val="none" w:sz="0" w:space="0" w:color="auto"/>
          </w:divBdr>
        </w:div>
      </w:divsChild>
    </w:div>
    <w:div w:id="806436673">
      <w:bodyDiv w:val="1"/>
      <w:marLeft w:val="0"/>
      <w:marRight w:val="0"/>
      <w:marTop w:val="0"/>
      <w:marBottom w:val="0"/>
      <w:divBdr>
        <w:top w:val="none" w:sz="0" w:space="0" w:color="auto"/>
        <w:left w:val="none" w:sz="0" w:space="0" w:color="auto"/>
        <w:bottom w:val="none" w:sz="0" w:space="0" w:color="auto"/>
        <w:right w:val="none" w:sz="0" w:space="0" w:color="auto"/>
      </w:divBdr>
      <w:divsChild>
        <w:div w:id="410855208">
          <w:marLeft w:val="0"/>
          <w:marRight w:val="0"/>
          <w:marTop w:val="0"/>
          <w:marBottom w:val="0"/>
          <w:divBdr>
            <w:top w:val="none" w:sz="0" w:space="0" w:color="auto"/>
            <w:left w:val="none" w:sz="0" w:space="0" w:color="auto"/>
            <w:bottom w:val="none" w:sz="0" w:space="0" w:color="auto"/>
            <w:right w:val="none" w:sz="0" w:space="0" w:color="auto"/>
          </w:divBdr>
          <w:divsChild>
            <w:div w:id="337732656">
              <w:marLeft w:val="0"/>
              <w:marRight w:val="0"/>
              <w:marTop w:val="0"/>
              <w:marBottom w:val="0"/>
              <w:divBdr>
                <w:top w:val="none" w:sz="0" w:space="0" w:color="auto"/>
                <w:left w:val="none" w:sz="0" w:space="0" w:color="auto"/>
                <w:bottom w:val="none" w:sz="0" w:space="0" w:color="auto"/>
                <w:right w:val="none" w:sz="0" w:space="0" w:color="auto"/>
              </w:divBdr>
              <w:divsChild>
                <w:div w:id="323974096">
                  <w:marLeft w:val="0"/>
                  <w:marRight w:val="0"/>
                  <w:marTop w:val="0"/>
                  <w:marBottom w:val="0"/>
                  <w:divBdr>
                    <w:top w:val="none" w:sz="0" w:space="0" w:color="auto"/>
                    <w:left w:val="none" w:sz="0" w:space="0" w:color="auto"/>
                    <w:bottom w:val="none" w:sz="0" w:space="0" w:color="auto"/>
                    <w:right w:val="none" w:sz="0" w:space="0" w:color="auto"/>
                  </w:divBdr>
                  <w:divsChild>
                    <w:div w:id="12797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22618">
      <w:bodyDiv w:val="1"/>
      <w:marLeft w:val="0"/>
      <w:marRight w:val="0"/>
      <w:marTop w:val="0"/>
      <w:marBottom w:val="0"/>
      <w:divBdr>
        <w:top w:val="none" w:sz="0" w:space="0" w:color="auto"/>
        <w:left w:val="none" w:sz="0" w:space="0" w:color="auto"/>
        <w:bottom w:val="none" w:sz="0" w:space="0" w:color="auto"/>
        <w:right w:val="none" w:sz="0" w:space="0" w:color="auto"/>
      </w:divBdr>
      <w:divsChild>
        <w:div w:id="1544714123">
          <w:marLeft w:val="0"/>
          <w:marRight w:val="0"/>
          <w:marTop w:val="0"/>
          <w:marBottom w:val="0"/>
          <w:divBdr>
            <w:top w:val="none" w:sz="0" w:space="0" w:color="auto"/>
            <w:left w:val="none" w:sz="0" w:space="0" w:color="auto"/>
            <w:bottom w:val="none" w:sz="0" w:space="0" w:color="auto"/>
            <w:right w:val="none" w:sz="0" w:space="0" w:color="auto"/>
          </w:divBdr>
          <w:divsChild>
            <w:div w:id="524635544">
              <w:marLeft w:val="0"/>
              <w:marRight w:val="0"/>
              <w:marTop w:val="0"/>
              <w:marBottom w:val="0"/>
              <w:divBdr>
                <w:top w:val="none" w:sz="0" w:space="0" w:color="auto"/>
                <w:left w:val="none" w:sz="0" w:space="0" w:color="auto"/>
                <w:bottom w:val="none" w:sz="0" w:space="0" w:color="auto"/>
                <w:right w:val="none" w:sz="0" w:space="0" w:color="auto"/>
              </w:divBdr>
              <w:divsChild>
                <w:div w:id="2028603807">
                  <w:marLeft w:val="0"/>
                  <w:marRight w:val="0"/>
                  <w:marTop w:val="0"/>
                  <w:marBottom w:val="0"/>
                  <w:divBdr>
                    <w:top w:val="none" w:sz="0" w:space="0" w:color="auto"/>
                    <w:left w:val="none" w:sz="0" w:space="0" w:color="auto"/>
                    <w:bottom w:val="none" w:sz="0" w:space="0" w:color="auto"/>
                    <w:right w:val="none" w:sz="0" w:space="0" w:color="auto"/>
                  </w:divBdr>
                  <w:divsChild>
                    <w:div w:id="20581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06325">
      <w:bodyDiv w:val="1"/>
      <w:marLeft w:val="0"/>
      <w:marRight w:val="0"/>
      <w:marTop w:val="0"/>
      <w:marBottom w:val="0"/>
      <w:divBdr>
        <w:top w:val="none" w:sz="0" w:space="0" w:color="auto"/>
        <w:left w:val="none" w:sz="0" w:space="0" w:color="auto"/>
        <w:bottom w:val="none" w:sz="0" w:space="0" w:color="auto"/>
        <w:right w:val="none" w:sz="0" w:space="0" w:color="auto"/>
      </w:divBdr>
      <w:divsChild>
        <w:div w:id="1008602578">
          <w:marLeft w:val="0"/>
          <w:marRight w:val="0"/>
          <w:marTop w:val="0"/>
          <w:marBottom w:val="0"/>
          <w:divBdr>
            <w:top w:val="none" w:sz="0" w:space="0" w:color="auto"/>
            <w:left w:val="none" w:sz="0" w:space="0" w:color="auto"/>
            <w:bottom w:val="none" w:sz="0" w:space="0" w:color="auto"/>
            <w:right w:val="none" w:sz="0" w:space="0" w:color="auto"/>
          </w:divBdr>
          <w:divsChild>
            <w:div w:id="1396199795">
              <w:marLeft w:val="0"/>
              <w:marRight w:val="0"/>
              <w:marTop w:val="0"/>
              <w:marBottom w:val="0"/>
              <w:divBdr>
                <w:top w:val="none" w:sz="0" w:space="0" w:color="auto"/>
                <w:left w:val="none" w:sz="0" w:space="0" w:color="auto"/>
                <w:bottom w:val="none" w:sz="0" w:space="0" w:color="auto"/>
                <w:right w:val="none" w:sz="0" w:space="0" w:color="auto"/>
              </w:divBdr>
              <w:divsChild>
                <w:div w:id="1574730873">
                  <w:marLeft w:val="0"/>
                  <w:marRight w:val="0"/>
                  <w:marTop w:val="0"/>
                  <w:marBottom w:val="0"/>
                  <w:divBdr>
                    <w:top w:val="none" w:sz="0" w:space="0" w:color="auto"/>
                    <w:left w:val="none" w:sz="0" w:space="0" w:color="auto"/>
                    <w:bottom w:val="none" w:sz="0" w:space="0" w:color="auto"/>
                    <w:right w:val="none" w:sz="0" w:space="0" w:color="auto"/>
                  </w:divBdr>
                  <w:divsChild>
                    <w:div w:id="89700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639338">
      <w:bodyDiv w:val="1"/>
      <w:marLeft w:val="0"/>
      <w:marRight w:val="0"/>
      <w:marTop w:val="0"/>
      <w:marBottom w:val="0"/>
      <w:divBdr>
        <w:top w:val="none" w:sz="0" w:space="0" w:color="auto"/>
        <w:left w:val="none" w:sz="0" w:space="0" w:color="auto"/>
        <w:bottom w:val="none" w:sz="0" w:space="0" w:color="auto"/>
        <w:right w:val="none" w:sz="0" w:space="0" w:color="auto"/>
      </w:divBdr>
      <w:divsChild>
        <w:div w:id="688875482">
          <w:marLeft w:val="0"/>
          <w:marRight w:val="0"/>
          <w:marTop w:val="0"/>
          <w:marBottom w:val="0"/>
          <w:divBdr>
            <w:top w:val="none" w:sz="0" w:space="0" w:color="auto"/>
            <w:left w:val="none" w:sz="0" w:space="0" w:color="auto"/>
            <w:bottom w:val="none" w:sz="0" w:space="0" w:color="auto"/>
            <w:right w:val="none" w:sz="0" w:space="0" w:color="auto"/>
          </w:divBdr>
          <w:divsChild>
            <w:div w:id="869612319">
              <w:marLeft w:val="0"/>
              <w:marRight w:val="0"/>
              <w:marTop w:val="0"/>
              <w:marBottom w:val="0"/>
              <w:divBdr>
                <w:top w:val="none" w:sz="0" w:space="0" w:color="auto"/>
                <w:left w:val="none" w:sz="0" w:space="0" w:color="auto"/>
                <w:bottom w:val="none" w:sz="0" w:space="0" w:color="auto"/>
                <w:right w:val="none" w:sz="0" w:space="0" w:color="auto"/>
              </w:divBdr>
              <w:divsChild>
                <w:div w:id="492647833">
                  <w:marLeft w:val="0"/>
                  <w:marRight w:val="0"/>
                  <w:marTop w:val="0"/>
                  <w:marBottom w:val="0"/>
                  <w:divBdr>
                    <w:top w:val="none" w:sz="0" w:space="0" w:color="auto"/>
                    <w:left w:val="none" w:sz="0" w:space="0" w:color="auto"/>
                    <w:bottom w:val="none" w:sz="0" w:space="0" w:color="auto"/>
                    <w:right w:val="none" w:sz="0" w:space="0" w:color="auto"/>
                  </w:divBdr>
                  <w:divsChild>
                    <w:div w:id="14586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481030">
      <w:bodyDiv w:val="1"/>
      <w:marLeft w:val="0"/>
      <w:marRight w:val="0"/>
      <w:marTop w:val="0"/>
      <w:marBottom w:val="0"/>
      <w:divBdr>
        <w:top w:val="none" w:sz="0" w:space="0" w:color="auto"/>
        <w:left w:val="none" w:sz="0" w:space="0" w:color="auto"/>
        <w:bottom w:val="none" w:sz="0" w:space="0" w:color="auto"/>
        <w:right w:val="none" w:sz="0" w:space="0" w:color="auto"/>
      </w:divBdr>
      <w:divsChild>
        <w:div w:id="655107139">
          <w:marLeft w:val="0"/>
          <w:marRight w:val="0"/>
          <w:marTop w:val="0"/>
          <w:marBottom w:val="0"/>
          <w:divBdr>
            <w:top w:val="none" w:sz="0" w:space="0" w:color="auto"/>
            <w:left w:val="none" w:sz="0" w:space="0" w:color="auto"/>
            <w:bottom w:val="none" w:sz="0" w:space="0" w:color="auto"/>
            <w:right w:val="none" w:sz="0" w:space="0" w:color="auto"/>
          </w:divBdr>
          <w:divsChild>
            <w:div w:id="1487090175">
              <w:marLeft w:val="0"/>
              <w:marRight w:val="0"/>
              <w:marTop w:val="0"/>
              <w:marBottom w:val="0"/>
              <w:divBdr>
                <w:top w:val="none" w:sz="0" w:space="0" w:color="auto"/>
                <w:left w:val="none" w:sz="0" w:space="0" w:color="auto"/>
                <w:bottom w:val="none" w:sz="0" w:space="0" w:color="auto"/>
                <w:right w:val="none" w:sz="0" w:space="0" w:color="auto"/>
              </w:divBdr>
              <w:divsChild>
                <w:div w:id="146476539">
                  <w:marLeft w:val="0"/>
                  <w:marRight w:val="0"/>
                  <w:marTop w:val="0"/>
                  <w:marBottom w:val="0"/>
                  <w:divBdr>
                    <w:top w:val="none" w:sz="0" w:space="0" w:color="auto"/>
                    <w:left w:val="none" w:sz="0" w:space="0" w:color="auto"/>
                    <w:bottom w:val="none" w:sz="0" w:space="0" w:color="auto"/>
                    <w:right w:val="none" w:sz="0" w:space="0" w:color="auto"/>
                  </w:divBdr>
                  <w:divsChild>
                    <w:div w:id="19006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160728">
      <w:bodyDiv w:val="1"/>
      <w:marLeft w:val="0"/>
      <w:marRight w:val="0"/>
      <w:marTop w:val="0"/>
      <w:marBottom w:val="0"/>
      <w:divBdr>
        <w:top w:val="none" w:sz="0" w:space="0" w:color="auto"/>
        <w:left w:val="none" w:sz="0" w:space="0" w:color="auto"/>
        <w:bottom w:val="none" w:sz="0" w:space="0" w:color="auto"/>
        <w:right w:val="none" w:sz="0" w:space="0" w:color="auto"/>
      </w:divBdr>
      <w:divsChild>
        <w:div w:id="1530755693">
          <w:marLeft w:val="0"/>
          <w:marRight w:val="0"/>
          <w:marTop w:val="0"/>
          <w:marBottom w:val="0"/>
          <w:divBdr>
            <w:top w:val="none" w:sz="0" w:space="0" w:color="auto"/>
            <w:left w:val="none" w:sz="0" w:space="0" w:color="auto"/>
            <w:bottom w:val="none" w:sz="0" w:space="0" w:color="auto"/>
            <w:right w:val="none" w:sz="0" w:space="0" w:color="auto"/>
          </w:divBdr>
          <w:divsChild>
            <w:div w:id="1763448546">
              <w:marLeft w:val="0"/>
              <w:marRight w:val="0"/>
              <w:marTop w:val="0"/>
              <w:marBottom w:val="0"/>
              <w:divBdr>
                <w:top w:val="none" w:sz="0" w:space="0" w:color="auto"/>
                <w:left w:val="none" w:sz="0" w:space="0" w:color="auto"/>
                <w:bottom w:val="none" w:sz="0" w:space="0" w:color="auto"/>
                <w:right w:val="none" w:sz="0" w:space="0" w:color="auto"/>
              </w:divBdr>
              <w:divsChild>
                <w:div w:id="370688841">
                  <w:marLeft w:val="0"/>
                  <w:marRight w:val="0"/>
                  <w:marTop w:val="0"/>
                  <w:marBottom w:val="0"/>
                  <w:divBdr>
                    <w:top w:val="none" w:sz="0" w:space="0" w:color="auto"/>
                    <w:left w:val="none" w:sz="0" w:space="0" w:color="auto"/>
                    <w:bottom w:val="none" w:sz="0" w:space="0" w:color="auto"/>
                    <w:right w:val="none" w:sz="0" w:space="0" w:color="auto"/>
                  </w:divBdr>
                  <w:divsChild>
                    <w:div w:id="158430584">
                      <w:marLeft w:val="0"/>
                      <w:marRight w:val="0"/>
                      <w:marTop w:val="0"/>
                      <w:marBottom w:val="0"/>
                      <w:divBdr>
                        <w:top w:val="none" w:sz="0" w:space="0" w:color="auto"/>
                        <w:left w:val="none" w:sz="0" w:space="0" w:color="auto"/>
                        <w:bottom w:val="none" w:sz="0" w:space="0" w:color="auto"/>
                        <w:right w:val="none" w:sz="0" w:space="0" w:color="auto"/>
                      </w:divBdr>
                      <w:divsChild>
                        <w:div w:id="1109661501">
                          <w:marLeft w:val="0"/>
                          <w:marRight w:val="0"/>
                          <w:marTop w:val="0"/>
                          <w:marBottom w:val="0"/>
                          <w:divBdr>
                            <w:top w:val="none" w:sz="0" w:space="0" w:color="auto"/>
                            <w:left w:val="none" w:sz="0" w:space="0" w:color="auto"/>
                            <w:bottom w:val="none" w:sz="0" w:space="0" w:color="auto"/>
                            <w:right w:val="none" w:sz="0" w:space="0" w:color="auto"/>
                          </w:divBdr>
                          <w:divsChild>
                            <w:div w:id="1258951876">
                              <w:marLeft w:val="0"/>
                              <w:marRight w:val="0"/>
                              <w:marTop w:val="0"/>
                              <w:marBottom w:val="0"/>
                              <w:divBdr>
                                <w:top w:val="none" w:sz="0" w:space="0" w:color="auto"/>
                                <w:left w:val="none" w:sz="0" w:space="0" w:color="auto"/>
                                <w:bottom w:val="none" w:sz="0" w:space="0" w:color="auto"/>
                                <w:right w:val="none" w:sz="0" w:space="0" w:color="auto"/>
                              </w:divBdr>
                              <w:divsChild>
                                <w:div w:id="882056212">
                                  <w:marLeft w:val="0"/>
                                  <w:marRight w:val="0"/>
                                  <w:marTop w:val="0"/>
                                  <w:marBottom w:val="0"/>
                                  <w:divBdr>
                                    <w:top w:val="none" w:sz="0" w:space="0" w:color="auto"/>
                                    <w:left w:val="none" w:sz="0" w:space="0" w:color="auto"/>
                                    <w:bottom w:val="none" w:sz="0" w:space="0" w:color="auto"/>
                                    <w:right w:val="none" w:sz="0" w:space="0" w:color="auto"/>
                                  </w:divBdr>
                                  <w:divsChild>
                                    <w:div w:id="922572697">
                                      <w:marLeft w:val="0"/>
                                      <w:marRight w:val="0"/>
                                      <w:marTop w:val="0"/>
                                      <w:marBottom w:val="0"/>
                                      <w:divBdr>
                                        <w:top w:val="none" w:sz="0" w:space="0" w:color="auto"/>
                                        <w:left w:val="none" w:sz="0" w:space="0" w:color="auto"/>
                                        <w:bottom w:val="none" w:sz="0" w:space="0" w:color="auto"/>
                                        <w:right w:val="none" w:sz="0" w:space="0" w:color="auto"/>
                                      </w:divBdr>
                                      <w:divsChild>
                                        <w:div w:id="627122363">
                                          <w:marLeft w:val="0"/>
                                          <w:marRight w:val="0"/>
                                          <w:marTop w:val="0"/>
                                          <w:marBottom w:val="0"/>
                                          <w:divBdr>
                                            <w:top w:val="none" w:sz="0" w:space="0" w:color="auto"/>
                                            <w:left w:val="none" w:sz="0" w:space="0" w:color="auto"/>
                                            <w:bottom w:val="none" w:sz="0" w:space="0" w:color="auto"/>
                                            <w:right w:val="none" w:sz="0" w:space="0" w:color="auto"/>
                                          </w:divBdr>
                                          <w:divsChild>
                                            <w:div w:id="54013709">
                                              <w:marLeft w:val="0"/>
                                              <w:marRight w:val="0"/>
                                              <w:marTop w:val="0"/>
                                              <w:marBottom w:val="0"/>
                                              <w:divBdr>
                                                <w:top w:val="none" w:sz="0" w:space="0" w:color="auto"/>
                                                <w:left w:val="none" w:sz="0" w:space="0" w:color="auto"/>
                                                <w:bottom w:val="none" w:sz="0" w:space="0" w:color="auto"/>
                                                <w:right w:val="none" w:sz="0" w:space="0" w:color="auto"/>
                                              </w:divBdr>
                                              <w:divsChild>
                                                <w:div w:id="302857764">
                                                  <w:marLeft w:val="0"/>
                                                  <w:marRight w:val="0"/>
                                                  <w:marTop w:val="0"/>
                                                  <w:marBottom w:val="0"/>
                                                  <w:divBdr>
                                                    <w:top w:val="none" w:sz="0" w:space="0" w:color="auto"/>
                                                    <w:left w:val="none" w:sz="0" w:space="0" w:color="auto"/>
                                                    <w:bottom w:val="none" w:sz="0" w:space="0" w:color="auto"/>
                                                    <w:right w:val="none" w:sz="0" w:space="0" w:color="auto"/>
                                                  </w:divBdr>
                                                  <w:divsChild>
                                                    <w:div w:id="2041078197">
                                                      <w:marLeft w:val="0"/>
                                                      <w:marRight w:val="0"/>
                                                      <w:marTop w:val="0"/>
                                                      <w:marBottom w:val="0"/>
                                                      <w:divBdr>
                                                        <w:top w:val="none" w:sz="0" w:space="0" w:color="auto"/>
                                                        <w:left w:val="none" w:sz="0" w:space="0" w:color="auto"/>
                                                        <w:bottom w:val="none" w:sz="0" w:space="0" w:color="auto"/>
                                                        <w:right w:val="none" w:sz="0" w:space="0" w:color="auto"/>
                                                      </w:divBdr>
                                                      <w:divsChild>
                                                        <w:div w:id="104614847">
                                                          <w:marLeft w:val="0"/>
                                                          <w:marRight w:val="0"/>
                                                          <w:marTop w:val="0"/>
                                                          <w:marBottom w:val="0"/>
                                                          <w:divBdr>
                                                            <w:top w:val="none" w:sz="0" w:space="0" w:color="auto"/>
                                                            <w:left w:val="none" w:sz="0" w:space="0" w:color="auto"/>
                                                            <w:bottom w:val="none" w:sz="0" w:space="0" w:color="auto"/>
                                                            <w:right w:val="none" w:sz="0" w:space="0" w:color="auto"/>
                                                          </w:divBdr>
                                                          <w:divsChild>
                                                            <w:div w:id="13878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0677369">
      <w:bodyDiv w:val="1"/>
      <w:marLeft w:val="0"/>
      <w:marRight w:val="0"/>
      <w:marTop w:val="0"/>
      <w:marBottom w:val="0"/>
      <w:divBdr>
        <w:top w:val="none" w:sz="0" w:space="0" w:color="auto"/>
        <w:left w:val="none" w:sz="0" w:space="0" w:color="auto"/>
        <w:bottom w:val="none" w:sz="0" w:space="0" w:color="auto"/>
        <w:right w:val="none" w:sz="0" w:space="0" w:color="auto"/>
      </w:divBdr>
    </w:div>
    <w:div w:id="1310019075">
      <w:bodyDiv w:val="1"/>
      <w:marLeft w:val="0"/>
      <w:marRight w:val="0"/>
      <w:marTop w:val="0"/>
      <w:marBottom w:val="0"/>
      <w:divBdr>
        <w:top w:val="none" w:sz="0" w:space="0" w:color="auto"/>
        <w:left w:val="none" w:sz="0" w:space="0" w:color="auto"/>
        <w:bottom w:val="none" w:sz="0" w:space="0" w:color="auto"/>
        <w:right w:val="none" w:sz="0" w:space="0" w:color="auto"/>
      </w:divBdr>
    </w:div>
    <w:div w:id="1328823146">
      <w:bodyDiv w:val="1"/>
      <w:marLeft w:val="0"/>
      <w:marRight w:val="0"/>
      <w:marTop w:val="0"/>
      <w:marBottom w:val="0"/>
      <w:divBdr>
        <w:top w:val="none" w:sz="0" w:space="0" w:color="auto"/>
        <w:left w:val="none" w:sz="0" w:space="0" w:color="auto"/>
        <w:bottom w:val="none" w:sz="0" w:space="0" w:color="auto"/>
        <w:right w:val="none" w:sz="0" w:space="0" w:color="auto"/>
      </w:divBdr>
    </w:div>
    <w:div w:id="1464300769">
      <w:bodyDiv w:val="1"/>
      <w:marLeft w:val="0"/>
      <w:marRight w:val="0"/>
      <w:marTop w:val="0"/>
      <w:marBottom w:val="0"/>
      <w:divBdr>
        <w:top w:val="none" w:sz="0" w:space="0" w:color="auto"/>
        <w:left w:val="none" w:sz="0" w:space="0" w:color="auto"/>
        <w:bottom w:val="none" w:sz="0" w:space="0" w:color="auto"/>
        <w:right w:val="none" w:sz="0" w:space="0" w:color="auto"/>
      </w:divBdr>
      <w:divsChild>
        <w:div w:id="854924933">
          <w:marLeft w:val="0"/>
          <w:marRight w:val="0"/>
          <w:marTop w:val="0"/>
          <w:marBottom w:val="0"/>
          <w:divBdr>
            <w:top w:val="none" w:sz="0" w:space="0" w:color="auto"/>
            <w:left w:val="none" w:sz="0" w:space="0" w:color="auto"/>
            <w:bottom w:val="none" w:sz="0" w:space="0" w:color="auto"/>
            <w:right w:val="none" w:sz="0" w:space="0" w:color="auto"/>
          </w:divBdr>
          <w:divsChild>
            <w:div w:id="257032687">
              <w:marLeft w:val="0"/>
              <w:marRight w:val="0"/>
              <w:marTop w:val="0"/>
              <w:marBottom w:val="0"/>
              <w:divBdr>
                <w:top w:val="none" w:sz="0" w:space="0" w:color="auto"/>
                <w:left w:val="none" w:sz="0" w:space="0" w:color="auto"/>
                <w:bottom w:val="none" w:sz="0" w:space="0" w:color="auto"/>
                <w:right w:val="none" w:sz="0" w:space="0" w:color="auto"/>
              </w:divBdr>
              <w:divsChild>
                <w:div w:id="487940717">
                  <w:marLeft w:val="0"/>
                  <w:marRight w:val="0"/>
                  <w:marTop w:val="0"/>
                  <w:marBottom w:val="0"/>
                  <w:divBdr>
                    <w:top w:val="none" w:sz="0" w:space="0" w:color="auto"/>
                    <w:left w:val="none" w:sz="0" w:space="0" w:color="auto"/>
                    <w:bottom w:val="none" w:sz="0" w:space="0" w:color="auto"/>
                    <w:right w:val="none" w:sz="0" w:space="0" w:color="auto"/>
                  </w:divBdr>
                  <w:divsChild>
                    <w:div w:id="1442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3089">
      <w:bodyDiv w:val="1"/>
      <w:marLeft w:val="0"/>
      <w:marRight w:val="0"/>
      <w:marTop w:val="0"/>
      <w:marBottom w:val="0"/>
      <w:divBdr>
        <w:top w:val="none" w:sz="0" w:space="0" w:color="auto"/>
        <w:left w:val="none" w:sz="0" w:space="0" w:color="auto"/>
        <w:bottom w:val="none" w:sz="0" w:space="0" w:color="auto"/>
        <w:right w:val="none" w:sz="0" w:space="0" w:color="auto"/>
      </w:divBdr>
      <w:divsChild>
        <w:div w:id="1366179920">
          <w:marLeft w:val="0"/>
          <w:marRight w:val="0"/>
          <w:marTop w:val="0"/>
          <w:marBottom w:val="0"/>
          <w:divBdr>
            <w:top w:val="none" w:sz="0" w:space="0" w:color="auto"/>
            <w:left w:val="none" w:sz="0" w:space="0" w:color="auto"/>
            <w:bottom w:val="none" w:sz="0" w:space="0" w:color="auto"/>
            <w:right w:val="none" w:sz="0" w:space="0" w:color="auto"/>
          </w:divBdr>
          <w:divsChild>
            <w:div w:id="530841992">
              <w:marLeft w:val="0"/>
              <w:marRight w:val="0"/>
              <w:marTop w:val="0"/>
              <w:marBottom w:val="0"/>
              <w:divBdr>
                <w:top w:val="none" w:sz="0" w:space="0" w:color="auto"/>
                <w:left w:val="none" w:sz="0" w:space="0" w:color="auto"/>
                <w:bottom w:val="none" w:sz="0" w:space="0" w:color="auto"/>
                <w:right w:val="none" w:sz="0" w:space="0" w:color="auto"/>
              </w:divBdr>
              <w:divsChild>
                <w:div w:id="2131704400">
                  <w:marLeft w:val="0"/>
                  <w:marRight w:val="0"/>
                  <w:marTop w:val="0"/>
                  <w:marBottom w:val="0"/>
                  <w:divBdr>
                    <w:top w:val="none" w:sz="0" w:space="0" w:color="auto"/>
                    <w:left w:val="none" w:sz="0" w:space="0" w:color="auto"/>
                    <w:bottom w:val="none" w:sz="0" w:space="0" w:color="auto"/>
                    <w:right w:val="none" w:sz="0" w:space="0" w:color="auto"/>
                  </w:divBdr>
                  <w:divsChild>
                    <w:div w:id="17504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859686">
      <w:bodyDiv w:val="1"/>
      <w:marLeft w:val="0"/>
      <w:marRight w:val="0"/>
      <w:marTop w:val="0"/>
      <w:marBottom w:val="0"/>
      <w:divBdr>
        <w:top w:val="none" w:sz="0" w:space="0" w:color="auto"/>
        <w:left w:val="none" w:sz="0" w:space="0" w:color="auto"/>
        <w:bottom w:val="none" w:sz="0" w:space="0" w:color="auto"/>
        <w:right w:val="none" w:sz="0" w:space="0" w:color="auto"/>
      </w:divBdr>
      <w:divsChild>
        <w:div w:id="925386496">
          <w:marLeft w:val="0"/>
          <w:marRight w:val="0"/>
          <w:marTop w:val="0"/>
          <w:marBottom w:val="0"/>
          <w:divBdr>
            <w:top w:val="none" w:sz="0" w:space="0" w:color="auto"/>
            <w:left w:val="none" w:sz="0" w:space="0" w:color="auto"/>
            <w:bottom w:val="none" w:sz="0" w:space="0" w:color="auto"/>
            <w:right w:val="none" w:sz="0" w:space="0" w:color="auto"/>
          </w:divBdr>
          <w:divsChild>
            <w:div w:id="622077966">
              <w:marLeft w:val="0"/>
              <w:marRight w:val="0"/>
              <w:marTop w:val="0"/>
              <w:marBottom w:val="0"/>
              <w:divBdr>
                <w:top w:val="none" w:sz="0" w:space="0" w:color="auto"/>
                <w:left w:val="none" w:sz="0" w:space="0" w:color="auto"/>
                <w:bottom w:val="none" w:sz="0" w:space="0" w:color="auto"/>
                <w:right w:val="none" w:sz="0" w:space="0" w:color="auto"/>
              </w:divBdr>
              <w:divsChild>
                <w:div w:id="1809396527">
                  <w:marLeft w:val="0"/>
                  <w:marRight w:val="0"/>
                  <w:marTop w:val="0"/>
                  <w:marBottom w:val="0"/>
                  <w:divBdr>
                    <w:top w:val="none" w:sz="0" w:space="0" w:color="auto"/>
                    <w:left w:val="none" w:sz="0" w:space="0" w:color="auto"/>
                    <w:bottom w:val="none" w:sz="0" w:space="0" w:color="auto"/>
                    <w:right w:val="none" w:sz="0" w:space="0" w:color="auto"/>
                  </w:divBdr>
                  <w:divsChild>
                    <w:div w:id="20592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74648">
      <w:bodyDiv w:val="1"/>
      <w:marLeft w:val="0"/>
      <w:marRight w:val="0"/>
      <w:marTop w:val="0"/>
      <w:marBottom w:val="0"/>
      <w:divBdr>
        <w:top w:val="none" w:sz="0" w:space="0" w:color="auto"/>
        <w:left w:val="none" w:sz="0" w:space="0" w:color="auto"/>
        <w:bottom w:val="none" w:sz="0" w:space="0" w:color="auto"/>
        <w:right w:val="none" w:sz="0" w:space="0" w:color="auto"/>
      </w:divBdr>
    </w:div>
    <w:div w:id="1795521115">
      <w:bodyDiv w:val="1"/>
      <w:marLeft w:val="0"/>
      <w:marRight w:val="0"/>
      <w:marTop w:val="0"/>
      <w:marBottom w:val="0"/>
      <w:divBdr>
        <w:top w:val="none" w:sz="0" w:space="0" w:color="auto"/>
        <w:left w:val="none" w:sz="0" w:space="0" w:color="auto"/>
        <w:bottom w:val="none" w:sz="0" w:space="0" w:color="auto"/>
        <w:right w:val="none" w:sz="0" w:space="0" w:color="auto"/>
      </w:divBdr>
      <w:divsChild>
        <w:div w:id="509025241">
          <w:marLeft w:val="0"/>
          <w:marRight w:val="0"/>
          <w:marTop w:val="0"/>
          <w:marBottom w:val="0"/>
          <w:divBdr>
            <w:top w:val="none" w:sz="0" w:space="0" w:color="auto"/>
            <w:left w:val="none" w:sz="0" w:space="0" w:color="auto"/>
            <w:bottom w:val="none" w:sz="0" w:space="0" w:color="auto"/>
            <w:right w:val="none" w:sz="0" w:space="0" w:color="auto"/>
          </w:divBdr>
          <w:divsChild>
            <w:div w:id="1188718607">
              <w:marLeft w:val="0"/>
              <w:marRight w:val="0"/>
              <w:marTop w:val="0"/>
              <w:marBottom w:val="0"/>
              <w:divBdr>
                <w:top w:val="none" w:sz="0" w:space="0" w:color="auto"/>
                <w:left w:val="none" w:sz="0" w:space="0" w:color="auto"/>
                <w:bottom w:val="none" w:sz="0" w:space="0" w:color="auto"/>
                <w:right w:val="none" w:sz="0" w:space="0" w:color="auto"/>
              </w:divBdr>
              <w:divsChild>
                <w:div w:id="525676282">
                  <w:marLeft w:val="0"/>
                  <w:marRight w:val="0"/>
                  <w:marTop w:val="0"/>
                  <w:marBottom w:val="0"/>
                  <w:divBdr>
                    <w:top w:val="none" w:sz="0" w:space="0" w:color="auto"/>
                    <w:left w:val="none" w:sz="0" w:space="0" w:color="auto"/>
                    <w:bottom w:val="none" w:sz="0" w:space="0" w:color="auto"/>
                    <w:right w:val="none" w:sz="0" w:space="0" w:color="auto"/>
                  </w:divBdr>
                  <w:divsChild>
                    <w:div w:id="12738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240019">
      <w:bodyDiv w:val="1"/>
      <w:marLeft w:val="0"/>
      <w:marRight w:val="0"/>
      <w:marTop w:val="0"/>
      <w:marBottom w:val="0"/>
      <w:divBdr>
        <w:top w:val="none" w:sz="0" w:space="0" w:color="auto"/>
        <w:left w:val="none" w:sz="0" w:space="0" w:color="auto"/>
        <w:bottom w:val="none" w:sz="0" w:space="0" w:color="auto"/>
        <w:right w:val="none" w:sz="0" w:space="0" w:color="auto"/>
      </w:divBdr>
      <w:divsChild>
        <w:div w:id="552500923">
          <w:marLeft w:val="0"/>
          <w:marRight w:val="0"/>
          <w:marTop w:val="0"/>
          <w:marBottom w:val="0"/>
          <w:divBdr>
            <w:top w:val="none" w:sz="0" w:space="0" w:color="auto"/>
            <w:left w:val="none" w:sz="0" w:space="0" w:color="auto"/>
            <w:bottom w:val="none" w:sz="0" w:space="0" w:color="auto"/>
            <w:right w:val="none" w:sz="0" w:space="0" w:color="auto"/>
          </w:divBdr>
          <w:divsChild>
            <w:div w:id="870149105">
              <w:marLeft w:val="0"/>
              <w:marRight w:val="0"/>
              <w:marTop w:val="0"/>
              <w:marBottom w:val="0"/>
              <w:divBdr>
                <w:top w:val="none" w:sz="0" w:space="0" w:color="auto"/>
                <w:left w:val="none" w:sz="0" w:space="0" w:color="auto"/>
                <w:bottom w:val="none" w:sz="0" w:space="0" w:color="auto"/>
                <w:right w:val="none" w:sz="0" w:space="0" w:color="auto"/>
              </w:divBdr>
              <w:divsChild>
                <w:div w:id="1952086946">
                  <w:marLeft w:val="0"/>
                  <w:marRight w:val="0"/>
                  <w:marTop w:val="0"/>
                  <w:marBottom w:val="0"/>
                  <w:divBdr>
                    <w:top w:val="none" w:sz="0" w:space="0" w:color="auto"/>
                    <w:left w:val="none" w:sz="0" w:space="0" w:color="auto"/>
                    <w:bottom w:val="none" w:sz="0" w:space="0" w:color="auto"/>
                    <w:right w:val="none" w:sz="0" w:space="0" w:color="auto"/>
                  </w:divBdr>
                  <w:divsChild>
                    <w:div w:id="280309302">
                      <w:marLeft w:val="0"/>
                      <w:marRight w:val="0"/>
                      <w:marTop w:val="0"/>
                      <w:marBottom w:val="0"/>
                      <w:divBdr>
                        <w:top w:val="none" w:sz="0" w:space="0" w:color="auto"/>
                        <w:left w:val="none" w:sz="0" w:space="0" w:color="auto"/>
                        <w:bottom w:val="none" w:sz="0" w:space="0" w:color="auto"/>
                        <w:right w:val="none" w:sz="0" w:space="0" w:color="auto"/>
                      </w:divBdr>
                      <w:divsChild>
                        <w:div w:id="133917077">
                          <w:marLeft w:val="0"/>
                          <w:marRight w:val="0"/>
                          <w:marTop w:val="0"/>
                          <w:marBottom w:val="0"/>
                          <w:divBdr>
                            <w:top w:val="none" w:sz="0" w:space="0" w:color="auto"/>
                            <w:left w:val="none" w:sz="0" w:space="0" w:color="auto"/>
                            <w:bottom w:val="none" w:sz="0" w:space="0" w:color="auto"/>
                            <w:right w:val="none" w:sz="0" w:space="0" w:color="auto"/>
                          </w:divBdr>
                          <w:divsChild>
                            <w:div w:id="61757066">
                              <w:marLeft w:val="0"/>
                              <w:marRight w:val="0"/>
                              <w:marTop w:val="0"/>
                              <w:marBottom w:val="0"/>
                              <w:divBdr>
                                <w:top w:val="none" w:sz="0" w:space="0" w:color="auto"/>
                                <w:left w:val="none" w:sz="0" w:space="0" w:color="auto"/>
                                <w:bottom w:val="none" w:sz="0" w:space="0" w:color="auto"/>
                                <w:right w:val="none" w:sz="0" w:space="0" w:color="auto"/>
                              </w:divBdr>
                              <w:divsChild>
                                <w:div w:id="1905946271">
                                  <w:marLeft w:val="0"/>
                                  <w:marRight w:val="0"/>
                                  <w:marTop w:val="0"/>
                                  <w:marBottom w:val="0"/>
                                  <w:divBdr>
                                    <w:top w:val="none" w:sz="0" w:space="0" w:color="auto"/>
                                    <w:left w:val="none" w:sz="0" w:space="0" w:color="auto"/>
                                    <w:bottom w:val="none" w:sz="0" w:space="0" w:color="auto"/>
                                    <w:right w:val="none" w:sz="0" w:space="0" w:color="auto"/>
                                  </w:divBdr>
                                  <w:divsChild>
                                    <w:div w:id="656879268">
                                      <w:marLeft w:val="0"/>
                                      <w:marRight w:val="0"/>
                                      <w:marTop w:val="0"/>
                                      <w:marBottom w:val="0"/>
                                      <w:divBdr>
                                        <w:top w:val="none" w:sz="0" w:space="0" w:color="auto"/>
                                        <w:left w:val="none" w:sz="0" w:space="0" w:color="auto"/>
                                        <w:bottom w:val="none" w:sz="0" w:space="0" w:color="auto"/>
                                        <w:right w:val="none" w:sz="0" w:space="0" w:color="auto"/>
                                      </w:divBdr>
                                      <w:divsChild>
                                        <w:div w:id="1114981605">
                                          <w:marLeft w:val="0"/>
                                          <w:marRight w:val="0"/>
                                          <w:marTop w:val="0"/>
                                          <w:marBottom w:val="0"/>
                                          <w:divBdr>
                                            <w:top w:val="none" w:sz="0" w:space="0" w:color="auto"/>
                                            <w:left w:val="none" w:sz="0" w:space="0" w:color="auto"/>
                                            <w:bottom w:val="none" w:sz="0" w:space="0" w:color="auto"/>
                                            <w:right w:val="none" w:sz="0" w:space="0" w:color="auto"/>
                                          </w:divBdr>
                                          <w:divsChild>
                                            <w:div w:id="2057848422">
                                              <w:marLeft w:val="0"/>
                                              <w:marRight w:val="0"/>
                                              <w:marTop w:val="0"/>
                                              <w:marBottom w:val="0"/>
                                              <w:divBdr>
                                                <w:top w:val="none" w:sz="0" w:space="0" w:color="auto"/>
                                                <w:left w:val="none" w:sz="0" w:space="0" w:color="auto"/>
                                                <w:bottom w:val="none" w:sz="0" w:space="0" w:color="auto"/>
                                                <w:right w:val="none" w:sz="0" w:space="0" w:color="auto"/>
                                              </w:divBdr>
                                              <w:divsChild>
                                                <w:div w:id="1857694533">
                                                  <w:marLeft w:val="0"/>
                                                  <w:marRight w:val="0"/>
                                                  <w:marTop w:val="0"/>
                                                  <w:marBottom w:val="0"/>
                                                  <w:divBdr>
                                                    <w:top w:val="none" w:sz="0" w:space="0" w:color="auto"/>
                                                    <w:left w:val="none" w:sz="0" w:space="0" w:color="auto"/>
                                                    <w:bottom w:val="none" w:sz="0" w:space="0" w:color="auto"/>
                                                    <w:right w:val="none" w:sz="0" w:space="0" w:color="auto"/>
                                                  </w:divBdr>
                                                  <w:divsChild>
                                                    <w:div w:id="1831018444">
                                                      <w:marLeft w:val="0"/>
                                                      <w:marRight w:val="0"/>
                                                      <w:marTop w:val="0"/>
                                                      <w:marBottom w:val="0"/>
                                                      <w:divBdr>
                                                        <w:top w:val="none" w:sz="0" w:space="0" w:color="auto"/>
                                                        <w:left w:val="none" w:sz="0" w:space="0" w:color="auto"/>
                                                        <w:bottom w:val="none" w:sz="0" w:space="0" w:color="auto"/>
                                                        <w:right w:val="none" w:sz="0" w:space="0" w:color="auto"/>
                                                      </w:divBdr>
                                                      <w:divsChild>
                                                        <w:div w:id="6437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713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47684">
          <w:marLeft w:val="0"/>
          <w:marRight w:val="0"/>
          <w:marTop w:val="0"/>
          <w:marBottom w:val="0"/>
          <w:divBdr>
            <w:top w:val="none" w:sz="0" w:space="0" w:color="auto"/>
            <w:left w:val="none" w:sz="0" w:space="0" w:color="auto"/>
            <w:bottom w:val="none" w:sz="0" w:space="0" w:color="auto"/>
            <w:right w:val="none" w:sz="0" w:space="0" w:color="auto"/>
          </w:divBdr>
          <w:divsChild>
            <w:div w:id="424962224">
              <w:marLeft w:val="0"/>
              <w:marRight w:val="0"/>
              <w:marTop w:val="0"/>
              <w:marBottom w:val="0"/>
              <w:divBdr>
                <w:top w:val="none" w:sz="0" w:space="0" w:color="auto"/>
                <w:left w:val="none" w:sz="0" w:space="0" w:color="auto"/>
                <w:bottom w:val="none" w:sz="0" w:space="0" w:color="auto"/>
                <w:right w:val="none" w:sz="0" w:space="0" w:color="auto"/>
              </w:divBdr>
              <w:divsChild>
                <w:div w:id="195195819">
                  <w:marLeft w:val="0"/>
                  <w:marRight w:val="0"/>
                  <w:marTop w:val="0"/>
                  <w:marBottom w:val="0"/>
                  <w:divBdr>
                    <w:top w:val="none" w:sz="0" w:space="0" w:color="auto"/>
                    <w:left w:val="none" w:sz="0" w:space="0" w:color="auto"/>
                    <w:bottom w:val="none" w:sz="0" w:space="0" w:color="auto"/>
                    <w:right w:val="none" w:sz="0" w:space="0" w:color="auto"/>
                  </w:divBdr>
                  <w:divsChild>
                    <w:div w:id="12782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9412">
      <w:bodyDiv w:val="1"/>
      <w:marLeft w:val="0"/>
      <w:marRight w:val="0"/>
      <w:marTop w:val="0"/>
      <w:marBottom w:val="0"/>
      <w:divBdr>
        <w:top w:val="none" w:sz="0" w:space="0" w:color="auto"/>
        <w:left w:val="none" w:sz="0" w:space="0" w:color="auto"/>
        <w:bottom w:val="none" w:sz="0" w:space="0" w:color="auto"/>
        <w:right w:val="none" w:sz="0" w:space="0" w:color="auto"/>
      </w:divBdr>
      <w:divsChild>
        <w:div w:id="202865529">
          <w:marLeft w:val="0"/>
          <w:marRight w:val="0"/>
          <w:marTop w:val="0"/>
          <w:marBottom w:val="0"/>
          <w:divBdr>
            <w:top w:val="none" w:sz="0" w:space="0" w:color="auto"/>
            <w:left w:val="none" w:sz="0" w:space="0" w:color="auto"/>
            <w:bottom w:val="none" w:sz="0" w:space="0" w:color="auto"/>
            <w:right w:val="none" w:sz="0" w:space="0" w:color="auto"/>
          </w:divBdr>
          <w:divsChild>
            <w:div w:id="2020571909">
              <w:marLeft w:val="0"/>
              <w:marRight w:val="0"/>
              <w:marTop w:val="0"/>
              <w:marBottom w:val="0"/>
              <w:divBdr>
                <w:top w:val="none" w:sz="0" w:space="0" w:color="auto"/>
                <w:left w:val="none" w:sz="0" w:space="0" w:color="auto"/>
                <w:bottom w:val="none" w:sz="0" w:space="0" w:color="auto"/>
                <w:right w:val="none" w:sz="0" w:space="0" w:color="auto"/>
              </w:divBdr>
              <w:divsChild>
                <w:div w:id="21906039">
                  <w:marLeft w:val="0"/>
                  <w:marRight w:val="0"/>
                  <w:marTop w:val="0"/>
                  <w:marBottom w:val="0"/>
                  <w:divBdr>
                    <w:top w:val="none" w:sz="0" w:space="0" w:color="auto"/>
                    <w:left w:val="none" w:sz="0" w:space="0" w:color="auto"/>
                    <w:bottom w:val="none" w:sz="0" w:space="0" w:color="auto"/>
                    <w:right w:val="none" w:sz="0" w:space="0" w:color="auto"/>
                  </w:divBdr>
                  <w:divsChild>
                    <w:div w:id="495148729">
                      <w:marLeft w:val="1"/>
                      <w:marRight w:val="1"/>
                      <w:marTop w:val="0"/>
                      <w:marBottom w:val="0"/>
                      <w:divBdr>
                        <w:top w:val="none" w:sz="0" w:space="0" w:color="auto"/>
                        <w:left w:val="none" w:sz="0" w:space="0" w:color="auto"/>
                        <w:bottom w:val="none" w:sz="0" w:space="0" w:color="auto"/>
                        <w:right w:val="none" w:sz="0" w:space="0" w:color="auto"/>
                      </w:divBdr>
                      <w:divsChild>
                        <w:div w:id="1155953162">
                          <w:marLeft w:val="0"/>
                          <w:marRight w:val="0"/>
                          <w:marTop w:val="0"/>
                          <w:marBottom w:val="0"/>
                          <w:divBdr>
                            <w:top w:val="none" w:sz="0" w:space="0" w:color="auto"/>
                            <w:left w:val="none" w:sz="0" w:space="0" w:color="auto"/>
                            <w:bottom w:val="none" w:sz="0" w:space="0" w:color="auto"/>
                            <w:right w:val="none" w:sz="0" w:space="0" w:color="auto"/>
                          </w:divBdr>
                          <w:divsChild>
                            <w:div w:id="904141964">
                              <w:marLeft w:val="0"/>
                              <w:marRight w:val="0"/>
                              <w:marTop w:val="0"/>
                              <w:marBottom w:val="360"/>
                              <w:divBdr>
                                <w:top w:val="none" w:sz="0" w:space="0" w:color="auto"/>
                                <w:left w:val="none" w:sz="0" w:space="0" w:color="auto"/>
                                <w:bottom w:val="none" w:sz="0" w:space="0" w:color="auto"/>
                                <w:right w:val="none" w:sz="0" w:space="0" w:color="auto"/>
                              </w:divBdr>
                              <w:divsChild>
                                <w:div w:id="1026365196">
                                  <w:marLeft w:val="0"/>
                                  <w:marRight w:val="0"/>
                                  <w:marTop w:val="0"/>
                                  <w:marBottom w:val="0"/>
                                  <w:divBdr>
                                    <w:top w:val="none" w:sz="0" w:space="0" w:color="auto"/>
                                    <w:left w:val="none" w:sz="0" w:space="0" w:color="auto"/>
                                    <w:bottom w:val="none" w:sz="0" w:space="0" w:color="auto"/>
                                    <w:right w:val="none" w:sz="0" w:space="0" w:color="auto"/>
                                  </w:divBdr>
                                  <w:divsChild>
                                    <w:div w:id="1116369549">
                                      <w:marLeft w:val="0"/>
                                      <w:marRight w:val="0"/>
                                      <w:marTop w:val="0"/>
                                      <w:marBottom w:val="0"/>
                                      <w:divBdr>
                                        <w:top w:val="none" w:sz="0" w:space="0" w:color="auto"/>
                                        <w:left w:val="none" w:sz="0" w:space="0" w:color="auto"/>
                                        <w:bottom w:val="none" w:sz="0" w:space="0" w:color="auto"/>
                                        <w:right w:val="none" w:sz="0" w:space="0" w:color="auto"/>
                                      </w:divBdr>
                                      <w:divsChild>
                                        <w:div w:id="1983538278">
                                          <w:marLeft w:val="0"/>
                                          <w:marRight w:val="0"/>
                                          <w:marTop w:val="0"/>
                                          <w:marBottom w:val="0"/>
                                          <w:divBdr>
                                            <w:top w:val="none" w:sz="0" w:space="0" w:color="auto"/>
                                            <w:left w:val="none" w:sz="0" w:space="0" w:color="auto"/>
                                            <w:bottom w:val="none" w:sz="0" w:space="0" w:color="auto"/>
                                            <w:right w:val="none" w:sz="0" w:space="0" w:color="auto"/>
                                          </w:divBdr>
                                        </w:div>
                                        <w:div w:id="8126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470216">
      <w:bodyDiv w:val="1"/>
      <w:marLeft w:val="0"/>
      <w:marRight w:val="0"/>
      <w:marTop w:val="0"/>
      <w:marBottom w:val="0"/>
      <w:divBdr>
        <w:top w:val="none" w:sz="0" w:space="0" w:color="auto"/>
        <w:left w:val="none" w:sz="0" w:space="0" w:color="auto"/>
        <w:bottom w:val="none" w:sz="0" w:space="0" w:color="auto"/>
        <w:right w:val="none" w:sz="0" w:space="0" w:color="auto"/>
      </w:divBdr>
      <w:divsChild>
        <w:div w:id="1504585680">
          <w:marLeft w:val="0"/>
          <w:marRight w:val="0"/>
          <w:marTop w:val="0"/>
          <w:marBottom w:val="0"/>
          <w:divBdr>
            <w:top w:val="none" w:sz="0" w:space="0" w:color="auto"/>
            <w:left w:val="none" w:sz="0" w:space="0" w:color="auto"/>
            <w:bottom w:val="none" w:sz="0" w:space="0" w:color="auto"/>
            <w:right w:val="none" w:sz="0" w:space="0" w:color="auto"/>
          </w:divBdr>
          <w:divsChild>
            <w:div w:id="1591230491">
              <w:marLeft w:val="0"/>
              <w:marRight w:val="0"/>
              <w:marTop w:val="0"/>
              <w:marBottom w:val="0"/>
              <w:divBdr>
                <w:top w:val="none" w:sz="0" w:space="0" w:color="auto"/>
                <w:left w:val="none" w:sz="0" w:space="0" w:color="auto"/>
                <w:bottom w:val="none" w:sz="0" w:space="0" w:color="auto"/>
                <w:right w:val="none" w:sz="0" w:space="0" w:color="auto"/>
              </w:divBdr>
              <w:divsChild>
                <w:div w:id="1069183757">
                  <w:marLeft w:val="0"/>
                  <w:marRight w:val="0"/>
                  <w:marTop w:val="0"/>
                  <w:marBottom w:val="0"/>
                  <w:divBdr>
                    <w:top w:val="none" w:sz="0" w:space="0" w:color="auto"/>
                    <w:left w:val="none" w:sz="0" w:space="0" w:color="auto"/>
                    <w:bottom w:val="none" w:sz="0" w:space="0" w:color="auto"/>
                    <w:right w:val="none" w:sz="0" w:space="0" w:color="auto"/>
                  </w:divBdr>
                  <w:divsChild>
                    <w:div w:id="16312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80456">
      <w:bodyDiv w:val="1"/>
      <w:marLeft w:val="0"/>
      <w:marRight w:val="0"/>
      <w:marTop w:val="0"/>
      <w:marBottom w:val="0"/>
      <w:divBdr>
        <w:top w:val="none" w:sz="0" w:space="0" w:color="auto"/>
        <w:left w:val="none" w:sz="0" w:space="0" w:color="auto"/>
        <w:bottom w:val="none" w:sz="0" w:space="0" w:color="auto"/>
        <w:right w:val="none" w:sz="0" w:space="0" w:color="auto"/>
      </w:divBdr>
      <w:divsChild>
        <w:div w:id="1934704444">
          <w:marLeft w:val="0"/>
          <w:marRight w:val="0"/>
          <w:marTop w:val="0"/>
          <w:marBottom w:val="0"/>
          <w:divBdr>
            <w:top w:val="none" w:sz="0" w:space="0" w:color="auto"/>
            <w:left w:val="none" w:sz="0" w:space="0" w:color="auto"/>
            <w:bottom w:val="none" w:sz="0" w:space="0" w:color="auto"/>
            <w:right w:val="none" w:sz="0" w:space="0" w:color="auto"/>
          </w:divBdr>
          <w:divsChild>
            <w:div w:id="33969921">
              <w:marLeft w:val="0"/>
              <w:marRight w:val="0"/>
              <w:marTop w:val="0"/>
              <w:marBottom w:val="0"/>
              <w:divBdr>
                <w:top w:val="none" w:sz="0" w:space="0" w:color="auto"/>
                <w:left w:val="none" w:sz="0" w:space="0" w:color="auto"/>
                <w:bottom w:val="none" w:sz="0" w:space="0" w:color="auto"/>
                <w:right w:val="none" w:sz="0" w:space="0" w:color="auto"/>
              </w:divBdr>
              <w:divsChild>
                <w:div w:id="540440341">
                  <w:marLeft w:val="0"/>
                  <w:marRight w:val="0"/>
                  <w:marTop w:val="0"/>
                  <w:marBottom w:val="0"/>
                  <w:divBdr>
                    <w:top w:val="none" w:sz="0" w:space="0" w:color="auto"/>
                    <w:left w:val="none" w:sz="0" w:space="0" w:color="auto"/>
                    <w:bottom w:val="none" w:sz="0" w:space="0" w:color="auto"/>
                    <w:right w:val="none" w:sz="0" w:space="0" w:color="auto"/>
                  </w:divBdr>
                  <w:divsChild>
                    <w:div w:id="2073041846">
                      <w:marLeft w:val="45"/>
                      <w:marRight w:val="45"/>
                      <w:marTop w:val="45"/>
                      <w:marBottom w:val="45"/>
                      <w:divBdr>
                        <w:top w:val="none" w:sz="0" w:space="0" w:color="auto"/>
                        <w:left w:val="none" w:sz="0" w:space="0" w:color="auto"/>
                        <w:bottom w:val="none" w:sz="0" w:space="0" w:color="auto"/>
                        <w:right w:val="none" w:sz="0" w:space="0" w:color="auto"/>
                      </w:divBdr>
                      <w:divsChild>
                        <w:div w:id="652371738">
                          <w:marLeft w:val="0"/>
                          <w:marRight w:val="0"/>
                          <w:marTop w:val="0"/>
                          <w:marBottom w:val="0"/>
                          <w:divBdr>
                            <w:top w:val="none" w:sz="0" w:space="0" w:color="auto"/>
                            <w:left w:val="none" w:sz="0" w:space="0" w:color="auto"/>
                            <w:bottom w:val="none" w:sz="0" w:space="0" w:color="auto"/>
                            <w:right w:val="none" w:sz="0" w:space="0" w:color="auto"/>
                          </w:divBdr>
                          <w:divsChild>
                            <w:div w:id="204952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670651">
      <w:bodyDiv w:val="1"/>
      <w:marLeft w:val="0"/>
      <w:marRight w:val="0"/>
      <w:marTop w:val="0"/>
      <w:marBottom w:val="0"/>
      <w:divBdr>
        <w:top w:val="none" w:sz="0" w:space="0" w:color="auto"/>
        <w:left w:val="none" w:sz="0" w:space="0" w:color="auto"/>
        <w:bottom w:val="none" w:sz="0" w:space="0" w:color="auto"/>
        <w:right w:val="none" w:sz="0" w:space="0" w:color="auto"/>
      </w:divBdr>
      <w:divsChild>
        <w:div w:id="1293097168">
          <w:marLeft w:val="0"/>
          <w:marRight w:val="0"/>
          <w:marTop w:val="0"/>
          <w:marBottom w:val="0"/>
          <w:divBdr>
            <w:top w:val="none" w:sz="0" w:space="0" w:color="auto"/>
            <w:left w:val="none" w:sz="0" w:space="0" w:color="auto"/>
            <w:bottom w:val="none" w:sz="0" w:space="0" w:color="auto"/>
            <w:right w:val="none" w:sz="0" w:space="0" w:color="auto"/>
          </w:divBdr>
          <w:divsChild>
            <w:div w:id="1676418439">
              <w:marLeft w:val="0"/>
              <w:marRight w:val="0"/>
              <w:marTop w:val="0"/>
              <w:marBottom w:val="0"/>
              <w:divBdr>
                <w:top w:val="none" w:sz="0" w:space="0" w:color="auto"/>
                <w:left w:val="none" w:sz="0" w:space="0" w:color="auto"/>
                <w:bottom w:val="none" w:sz="0" w:space="0" w:color="auto"/>
                <w:right w:val="none" w:sz="0" w:space="0" w:color="auto"/>
              </w:divBdr>
              <w:divsChild>
                <w:div w:id="756092851">
                  <w:marLeft w:val="0"/>
                  <w:marRight w:val="0"/>
                  <w:marTop w:val="0"/>
                  <w:marBottom w:val="0"/>
                  <w:divBdr>
                    <w:top w:val="none" w:sz="0" w:space="0" w:color="auto"/>
                    <w:left w:val="none" w:sz="0" w:space="0" w:color="auto"/>
                    <w:bottom w:val="none" w:sz="0" w:space="0" w:color="auto"/>
                    <w:right w:val="none" w:sz="0" w:space="0" w:color="auto"/>
                  </w:divBdr>
                  <w:divsChild>
                    <w:div w:id="10090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E94BB-21DA-4FBB-B096-0D3296FFD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E8223650.dotm</Template>
  <TotalTime>0</TotalTime>
  <Pages>46</Pages>
  <Words>20897</Words>
  <Characters>135286</Characters>
  <Application>Microsoft Office Word</Application>
  <DocSecurity>0</DocSecurity>
  <Lines>1127</Lines>
  <Paragraphs>311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155872</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Sören Silverström</dc:creator>
  <cp:lastModifiedBy>Jessica Laaksonen</cp:lastModifiedBy>
  <cp:revision>2</cp:revision>
  <cp:lastPrinted>2018-09-13T09:49:00Z</cp:lastPrinted>
  <dcterms:created xsi:type="dcterms:W3CDTF">2018-09-13T09:53:00Z</dcterms:created>
  <dcterms:modified xsi:type="dcterms:W3CDTF">2018-09-13T09:53:00Z</dcterms:modified>
</cp:coreProperties>
</file>