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9725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9725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9725E" w:rsidP="009F1162">
            <w:pPr>
              <w:pStyle w:val="xDokTypNr"/>
            </w:pPr>
            <w:r>
              <w:t>BESLUT LTB 39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9725E">
              <w:t>8-11-05</w:t>
            </w:r>
          </w:p>
        </w:tc>
        <w:tc>
          <w:tcPr>
            <w:tcW w:w="2563" w:type="dxa"/>
            <w:vAlign w:val="center"/>
          </w:tcPr>
          <w:p w:rsidR="00337A19" w:rsidRDefault="00B9725E">
            <w:pPr>
              <w:pStyle w:val="xBeteckning1"/>
            </w:pPr>
            <w:r>
              <w:t>LF 23/2017-2018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B9725E">
        <w:t xml:space="preserve"> </w:t>
      </w:r>
      <w:r w:rsidR="00B9725E" w:rsidRPr="005858EA">
        <w:t>om ändring av landskapslagen om avbytarstöd</w:t>
      </w:r>
    </w:p>
    <w:p w:rsidR="00337A19" w:rsidRDefault="00337A19">
      <w:pPr>
        <w:pStyle w:val="ANormal"/>
      </w:pPr>
    </w:p>
    <w:p w:rsidR="00B9725E" w:rsidRPr="00C57BA9" w:rsidRDefault="00337A19" w:rsidP="00B9725E">
      <w:pPr>
        <w:pStyle w:val="ANormal"/>
      </w:pPr>
      <w:r>
        <w:tab/>
      </w:r>
      <w:r w:rsidR="00B9725E" w:rsidRPr="00C57BA9">
        <w:t>I enlighet med lagtingets beslut</w:t>
      </w:r>
      <w:r w:rsidR="00B9725E">
        <w:t xml:space="preserve"> </w:t>
      </w:r>
      <w:r w:rsidR="00B9725E" w:rsidRPr="00C57BA9">
        <w:rPr>
          <w:b/>
        </w:rPr>
        <w:t>ändras</w:t>
      </w:r>
      <w:r w:rsidR="00B9725E" w:rsidRPr="00C57BA9">
        <w:t xml:space="preserve"> lagens 3</w:t>
      </w:r>
      <w:r w:rsidR="00B9725E">
        <w:t xml:space="preserve"> § </w:t>
      </w:r>
      <w:r w:rsidR="00B9725E" w:rsidRPr="00C57BA9">
        <w:t>1</w:t>
      </w:r>
      <w:r w:rsidR="00B9725E">
        <w:t> mom.</w:t>
      </w:r>
      <w:r w:rsidR="00B9725E" w:rsidRPr="00C57BA9">
        <w:t xml:space="preserve"> </w:t>
      </w:r>
      <w:r w:rsidR="00B9725E">
        <w:t>3</w:t>
      </w:r>
      <w:r w:rsidR="00BE076C">
        <w:t xml:space="preserve"> </w:t>
      </w:r>
      <w:bookmarkStart w:id="2" w:name="_GoBack"/>
      <w:bookmarkEnd w:id="2"/>
      <w:proofErr w:type="gramStart"/>
      <w:r w:rsidR="00B9725E" w:rsidRPr="00C57BA9">
        <w:t>–4</w:t>
      </w:r>
      <w:proofErr w:type="gramEnd"/>
      <w:r w:rsidR="00B9725E">
        <w:t> punkt</w:t>
      </w:r>
      <w:r w:rsidR="00B9725E" w:rsidRPr="00C57BA9">
        <w:t xml:space="preserve">erna, </w:t>
      </w:r>
      <w:r w:rsidR="00B9725E">
        <w:t xml:space="preserve">och </w:t>
      </w:r>
      <w:r w:rsidR="00B9725E" w:rsidRPr="00B9725E">
        <w:t>4 – 6 §§</w:t>
      </w:r>
      <w:r w:rsidR="00B9725E" w:rsidRPr="00C57BA9">
        <w:t xml:space="preserve"> landskapslagen (2014:53) om avbytarstöd, </w:t>
      </w:r>
      <w:r w:rsidR="00B9725E" w:rsidRPr="00B9725E">
        <w:t>av dessa lagrum</w:t>
      </w:r>
      <w:r w:rsidR="00B9725E">
        <w:rPr>
          <w:i/>
        </w:rPr>
        <w:t xml:space="preserve"> </w:t>
      </w:r>
      <w:r w:rsidR="00B9725E" w:rsidRPr="00C57BA9">
        <w:t>3</w:t>
      </w:r>
      <w:r w:rsidR="00B9725E">
        <w:t> §</w:t>
      </w:r>
      <w:r w:rsidR="00B9725E" w:rsidRPr="00C57BA9">
        <w:t xml:space="preserve"> 4</w:t>
      </w:r>
      <w:r w:rsidR="00B9725E">
        <w:t> punkt</w:t>
      </w:r>
      <w:r w:rsidR="00B9725E" w:rsidRPr="00C57BA9">
        <w:t>en och 6</w:t>
      </w:r>
      <w:r w:rsidR="00B9725E">
        <w:t> §</w:t>
      </w:r>
      <w:r w:rsidR="00B9725E" w:rsidRPr="00C57BA9">
        <w:t xml:space="preserve"> 2</w:t>
      </w:r>
      <w:r w:rsidR="00B9725E">
        <w:t> mom.</w:t>
      </w:r>
      <w:r w:rsidR="00B9725E" w:rsidRPr="00C57BA9">
        <w:t xml:space="preserve"> </w:t>
      </w:r>
      <w:r w:rsidR="00B9725E" w:rsidRPr="00B9725E">
        <w:t>sådana de</w:t>
      </w:r>
      <w:r w:rsidR="00B9725E" w:rsidRPr="00C57BA9">
        <w:t xml:space="preserve"> lyder i landskapsl</w:t>
      </w:r>
      <w:r w:rsidR="00B9725E" w:rsidRPr="00C57BA9">
        <w:t>a</w:t>
      </w:r>
      <w:r w:rsidR="00B9725E" w:rsidRPr="00C57BA9">
        <w:t>gen 2015/47, som följer:</w:t>
      </w:r>
    </w:p>
    <w:p w:rsidR="00B9725E" w:rsidRPr="00C57BA9" w:rsidRDefault="00B9725E" w:rsidP="00B9725E">
      <w:pPr>
        <w:pStyle w:val="ANormal"/>
      </w:pPr>
    </w:p>
    <w:p w:rsidR="00B9725E" w:rsidRPr="00C57BA9" w:rsidRDefault="00B9725E" w:rsidP="00B9725E">
      <w:pPr>
        <w:pStyle w:val="LagParagraf"/>
      </w:pPr>
      <w:r w:rsidRPr="00C57BA9">
        <w:t>3</w:t>
      </w:r>
      <w:r>
        <w:t> §</w:t>
      </w:r>
    </w:p>
    <w:p w:rsidR="00B9725E" w:rsidRPr="00C57BA9" w:rsidRDefault="00B9725E" w:rsidP="00B9725E">
      <w:pPr>
        <w:pStyle w:val="LagPararubrik"/>
      </w:pPr>
      <w:r w:rsidRPr="00C57BA9">
        <w:t>Definitioner</w:t>
      </w:r>
    </w:p>
    <w:p w:rsidR="00B9725E" w:rsidRPr="00C57BA9" w:rsidRDefault="00B9725E" w:rsidP="00B9725E">
      <w:pPr>
        <w:pStyle w:val="ANormal"/>
      </w:pPr>
      <w:r w:rsidRPr="00C57BA9">
        <w:tab/>
        <w:t>I denna stödordning avses med</w:t>
      </w:r>
    </w:p>
    <w:p w:rsidR="00B9725E" w:rsidRPr="00C57BA9" w:rsidRDefault="00B9725E" w:rsidP="00B9725E">
      <w:pPr>
        <w:pStyle w:val="ANormal"/>
      </w:pPr>
      <w:proofErr w:type="gramStart"/>
      <w:r w:rsidRPr="00C57BA9">
        <w:t>-</w:t>
      </w:r>
      <w:proofErr w:type="gramEnd"/>
      <w:r w:rsidRPr="00C57BA9">
        <w:t xml:space="preserve"> - - - - - - - - - - - - - - - - - - - - - - - - - - - - - - - - - - - - - - - - - - - - - - - - - - -</w:t>
      </w:r>
    </w:p>
    <w:p w:rsidR="00B9725E" w:rsidRPr="00C57BA9" w:rsidRDefault="00B9725E" w:rsidP="00B9725E">
      <w:pPr>
        <w:pStyle w:val="ANormal"/>
      </w:pPr>
      <w:r w:rsidRPr="00C57BA9">
        <w:tab/>
        <w:t xml:space="preserve">3) </w:t>
      </w:r>
      <w:r w:rsidRPr="00C57BA9">
        <w:rPr>
          <w:i/>
        </w:rPr>
        <w:t>husdjursproduktion</w:t>
      </w:r>
      <w:r w:rsidRPr="00C57BA9">
        <w:t xml:space="preserve"> lantbruksföretag med en verksamhet inriktad på skötsel av nötdjur, svin, getter, får eller fjäderfä</w:t>
      </w:r>
      <w:r>
        <w:t xml:space="preserve"> </w:t>
      </w:r>
      <w:r w:rsidRPr="00C57BA9">
        <w:t>samt med</w:t>
      </w:r>
    </w:p>
    <w:p w:rsidR="00B9725E" w:rsidRPr="00C57BA9" w:rsidRDefault="00B9725E" w:rsidP="00B9725E">
      <w:pPr>
        <w:pStyle w:val="ANormal"/>
      </w:pPr>
      <w:r w:rsidRPr="00C57BA9">
        <w:tab/>
        <w:t xml:space="preserve">4) </w:t>
      </w:r>
      <w:r w:rsidRPr="006E797E">
        <w:rPr>
          <w:i/>
        </w:rPr>
        <w:t>husdjursenhet</w:t>
      </w:r>
      <w:r w:rsidRPr="00C57BA9">
        <w:t xml:space="preserve"> de i följande tabell förtecknade antal djur som kräver en likvärdig daglig arbetsinsats av en lantbrukare, varvid i tabellen anges det antal djur av visst slag som i enlighet med denna lag utgör en husdjur</w:t>
      </w:r>
      <w:r w:rsidRPr="00C57BA9">
        <w:t>s</w:t>
      </w:r>
      <w:r w:rsidRPr="00C57BA9">
        <w:t>enhet (de) som följer:</w:t>
      </w:r>
    </w:p>
    <w:p w:rsidR="00B9725E" w:rsidRPr="00C57BA9" w:rsidRDefault="00B9725E" w:rsidP="00B9725E">
      <w:pPr>
        <w:tabs>
          <w:tab w:val="left" w:pos="284"/>
        </w:tabs>
        <w:jc w:val="both"/>
      </w:pPr>
    </w:p>
    <w:tbl>
      <w:tblPr>
        <w:tblW w:w="5273" w:type="dxa"/>
        <w:tblBorders>
          <w:top w:val="single" w:sz="4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34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59"/>
        <w:gridCol w:w="1134"/>
        <w:gridCol w:w="992"/>
      </w:tblGrid>
      <w:tr w:rsidR="00B9725E" w:rsidRPr="00C57BA9" w:rsidTr="00E85675"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rPr>
                <w:b/>
              </w:rPr>
              <w:t>nötdjur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</w:tr>
      <w:tr w:rsidR="00B9725E" w:rsidRPr="00C57BA9" w:rsidTr="00E85675">
        <w:tc>
          <w:tcPr>
            <w:tcW w:w="3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mjölkko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 djur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2)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tjurkalvar, dock inte dikalvar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3)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avelstjur, diko eller diko med dikalv som är högst sex månader gammal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</w:p>
          <w:p w:rsidR="00B9725E" w:rsidRPr="00C57BA9" w:rsidRDefault="00B9725E" w:rsidP="00E85675">
            <w:pPr>
              <w:pStyle w:val="fftabelltext"/>
            </w:pPr>
            <w:r w:rsidRPr="00C57BA9">
              <w:t>3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4)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kvigor, dock inte dikalvar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15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rPr>
                <w:b/>
              </w:rPr>
              <w:t>svin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</w:tr>
      <w:tr w:rsidR="00B9725E" w:rsidRPr="00C57BA9" w:rsidTr="00E85675">
        <w:tc>
          <w:tcPr>
            <w:tcW w:w="3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5)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avelsgalt, sugga eller sugga med smågrisar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</w:p>
          <w:p w:rsidR="00B9725E" w:rsidRPr="00C57BA9" w:rsidRDefault="00B9725E" w:rsidP="00E85675">
            <w:pPr>
              <w:pStyle w:val="fftabelltext"/>
            </w:pPr>
            <w:r w:rsidRPr="00C57BA9">
              <w:t>2 djur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6)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andra svin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40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rPr>
                <w:b/>
              </w:rPr>
              <w:t>getter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</w:tr>
      <w:tr w:rsidR="00B9725E" w:rsidRPr="00C57BA9" w:rsidTr="00E85675">
        <w:tc>
          <w:tcPr>
            <w:tcW w:w="3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7)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get i mjölkproduktion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2 djur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8)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killingar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40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rPr>
                <w:b/>
              </w:rPr>
              <w:t>får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</w:tr>
      <w:tr w:rsidR="00B9725E" w:rsidRPr="00C57BA9" w:rsidTr="00E85675">
        <w:tc>
          <w:tcPr>
            <w:tcW w:w="3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9)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avelsbagge, dräktig tacka eller tacka med dilamm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</w:p>
          <w:p w:rsidR="00B9725E" w:rsidRPr="00C57BA9" w:rsidRDefault="00B9725E" w:rsidP="00E85675">
            <w:pPr>
              <w:pStyle w:val="fftabelltext"/>
            </w:pPr>
            <w:r w:rsidRPr="00C57BA9">
              <w:t>10 djur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10)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mjölkfår med dilamm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11)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lamm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40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1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rPr>
                <w:b/>
              </w:rPr>
              <w:t>fjäderfä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12)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höns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200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  <w:tr w:rsidR="00B9725E" w:rsidRPr="00C57BA9" w:rsidTr="00E85675">
        <w:tc>
          <w:tcPr>
            <w:tcW w:w="3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13)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slaktkycklingar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2 000 djur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5E" w:rsidRPr="00C57BA9" w:rsidRDefault="00B9725E" w:rsidP="00E85675">
            <w:pPr>
              <w:pStyle w:val="fftabelltext"/>
            </w:pPr>
            <w:r w:rsidRPr="00C57BA9">
              <w:t>= 1 de</w:t>
            </w:r>
          </w:p>
        </w:tc>
      </w:tr>
    </w:tbl>
    <w:p w:rsidR="00B9725E" w:rsidRPr="00C57BA9" w:rsidRDefault="00B9725E" w:rsidP="00B9725E">
      <w:pPr>
        <w:tabs>
          <w:tab w:val="left" w:pos="284"/>
        </w:tabs>
        <w:jc w:val="both"/>
      </w:pPr>
    </w:p>
    <w:p w:rsidR="00B9725E" w:rsidRPr="00C57BA9" w:rsidRDefault="00B9725E" w:rsidP="00B9725E">
      <w:pPr>
        <w:pStyle w:val="ANormal"/>
      </w:pPr>
    </w:p>
    <w:p w:rsidR="00B9725E" w:rsidRPr="00C57BA9" w:rsidRDefault="00B9725E" w:rsidP="00B9725E">
      <w:pPr>
        <w:pStyle w:val="LagParagraf"/>
      </w:pPr>
      <w:r w:rsidRPr="00C57BA9">
        <w:t>4</w:t>
      </w:r>
      <w:r>
        <w:t> §</w:t>
      </w:r>
    </w:p>
    <w:p w:rsidR="00B9725E" w:rsidRPr="00C57BA9" w:rsidRDefault="00B9725E" w:rsidP="00B9725E">
      <w:pPr>
        <w:pStyle w:val="LagPararubrik"/>
      </w:pPr>
      <w:r w:rsidRPr="00C57BA9">
        <w:t>Avbytardagar</w:t>
      </w:r>
    </w:p>
    <w:p w:rsidR="00B9725E" w:rsidRPr="00C57BA9" w:rsidRDefault="00B9725E" w:rsidP="00B9725E">
      <w:pPr>
        <w:pStyle w:val="ANormal"/>
      </w:pPr>
      <w:r w:rsidRPr="00C57BA9">
        <w:tab/>
        <w:t>Ett lantbruksföretag</w:t>
      </w:r>
    </w:p>
    <w:p w:rsidR="00B9725E" w:rsidRPr="00C57BA9" w:rsidRDefault="00B9725E" w:rsidP="00B9725E">
      <w:pPr>
        <w:pStyle w:val="ANormal"/>
      </w:pPr>
      <w:r w:rsidRPr="00C57BA9">
        <w:tab/>
        <w:t>1) som har 18 eller fler djurenheter med huvudinriktning på mjölkpr</w:t>
      </w:r>
      <w:r w:rsidRPr="00C57BA9">
        <w:t>o</w:t>
      </w:r>
      <w:r w:rsidRPr="00C57BA9">
        <w:t>duktion, stallade tjurar i köttproduktion, äggproduktion eller smågrispr</w:t>
      </w:r>
      <w:r w:rsidRPr="00C57BA9">
        <w:t>o</w:t>
      </w:r>
      <w:r w:rsidRPr="00C57BA9">
        <w:t>duktion kan årligen beviljas avbytarstöd för högst 30 dagar medan</w:t>
      </w:r>
    </w:p>
    <w:p w:rsidR="00B9725E" w:rsidRPr="00C57BA9" w:rsidRDefault="00B9725E" w:rsidP="00B9725E">
      <w:pPr>
        <w:pStyle w:val="ANormal"/>
      </w:pPr>
      <w:r w:rsidRPr="00C57BA9">
        <w:tab/>
        <w:t>2) övriga som har minst 6 djurenheter kan årligen beviljas avbytarstöd för högst 15 dagar.</w:t>
      </w:r>
    </w:p>
    <w:p w:rsidR="00B9725E" w:rsidRPr="00C57BA9" w:rsidRDefault="00B9725E" w:rsidP="00B9725E">
      <w:pPr>
        <w:pStyle w:val="ANormal"/>
      </w:pPr>
      <w:r w:rsidRPr="00C57BA9">
        <w:lastRenderedPageBreak/>
        <w:tab/>
        <w:t>En avbytardag omfattar åtta timmar vid lantbruksföretag med huvudi</w:t>
      </w:r>
      <w:r w:rsidRPr="00C57BA9">
        <w:t>n</w:t>
      </w:r>
      <w:r w:rsidRPr="00C57BA9">
        <w:t>riktning på mjölkproduktion, stallade tjurar i köttproduktion, äggproduktion eller smågrisproduktion enligt 1</w:t>
      </w:r>
      <w:r>
        <w:t> mom.</w:t>
      </w:r>
      <w:r w:rsidRPr="00C57BA9">
        <w:t xml:space="preserve"> 1</w:t>
      </w:r>
      <w:r>
        <w:t> punkt</w:t>
      </w:r>
      <w:r w:rsidRPr="00C57BA9">
        <w:t>en och fem timmar vid ö</w:t>
      </w:r>
      <w:r w:rsidRPr="00C57BA9">
        <w:t>v</w:t>
      </w:r>
      <w:r w:rsidRPr="00C57BA9">
        <w:t>riga lantbruksföretag enligt 1</w:t>
      </w:r>
      <w:r>
        <w:t> mom.</w:t>
      </w:r>
      <w:r w:rsidRPr="00C57BA9">
        <w:t xml:space="preserve"> 2</w:t>
      </w:r>
      <w:r>
        <w:t> punkt</w:t>
      </w:r>
      <w:r w:rsidRPr="00C57BA9">
        <w:t>en.</w:t>
      </w:r>
    </w:p>
    <w:p w:rsidR="00B9725E" w:rsidRPr="00C57BA9" w:rsidRDefault="00B9725E" w:rsidP="00B9725E">
      <w:pPr>
        <w:pStyle w:val="ANormal"/>
      </w:pPr>
    </w:p>
    <w:p w:rsidR="00B9725E" w:rsidRPr="00C57BA9" w:rsidRDefault="00B9725E" w:rsidP="00B9725E">
      <w:pPr>
        <w:pStyle w:val="LagParagraf"/>
      </w:pPr>
      <w:r w:rsidRPr="00C57BA9">
        <w:t>5</w:t>
      </w:r>
      <w:r>
        <w:t> §</w:t>
      </w:r>
    </w:p>
    <w:p w:rsidR="00B9725E" w:rsidRPr="00C57BA9" w:rsidRDefault="00B9725E" w:rsidP="00B9725E">
      <w:pPr>
        <w:pStyle w:val="LagPararubrik"/>
      </w:pPr>
      <w:r w:rsidRPr="00C57BA9">
        <w:t>Avbytarstödets belopp</w:t>
      </w:r>
    </w:p>
    <w:p w:rsidR="00B9725E" w:rsidRPr="00C57BA9" w:rsidRDefault="00B9725E" w:rsidP="00B9725E">
      <w:pPr>
        <w:pStyle w:val="ANormal"/>
      </w:pPr>
      <w:r w:rsidRPr="00C57BA9">
        <w:tab/>
        <w:t xml:space="preserve">Normen för avbytarstöd </w:t>
      </w:r>
      <w:r w:rsidRPr="00B9725E">
        <w:t>är</w:t>
      </w:r>
      <w:r>
        <w:rPr>
          <w:i/>
        </w:rPr>
        <w:t xml:space="preserve"> </w:t>
      </w:r>
      <w:r w:rsidRPr="00C57BA9">
        <w:t>till och med den 31 december 2020 35 euro</w:t>
      </w:r>
      <w:r>
        <w:t xml:space="preserve"> </w:t>
      </w:r>
      <w:r w:rsidRPr="00B9725E">
        <w:t>per avbytartimme</w:t>
      </w:r>
      <w:r w:rsidRPr="00C57BA9">
        <w:t xml:space="preserve">, för timanställda lantbruksavbytare är dock normen till och med den 31 december 2020 </w:t>
      </w:r>
      <w:r w:rsidRPr="00C80A5C">
        <w:t>1</w:t>
      </w:r>
      <w:r w:rsidRPr="00C57BA9">
        <w:t>8 euro</w:t>
      </w:r>
      <w:r>
        <w:t xml:space="preserve"> </w:t>
      </w:r>
      <w:r w:rsidRPr="00B9725E">
        <w:t>per avbytartimme</w:t>
      </w:r>
      <w:r w:rsidRPr="00C57BA9">
        <w:t>. Grundat på de faktiska kostnaderna utbetalas avbytarstöd med 80 procent av dessa belopp.</w:t>
      </w:r>
    </w:p>
    <w:p w:rsidR="00B9725E" w:rsidRPr="00C57BA9" w:rsidRDefault="00B9725E" w:rsidP="00B9725E">
      <w:pPr>
        <w:pStyle w:val="ANormal"/>
      </w:pPr>
    </w:p>
    <w:p w:rsidR="00B9725E" w:rsidRPr="00C57BA9" w:rsidRDefault="00B9725E" w:rsidP="00B9725E">
      <w:pPr>
        <w:pStyle w:val="LagParagraf"/>
      </w:pPr>
      <w:r w:rsidRPr="00C57BA9">
        <w:t>6</w:t>
      </w:r>
      <w:r>
        <w:t> §</w:t>
      </w:r>
    </w:p>
    <w:p w:rsidR="00B9725E" w:rsidRPr="00C57BA9" w:rsidRDefault="00B9725E" w:rsidP="00B9725E">
      <w:pPr>
        <w:pStyle w:val="LagPararubrik"/>
      </w:pPr>
      <w:r w:rsidRPr="00C57BA9">
        <w:t>Vikariehjälp</w:t>
      </w:r>
    </w:p>
    <w:p w:rsidR="00B9725E" w:rsidRPr="00C57BA9" w:rsidRDefault="00B9725E" w:rsidP="00B9725E">
      <w:pPr>
        <w:pStyle w:val="ANormal"/>
      </w:pPr>
      <w:r w:rsidRPr="00C57BA9">
        <w:tab/>
        <w:t>En lantbrukare vid ett lantbruksföretag med huvudinriktning på mjöl</w:t>
      </w:r>
      <w:r w:rsidRPr="00C57BA9">
        <w:t>k</w:t>
      </w:r>
      <w:r w:rsidRPr="00C57BA9">
        <w:t>produktion, stallade tjurar i köttproduktion, äggproduktion eller smågri</w:t>
      </w:r>
      <w:r w:rsidRPr="00C57BA9">
        <w:t>s</w:t>
      </w:r>
      <w:r w:rsidRPr="00C57BA9">
        <w:t>produktion som har minst 4 djurenheter, kan per kalenderår beviljas avb</w:t>
      </w:r>
      <w:r w:rsidRPr="00C57BA9">
        <w:t>y</w:t>
      </w:r>
      <w:r w:rsidRPr="00C57BA9">
        <w:t>tarstöd för vikariehjälp på grund av</w:t>
      </w:r>
    </w:p>
    <w:p w:rsidR="00B9725E" w:rsidRPr="00C57BA9" w:rsidRDefault="00B9725E" w:rsidP="00B9725E">
      <w:pPr>
        <w:pStyle w:val="ffmoment"/>
      </w:pPr>
      <w:r w:rsidRPr="00C57BA9">
        <w:t>1) läkarintyg,</w:t>
      </w:r>
    </w:p>
    <w:p w:rsidR="00B9725E" w:rsidRPr="00C57BA9" w:rsidRDefault="00B9725E" w:rsidP="00B9725E">
      <w:pPr>
        <w:pStyle w:val="ffmoment"/>
      </w:pPr>
      <w:r w:rsidRPr="00C57BA9">
        <w:t>2) faderskapsledighet under den tid lantbrukaren har rätt till faderskap</w:t>
      </w:r>
      <w:r w:rsidRPr="00C57BA9">
        <w:t>s</w:t>
      </w:r>
      <w:r w:rsidRPr="00C57BA9">
        <w:t>penning enligt sjukförsäkringslagen (FFS 1224/2004) eller</w:t>
      </w:r>
    </w:p>
    <w:p w:rsidR="00B9725E" w:rsidRPr="00C57BA9" w:rsidRDefault="00B9725E" w:rsidP="00B9725E">
      <w:pPr>
        <w:pStyle w:val="ffmoment"/>
      </w:pPr>
      <w:r w:rsidRPr="00C57BA9">
        <w:t>3) har moderskaps- eller föräldraledighet enligt sjukförsäkringslagen.</w:t>
      </w:r>
    </w:p>
    <w:p w:rsidR="00B9725E" w:rsidRPr="00C57BA9" w:rsidRDefault="00B9725E" w:rsidP="00B9725E">
      <w:pPr>
        <w:pStyle w:val="ANormal"/>
      </w:pPr>
      <w:r w:rsidRPr="00C57BA9">
        <w:tab/>
        <w:t>Ersättning enligt denna paragraf kan längst till och med den 31 dece</w:t>
      </w:r>
      <w:r w:rsidRPr="00C57BA9">
        <w:t>m</w:t>
      </w:r>
      <w:r w:rsidRPr="00C57BA9">
        <w:t>ber 2020 ges med 80 procent av de faktiska kostnaderna under högst 30 d</w:t>
      </w:r>
      <w:r w:rsidRPr="00C57BA9">
        <w:t>a</w:t>
      </w:r>
      <w:r w:rsidRPr="00C57BA9">
        <w:t>gar och därefter med 50 procent av de faktiska kostnaderna för ytterligare 270 dagar. Ersättningen beräknas utgående från den norm som gäller för lantbruksföretagares timersättningar, antal avbytartimmar samt ersättning</w:t>
      </w:r>
      <w:r w:rsidRPr="00C57BA9">
        <w:t>s</w:t>
      </w:r>
      <w:r w:rsidRPr="00C57BA9">
        <w:t>procenten och ges för de faktiska kostnaderna under 30 dagar, dock högst med</w:t>
      </w:r>
    </w:p>
    <w:p w:rsidR="00B9725E" w:rsidRPr="00C57BA9" w:rsidRDefault="00B9725E" w:rsidP="00B9725E">
      <w:pPr>
        <w:pStyle w:val="ANormal"/>
      </w:pPr>
      <w:r w:rsidRPr="00C57BA9">
        <w:tab/>
        <w:t>1) 280 euro per dag för lantbruksföretag med huvudinriktning på mjöl</w:t>
      </w:r>
      <w:r w:rsidRPr="00C57BA9">
        <w:t>k</w:t>
      </w:r>
      <w:r w:rsidRPr="00C57BA9">
        <w:t>produktion, stallade tjurar i köttproduktion, äggproduktion eller smågri</w:t>
      </w:r>
      <w:r w:rsidRPr="00C57BA9">
        <w:t>s</w:t>
      </w:r>
      <w:r w:rsidRPr="00C57BA9">
        <w:t>produktion samt</w:t>
      </w:r>
    </w:p>
    <w:p w:rsidR="00B9725E" w:rsidRPr="00C57BA9" w:rsidRDefault="00B9725E" w:rsidP="00B9725E">
      <w:pPr>
        <w:pStyle w:val="ANormal"/>
      </w:pPr>
      <w:r w:rsidRPr="00C57BA9">
        <w:tab/>
        <w:t>2) 140 euro per dag för lantbruksföretag med huvudinriktning på övriga stödberättigade djurslag.</w:t>
      </w:r>
    </w:p>
    <w:p w:rsidR="00B9725E" w:rsidRPr="00C57BA9" w:rsidRDefault="00B9725E" w:rsidP="00B9725E">
      <w:pPr>
        <w:pStyle w:val="ANormal"/>
      </w:pPr>
      <w:r w:rsidRPr="00C57BA9">
        <w:tab/>
        <w:t>Utöver de 30 dagar som avses i 1</w:t>
      </w:r>
      <w:r>
        <w:t> mom.</w:t>
      </w:r>
      <w:r w:rsidRPr="00C57BA9">
        <w:t xml:space="preserve"> kan enligt den norm som gäller för timanställda lantbruksavbytare, för ytterligare högst 270 dagar, ersät</w:t>
      </w:r>
      <w:r w:rsidRPr="00C57BA9">
        <w:t>t</w:t>
      </w:r>
      <w:r w:rsidRPr="00C57BA9">
        <w:t xml:space="preserve">ning beviljas med högst </w:t>
      </w:r>
    </w:p>
    <w:p w:rsidR="00B9725E" w:rsidRPr="00C57BA9" w:rsidRDefault="00B9725E" w:rsidP="00B9725E">
      <w:pPr>
        <w:pStyle w:val="ANormal"/>
      </w:pPr>
      <w:r w:rsidRPr="00C57BA9">
        <w:tab/>
        <w:t>1) 90 euro per dag för lantbruksföretag med huvudinriktning på mjöl</w:t>
      </w:r>
      <w:r w:rsidRPr="00C57BA9">
        <w:t>k</w:t>
      </w:r>
      <w:r w:rsidRPr="00C57BA9">
        <w:t>produktion, stallade tjurar i köttproduktion, äggproduktion eller smågri</w:t>
      </w:r>
      <w:r w:rsidRPr="00C57BA9">
        <w:t>s</w:t>
      </w:r>
      <w:r w:rsidRPr="00C57BA9">
        <w:t>produktion samt</w:t>
      </w:r>
    </w:p>
    <w:p w:rsidR="00B9725E" w:rsidRPr="00C57BA9" w:rsidRDefault="00B9725E" w:rsidP="00B9725E">
      <w:pPr>
        <w:pStyle w:val="ANormal"/>
      </w:pPr>
      <w:r w:rsidRPr="00C57BA9">
        <w:tab/>
        <w:t>2) 45 euro per dag för övriga stödberättigade djurslag.</w:t>
      </w:r>
    </w:p>
    <w:p w:rsidR="00B9725E" w:rsidRPr="00C57BA9" w:rsidRDefault="00B9725E" w:rsidP="00B9725E">
      <w:pPr>
        <w:pStyle w:val="ANormal"/>
      </w:pPr>
      <w:r w:rsidRPr="00C57BA9">
        <w:tab/>
        <w:t>Vikariehjälp kan beviljas på grund av arrangemang som krävs för for</w:t>
      </w:r>
      <w:r w:rsidRPr="00C57BA9">
        <w:t>t</w:t>
      </w:r>
      <w:r w:rsidRPr="00C57BA9">
        <w:t>satt drift av ett lantbruksföretag eller för avslutande av ett lantbruksföretags drift, om en lantbruksföretagare har beviljats invalidpension tills vidare e</w:t>
      </w:r>
      <w:r w:rsidRPr="00C57BA9">
        <w:t>l</w:t>
      </w:r>
      <w:r w:rsidRPr="00C57BA9">
        <w:t>ler om behovet av vikariehjälp beror på lantbruksföretagarens död. I dessa fall kan vikariehjälp beviljas för högst 60 dagar under de sex månader som följer efter det att Lantbruksföretagarnas pensionsanstalt har beslutat b</w:t>
      </w:r>
      <w:r w:rsidRPr="00C57BA9">
        <w:t>e</w:t>
      </w:r>
      <w:r w:rsidRPr="00C57BA9">
        <w:t xml:space="preserve">vilja invalidpension eller efter dödsfallet. </w:t>
      </w:r>
    </w:p>
    <w:p w:rsidR="00B9725E" w:rsidRPr="00C57BA9" w:rsidRDefault="00B9725E" w:rsidP="00B9725E">
      <w:pPr>
        <w:pStyle w:val="ANormal"/>
      </w:pPr>
    </w:p>
    <w:p w:rsidR="00B9725E" w:rsidRPr="00C57BA9" w:rsidRDefault="006D1B0E" w:rsidP="00B9725E">
      <w:pPr>
        <w:pStyle w:val="ANormal"/>
        <w:jc w:val="center"/>
      </w:pPr>
      <w:hyperlink w:anchor="_top" w:tooltip="Klicka för att gå till toppen av dokumentet" w:history="1">
        <w:r w:rsidR="00B9725E" w:rsidRPr="00C57BA9">
          <w:rPr>
            <w:rStyle w:val="Hyperlnk"/>
            <w:color w:val="auto"/>
          </w:rPr>
          <w:t>__________________</w:t>
        </w:r>
      </w:hyperlink>
    </w:p>
    <w:p w:rsidR="00B9725E" w:rsidRPr="00C57BA9" w:rsidRDefault="00B9725E" w:rsidP="00B9725E">
      <w:pPr>
        <w:pStyle w:val="ANormal"/>
      </w:pPr>
    </w:p>
    <w:p w:rsidR="00B9725E" w:rsidRPr="00C57BA9" w:rsidRDefault="00B9725E" w:rsidP="00B9725E">
      <w:pPr>
        <w:pStyle w:val="LagPararubrik"/>
      </w:pPr>
      <w:r w:rsidRPr="00C57BA9">
        <w:t>Ikraftträdande</w:t>
      </w:r>
    </w:p>
    <w:p w:rsidR="00B9725E" w:rsidRPr="00C57BA9" w:rsidRDefault="00B9725E" w:rsidP="00B9725E">
      <w:pPr>
        <w:pStyle w:val="ANormal"/>
      </w:pPr>
      <w:r w:rsidRPr="00C57BA9">
        <w:tab/>
        <w:t xml:space="preserve">Denna lag träder i kraft den </w:t>
      </w:r>
    </w:p>
    <w:p w:rsidR="00B9725E" w:rsidRPr="00C57BA9" w:rsidRDefault="00B9725E" w:rsidP="00B9725E">
      <w:pPr>
        <w:pStyle w:val="ANormal"/>
      </w:pPr>
      <w:r w:rsidRPr="00C57BA9">
        <w:tab/>
        <w:t>Landskapsregeringen kan besluta att denna lag ska träda i kraft efter den Europeiska kommissionens godkännande av det stöd som lagen avser. Å</w:t>
      </w:r>
      <w:r w:rsidRPr="00C57BA9">
        <w:t>t</w:t>
      </w:r>
      <w:r w:rsidRPr="00C57BA9">
        <w:t>gärder som lagen förutsätter kan vidtas innan den har trätt i kraft.</w:t>
      </w:r>
    </w:p>
    <w:p w:rsidR="00B9725E" w:rsidRDefault="00B9725E" w:rsidP="00B9725E">
      <w:pPr>
        <w:pStyle w:val="ANormal"/>
      </w:pPr>
    </w:p>
    <w:p w:rsidR="00B9725E" w:rsidRDefault="00B9725E" w:rsidP="00B9725E">
      <w:pPr>
        <w:pStyle w:val="ANormal"/>
      </w:pPr>
    </w:p>
    <w:p w:rsidR="00337A19" w:rsidRDefault="006D1B0E" w:rsidP="00B9725E">
      <w:pPr>
        <w:pStyle w:val="ANormal"/>
        <w:suppressAutoHyphens/>
        <w:ind w:left="2325" w:firstLine="283"/>
        <w:outlineLvl w:val="0"/>
      </w:pPr>
      <w:hyperlink w:anchor="_top" w:tooltip="Klicka för att gå till toppen av dokumentet" w:history="1">
        <w:r w:rsidR="00B9725E">
          <w:rPr>
            <w:rStyle w:val="Hyperlnk"/>
          </w:rPr>
          <w:t>__________________</w:t>
        </w:r>
      </w:hyperlink>
      <w:r w:rsidR="00337A19">
        <w:t xml:space="preserve"> </w:t>
      </w: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9725E">
              <w:t>5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9725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9725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9725E" w:rsidRDefault="00B9725E" w:rsidP="00B9725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5E" w:rsidRDefault="00B9725E">
      <w:r>
        <w:separator/>
      </w:r>
    </w:p>
  </w:endnote>
  <w:endnote w:type="continuationSeparator" w:id="0">
    <w:p w:rsidR="00B9725E" w:rsidRDefault="00B9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D1B0E">
      <w:rPr>
        <w:noProof/>
        <w:lang w:val="fi-FI"/>
      </w:rPr>
      <w:t>LTB392018.docx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5E" w:rsidRDefault="00B9725E">
      <w:r>
        <w:separator/>
      </w:r>
    </w:p>
  </w:footnote>
  <w:footnote w:type="continuationSeparator" w:id="0">
    <w:p w:rsidR="00B9725E" w:rsidRDefault="00B9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D1B0E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E"/>
    <w:rsid w:val="00004B5B"/>
    <w:rsid w:val="00284C7A"/>
    <w:rsid w:val="002E1682"/>
    <w:rsid w:val="00337A19"/>
    <w:rsid w:val="0038180C"/>
    <w:rsid w:val="004A354C"/>
    <w:rsid w:val="004D7ED5"/>
    <w:rsid w:val="004E7D01"/>
    <w:rsid w:val="004F64FE"/>
    <w:rsid w:val="005C5E44"/>
    <w:rsid w:val="005E1BD9"/>
    <w:rsid w:val="005F6898"/>
    <w:rsid w:val="006538ED"/>
    <w:rsid w:val="006D1B0E"/>
    <w:rsid w:val="008414E5"/>
    <w:rsid w:val="00867707"/>
    <w:rsid w:val="008B5FA2"/>
    <w:rsid w:val="009F1162"/>
    <w:rsid w:val="00B5110A"/>
    <w:rsid w:val="00B9725E"/>
    <w:rsid w:val="00BD48EF"/>
    <w:rsid w:val="00BE076C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25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ftabelltext">
    <w:name w:val="fftabelltext"/>
    <w:rsid w:val="00B9725E"/>
    <w:rPr>
      <w:rFonts w:ascii="Arial Narrow" w:hAnsi="Arial Narrow" w:cs="Arial"/>
      <w:noProof/>
      <w:sz w:val="18"/>
      <w:szCs w:val="18"/>
      <w:lang w:val="sv-SE" w:eastAsia="sv-SE"/>
    </w:rPr>
  </w:style>
  <w:style w:type="paragraph" w:customStyle="1" w:styleId="ffmoment">
    <w:name w:val="ffmoment"/>
    <w:rsid w:val="00B9725E"/>
    <w:pPr>
      <w:tabs>
        <w:tab w:val="left" w:pos="284"/>
      </w:tabs>
      <w:ind w:firstLine="284"/>
    </w:pPr>
    <w:rPr>
      <w:sz w:val="22"/>
      <w:szCs w:val="24"/>
      <w:lang w:val="sv-SE" w:eastAsia="sv-SE"/>
    </w:rPr>
  </w:style>
  <w:style w:type="character" w:customStyle="1" w:styleId="ANormalChar">
    <w:name w:val="ANormal Char"/>
    <w:link w:val="ANormal"/>
    <w:locked/>
    <w:rsid w:val="00B9725E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4A35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54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25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ftabelltext">
    <w:name w:val="fftabelltext"/>
    <w:rsid w:val="00B9725E"/>
    <w:rPr>
      <w:rFonts w:ascii="Arial Narrow" w:hAnsi="Arial Narrow" w:cs="Arial"/>
      <w:noProof/>
      <w:sz w:val="18"/>
      <w:szCs w:val="18"/>
      <w:lang w:val="sv-SE" w:eastAsia="sv-SE"/>
    </w:rPr>
  </w:style>
  <w:style w:type="paragraph" w:customStyle="1" w:styleId="ffmoment">
    <w:name w:val="ffmoment"/>
    <w:rsid w:val="00B9725E"/>
    <w:pPr>
      <w:tabs>
        <w:tab w:val="left" w:pos="284"/>
      </w:tabs>
      <w:ind w:firstLine="284"/>
    </w:pPr>
    <w:rPr>
      <w:sz w:val="22"/>
      <w:szCs w:val="24"/>
      <w:lang w:val="sv-SE" w:eastAsia="sv-SE"/>
    </w:rPr>
  </w:style>
  <w:style w:type="character" w:customStyle="1" w:styleId="ANormalChar">
    <w:name w:val="ANormal Char"/>
    <w:link w:val="ANormal"/>
    <w:locked/>
    <w:rsid w:val="00B9725E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4A35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54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26</TotalTime>
  <Pages>3</Pages>
  <Words>776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39/2018</vt:lpstr>
    </vt:vector>
  </TitlesOfParts>
  <Company>Ålands lagting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39/2018</dc:title>
  <dc:creator>Jessica Laaksonen</dc:creator>
  <cp:lastModifiedBy>Jessica Laaksonen</cp:lastModifiedBy>
  <cp:revision>3</cp:revision>
  <cp:lastPrinted>2018-10-31T13:37:00Z</cp:lastPrinted>
  <dcterms:created xsi:type="dcterms:W3CDTF">2018-10-30T13:04:00Z</dcterms:created>
  <dcterms:modified xsi:type="dcterms:W3CDTF">2018-10-31T13:38:00Z</dcterms:modified>
</cp:coreProperties>
</file>