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6E1A5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2625"/>
                  <wp:effectExtent l="0" t="0" r="0" b="317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6E1A5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4450" cy="4445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" cy="4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062CF1" w:rsidP="006E357E">
            <w:pPr>
              <w:pStyle w:val="xDokTypNr"/>
            </w:pPr>
            <w:r>
              <w:t>BETÄNKANDE nr 5</w:t>
            </w:r>
            <w:r w:rsidR="002401D0">
              <w:t>/20</w:t>
            </w:r>
            <w:r w:rsidR="00723B93">
              <w:t>1</w:t>
            </w:r>
            <w:r w:rsidR="006E357E">
              <w:t>8</w:t>
            </w:r>
            <w:r w:rsidR="0015337C">
              <w:t>-20</w:t>
            </w:r>
            <w:r w:rsidR="009F7CE2">
              <w:t>1</w:t>
            </w:r>
            <w:r w:rsidR="006E357E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6D58A3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4B5390">
            <w:pPr>
              <w:pStyle w:val="xDatum1"/>
            </w:pPr>
            <w:r>
              <w:t>20</w:t>
            </w:r>
            <w:r w:rsidR="00B32E91">
              <w:t>1</w:t>
            </w:r>
            <w:r w:rsidR="000B46E8">
              <w:t>8</w:t>
            </w:r>
            <w:r w:rsidR="006D58A3">
              <w:t>-</w:t>
            </w:r>
            <w:r w:rsidR="006E357E">
              <w:t>1</w:t>
            </w:r>
            <w:r w:rsidR="004B5390">
              <w:t>1</w:t>
            </w:r>
            <w:r w:rsidR="000C0D5C">
              <w:t>-</w:t>
            </w:r>
            <w:r w:rsidR="004B5390">
              <w:t>29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6D58A3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0C0D5C">
      <w:pPr>
        <w:pStyle w:val="ArendeRubrik"/>
      </w:pPr>
      <w:r>
        <w:t>Uppdaterade bestämmelser i polislagen</w:t>
      </w:r>
    </w:p>
    <w:p w:rsidR="002401D0" w:rsidRDefault="006D58A3">
      <w:pPr>
        <w:pStyle w:val="ArendeUnderRubrik"/>
      </w:pPr>
      <w:r>
        <w:t>Lands</w:t>
      </w:r>
      <w:r w:rsidR="000C0D5C">
        <w:t>kapsregeringens lagförslag nr 22</w:t>
      </w:r>
      <w:r>
        <w:t>/2017-2018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0B46E8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12328258" w:history="1">
        <w:r w:rsidR="000B46E8" w:rsidRPr="001D3DF6">
          <w:rPr>
            <w:rStyle w:val="Hyperlnk"/>
          </w:rPr>
          <w:t>Landskapsregeringens förslag</w:t>
        </w:r>
        <w:r w:rsidR="000B46E8">
          <w:rPr>
            <w:webHidden/>
          </w:rPr>
          <w:tab/>
        </w:r>
        <w:r w:rsidR="000B46E8">
          <w:rPr>
            <w:webHidden/>
          </w:rPr>
          <w:fldChar w:fldCharType="begin"/>
        </w:r>
        <w:r w:rsidR="000B46E8">
          <w:rPr>
            <w:webHidden/>
          </w:rPr>
          <w:instrText xml:space="preserve"> PAGEREF _Toc512328258 \h </w:instrText>
        </w:r>
        <w:r w:rsidR="000B46E8">
          <w:rPr>
            <w:webHidden/>
          </w:rPr>
        </w:r>
        <w:r w:rsidR="000B46E8">
          <w:rPr>
            <w:webHidden/>
          </w:rPr>
          <w:fldChar w:fldCharType="separate"/>
        </w:r>
        <w:r w:rsidR="000B46E8">
          <w:rPr>
            <w:webHidden/>
          </w:rPr>
          <w:t>1</w:t>
        </w:r>
        <w:r w:rsidR="000B46E8">
          <w:rPr>
            <w:webHidden/>
          </w:rPr>
          <w:fldChar w:fldCharType="end"/>
        </w:r>
      </w:hyperlink>
    </w:p>
    <w:p w:rsidR="000B46E8" w:rsidRDefault="003541E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2328259" w:history="1">
        <w:r w:rsidR="000B46E8" w:rsidRPr="001D3DF6">
          <w:rPr>
            <w:rStyle w:val="Hyperlnk"/>
          </w:rPr>
          <w:t>Utskottets förslag</w:t>
        </w:r>
        <w:r w:rsidR="000B46E8">
          <w:rPr>
            <w:webHidden/>
          </w:rPr>
          <w:tab/>
        </w:r>
        <w:r w:rsidR="000B46E8">
          <w:rPr>
            <w:webHidden/>
          </w:rPr>
          <w:fldChar w:fldCharType="begin"/>
        </w:r>
        <w:r w:rsidR="000B46E8">
          <w:rPr>
            <w:webHidden/>
          </w:rPr>
          <w:instrText xml:space="preserve"> PAGEREF _Toc512328259 \h </w:instrText>
        </w:r>
        <w:r w:rsidR="000B46E8">
          <w:rPr>
            <w:webHidden/>
          </w:rPr>
        </w:r>
        <w:r w:rsidR="000B46E8">
          <w:rPr>
            <w:webHidden/>
          </w:rPr>
          <w:fldChar w:fldCharType="separate"/>
        </w:r>
        <w:r w:rsidR="000B46E8">
          <w:rPr>
            <w:webHidden/>
          </w:rPr>
          <w:t>1</w:t>
        </w:r>
        <w:r w:rsidR="000B46E8">
          <w:rPr>
            <w:webHidden/>
          </w:rPr>
          <w:fldChar w:fldCharType="end"/>
        </w:r>
      </w:hyperlink>
    </w:p>
    <w:p w:rsidR="000B46E8" w:rsidRDefault="003541E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2328260" w:history="1">
        <w:r w:rsidR="000B46E8" w:rsidRPr="001D3DF6">
          <w:rPr>
            <w:rStyle w:val="Hyperlnk"/>
          </w:rPr>
          <w:t>Ärendets behandling</w:t>
        </w:r>
        <w:r w:rsidR="000B46E8">
          <w:rPr>
            <w:webHidden/>
          </w:rPr>
          <w:tab/>
        </w:r>
        <w:r w:rsidR="000B46E8">
          <w:rPr>
            <w:webHidden/>
          </w:rPr>
          <w:fldChar w:fldCharType="begin"/>
        </w:r>
        <w:r w:rsidR="000B46E8">
          <w:rPr>
            <w:webHidden/>
          </w:rPr>
          <w:instrText xml:space="preserve"> PAGEREF _Toc512328260 \h </w:instrText>
        </w:r>
        <w:r w:rsidR="000B46E8">
          <w:rPr>
            <w:webHidden/>
          </w:rPr>
        </w:r>
        <w:r w:rsidR="000B46E8">
          <w:rPr>
            <w:webHidden/>
          </w:rPr>
          <w:fldChar w:fldCharType="separate"/>
        </w:r>
        <w:r w:rsidR="000B46E8">
          <w:rPr>
            <w:webHidden/>
          </w:rPr>
          <w:t>1</w:t>
        </w:r>
        <w:r w:rsidR="000B46E8">
          <w:rPr>
            <w:webHidden/>
          </w:rPr>
          <w:fldChar w:fldCharType="end"/>
        </w:r>
      </w:hyperlink>
    </w:p>
    <w:p w:rsidR="000B46E8" w:rsidRDefault="003541E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2328261" w:history="1">
        <w:r w:rsidR="000B46E8" w:rsidRPr="001D3DF6">
          <w:rPr>
            <w:rStyle w:val="Hyperlnk"/>
          </w:rPr>
          <w:t>Utskottets förslag</w:t>
        </w:r>
        <w:r w:rsidR="000B46E8">
          <w:rPr>
            <w:webHidden/>
          </w:rPr>
          <w:tab/>
        </w:r>
        <w:r w:rsidR="000B46E8">
          <w:rPr>
            <w:webHidden/>
          </w:rPr>
          <w:fldChar w:fldCharType="begin"/>
        </w:r>
        <w:r w:rsidR="000B46E8">
          <w:rPr>
            <w:webHidden/>
          </w:rPr>
          <w:instrText xml:space="preserve"> PAGEREF _Toc512328261 \h </w:instrText>
        </w:r>
        <w:r w:rsidR="000B46E8">
          <w:rPr>
            <w:webHidden/>
          </w:rPr>
        </w:r>
        <w:r w:rsidR="000B46E8">
          <w:rPr>
            <w:webHidden/>
          </w:rPr>
          <w:fldChar w:fldCharType="separate"/>
        </w:r>
        <w:r w:rsidR="000B46E8">
          <w:rPr>
            <w:webHidden/>
          </w:rPr>
          <w:t>1</w:t>
        </w:r>
        <w:r w:rsidR="000B46E8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6D58A3" w:rsidP="000B46E8">
      <w:pPr>
        <w:pStyle w:val="RubrikA"/>
      </w:pPr>
      <w:bookmarkStart w:id="2" w:name="_Toc529800933"/>
      <w:bookmarkStart w:id="3" w:name="_Toc512328258"/>
      <w:r>
        <w:t>Landskapsregeringens</w:t>
      </w:r>
      <w:r w:rsidR="002401D0">
        <w:t xml:space="preserve"> förslag</w:t>
      </w:r>
      <w:bookmarkEnd w:id="2"/>
      <w:bookmarkEnd w:id="3"/>
    </w:p>
    <w:p w:rsidR="002401D0" w:rsidRDefault="002401D0" w:rsidP="000B46E8">
      <w:pPr>
        <w:pStyle w:val="RubrikA"/>
      </w:pPr>
    </w:p>
    <w:p w:rsidR="000C0D5C" w:rsidRDefault="000C0D5C" w:rsidP="000C0D5C">
      <w:pPr>
        <w:pStyle w:val="ANormal"/>
      </w:pPr>
      <w:r>
        <w:t>Landskapsregeringen föreslår att polislagen för Åland ändras. Ändringarna är till stor del tekniska och berör i huvudsak bestämmelserna om hemliga metoder för inhämtande av information och uppdateringar i hänvisningar till förnyad rikslagstiftning. De föreslagna bestämmelserna överensstämmer i huvudsak med motsvarande bestämmelser i rikets polislag. Några uppd</w:t>
      </w:r>
      <w:r>
        <w:t>a</w:t>
      </w:r>
      <w:r>
        <w:t>teringar är av större betydelse, såsom uppdatering av bestämmelserna om polisens möjlighet att utföra mer omfattande säkerhetsvisitationer vid til</w:t>
      </w:r>
      <w:r>
        <w:t>l</w:t>
      </w:r>
      <w:r>
        <w:t>ställningar samt polismans rätt till tillträde till utrymme som omfattas av hemfrid, om det finns grundad anledning att befara att skjutvapen missbr</w:t>
      </w:r>
      <w:r>
        <w:t>u</w:t>
      </w:r>
      <w:r>
        <w:t>kas eller att ett ärende om återkallande av tillstånd för skjutvapnet inletts.</w:t>
      </w:r>
    </w:p>
    <w:p w:rsidR="000C0D5C" w:rsidRDefault="000C0D5C" w:rsidP="000C0D5C">
      <w:pPr>
        <w:pStyle w:val="ANormal"/>
      </w:pPr>
      <w:r>
        <w:tab/>
        <w:t>I och med att de rättsområden polislagen berör är delad behörighet och då man valt att anta den åländska polislagen som en fulltextlag och inte i form av en blankettlag där ändringar i rikets polislag träder i kraft autom</w:t>
      </w:r>
      <w:r>
        <w:t>a</w:t>
      </w:r>
      <w:r>
        <w:t>tiskt på Åland, är det av vikt att den åländska polislagen kontinuerligt up</w:t>
      </w:r>
      <w:r>
        <w:t>p</w:t>
      </w:r>
      <w:r>
        <w:t>dateras för att en informativ och enhetlig åländsk polislag ska uppnås. Landskapsregeringens avsikt är att merparten av de föreslagna lagändrin</w:t>
      </w:r>
      <w:r>
        <w:t>g</w:t>
      </w:r>
      <w:r>
        <w:t>arna ska träda i kraft så snart som möjligt, men det finns även bestämmelser som föreslås träda i kraft vid en senare tidpunkt. De förslagna ändringarna av polislagen är därför uppdelade i två lagförslag.</w:t>
      </w:r>
    </w:p>
    <w:p w:rsidR="002401D0" w:rsidRDefault="002401D0">
      <w:pPr>
        <w:pStyle w:val="ANormal"/>
      </w:pPr>
    </w:p>
    <w:p w:rsidR="002401D0" w:rsidRDefault="002401D0" w:rsidP="000B46E8">
      <w:pPr>
        <w:pStyle w:val="RubrikA"/>
      </w:pPr>
      <w:bookmarkStart w:id="4" w:name="_Toc529800934"/>
      <w:bookmarkStart w:id="5" w:name="_Toc512328259"/>
      <w:r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6E357E" w:rsidRDefault="006E357E" w:rsidP="009B1E4C">
      <w:pPr>
        <w:pStyle w:val="RubrikD"/>
      </w:pPr>
      <w:r>
        <w:t>Förslaget till ändring av polislagen</w:t>
      </w:r>
    </w:p>
    <w:p w:rsidR="006E357E" w:rsidRDefault="006E357E" w:rsidP="006E357E">
      <w:pPr>
        <w:pStyle w:val="Rubrikmellanrum"/>
      </w:pPr>
    </w:p>
    <w:p w:rsidR="006E357E" w:rsidRDefault="006E357E" w:rsidP="006E357E">
      <w:pPr>
        <w:pStyle w:val="ANormal"/>
      </w:pPr>
      <w:r>
        <w:t xml:space="preserve">Utskottet konstaterar att den absoluta merparten av de </w:t>
      </w:r>
      <w:r w:rsidR="00FD5FB9">
        <w:t xml:space="preserve">bestämmelser </w:t>
      </w:r>
      <w:r>
        <w:t xml:space="preserve">som </w:t>
      </w:r>
      <w:r w:rsidR="00A42589">
        <w:t xml:space="preserve">föreslås </w:t>
      </w:r>
      <w:r>
        <w:t>ändra</w:t>
      </w:r>
      <w:r w:rsidR="00A42589">
        <w:t>de</w:t>
      </w:r>
      <w:r w:rsidR="003A3F15">
        <w:t xml:space="preserve"> i lagförslaget</w:t>
      </w:r>
      <w:r>
        <w:t xml:space="preserve"> hör till riksdagens behörighet. I samband med att gällande polislag för Åland antogs valdes en lagstiftningsteknik som kallas fulltextlag vilket innebär att</w:t>
      </w:r>
      <w:r w:rsidR="007E3B10">
        <w:t xml:space="preserve"> det</w:t>
      </w:r>
      <w:r>
        <w:t xml:space="preserve"> i lagen ingår både bestämmelser som hör till lagtingets och riksdagens behörighet. Valet av lagstiftningste</w:t>
      </w:r>
      <w:r>
        <w:t>k</w:t>
      </w:r>
      <w:r>
        <w:t xml:space="preserve">nik påverkar inte fördelningen av behörighet mellan </w:t>
      </w:r>
      <w:r w:rsidR="00676ED7">
        <w:t xml:space="preserve">Åland och </w:t>
      </w:r>
      <w:r>
        <w:t>Finland så till den del det handlar om rikets behörighet</w:t>
      </w:r>
      <w:r w:rsidR="007E3B10">
        <w:t xml:space="preserve"> gäller rikets lagar oavsett vad som står i </w:t>
      </w:r>
      <w:r w:rsidR="007375E2">
        <w:t>d</w:t>
      </w:r>
      <w:r w:rsidR="007E3B10">
        <w:t>en</w:t>
      </w:r>
      <w:r w:rsidR="007375E2">
        <w:t xml:space="preserve"> åländska lagen. </w:t>
      </w:r>
    </w:p>
    <w:p w:rsidR="007E3B10" w:rsidRDefault="007E3B10" w:rsidP="006E357E">
      <w:pPr>
        <w:pStyle w:val="ANormal"/>
      </w:pPr>
      <w:r>
        <w:tab/>
        <w:t xml:space="preserve">Sedan polislagen för Åland senast ändrades har det i rikslagstiftningen företagits 14 ändringar vilka nu beaktas i de båda lagförslagen. </w:t>
      </w:r>
      <w:r w:rsidR="007375E2">
        <w:t>E</w:t>
      </w:r>
      <w:r>
        <w:t>fter det att lagförslaget överlämnades till lagtinget</w:t>
      </w:r>
      <w:r w:rsidR="007375E2">
        <w:t xml:space="preserve"> har </w:t>
      </w:r>
      <w:r>
        <w:t>ytterligare två propositioner med förslag till ändringar i rikslagen överlämnats till riksdagen varför ytte</w:t>
      </w:r>
      <w:r>
        <w:t>r</w:t>
      </w:r>
      <w:r>
        <w:lastRenderedPageBreak/>
        <w:t xml:space="preserve">ligare ändringar i polislagen för Åland är att vänta. Orsaken till de många ändringarna i polislagen är </w:t>
      </w:r>
      <w:r w:rsidR="00A42589">
        <w:t xml:space="preserve">bland annat </w:t>
      </w:r>
      <w:r>
        <w:t>att utvecklingen är snabb i fråga om polisens tekniska hjälpmedel.</w:t>
      </w:r>
    </w:p>
    <w:p w:rsidR="006E357E" w:rsidRDefault="007E3B10" w:rsidP="006E357E">
      <w:pPr>
        <w:pStyle w:val="ANormal"/>
      </w:pPr>
      <w:r>
        <w:tab/>
      </w:r>
      <w:r w:rsidR="006E357E">
        <w:t>Utskottet har inte några invändningar i sak i fråga om de föreslagna än</w:t>
      </w:r>
      <w:r w:rsidR="006E357E">
        <w:t>d</w:t>
      </w:r>
      <w:r w:rsidR="006E357E">
        <w:t xml:space="preserve">ringarna i polislagen. </w:t>
      </w:r>
      <w:r w:rsidR="00FD5FB9">
        <w:t>Eftersom största delen av lagförslaget hör till</w:t>
      </w:r>
      <w:r w:rsidR="006E357E">
        <w:t xml:space="preserve"> riksd</w:t>
      </w:r>
      <w:r w:rsidR="006E357E">
        <w:t>a</w:t>
      </w:r>
      <w:r w:rsidR="006E357E">
        <w:t xml:space="preserve">gens behörighet hade </w:t>
      </w:r>
      <w:r w:rsidR="00FD5FB9">
        <w:t xml:space="preserve">det inte </w:t>
      </w:r>
      <w:r w:rsidR="006E357E">
        <w:t>varit möjligt att företa några ändringar i sak även om utskottet hade önskat det. Utskottet föreslår därför att lagtinget ska anta lagförslagen</w:t>
      </w:r>
      <w:r w:rsidR="007375E2">
        <w:t xml:space="preserve"> oförändrade</w:t>
      </w:r>
      <w:r w:rsidR="006E357E">
        <w:t xml:space="preserve"> </w:t>
      </w:r>
      <w:r>
        <w:t xml:space="preserve">men för nedan ett principiellt resonemang i fråga om valet av lagstiftningsteknik. </w:t>
      </w:r>
    </w:p>
    <w:p w:rsidR="006E357E" w:rsidRPr="006E357E" w:rsidRDefault="006E357E" w:rsidP="006E357E">
      <w:pPr>
        <w:pStyle w:val="ANormal"/>
      </w:pPr>
    </w:p>
    <w:p w:rsidR="000B46E8" w:rsidRDefault="00D23A26" w:rsidP="009B1E4C">
      <w:pPr>
        <w:pStyle w:val="RubrikD"/>
      </w:pPr>
      <w:r>
        <w:t>Valet</w:t>
      </w:r>
      <w:r w:rsidR="007375E2">
        <w:t xml:space="preserve"> av lagstiftningsteknik</w:t>
      </w:r>
    </w:p>
    <w:p w:rsidR="009B1E4C" w:rsidRDefault="009B1E4C" w:rsidP="009B1E4C">
      <w:pPr>
        <w:pStyle w:val="Rubrikmellanrum"/>
      </w:pPr>
    </w:p>
    <w:p w:rsidR="009B1E4C" w:rsidRDefault="003A3F15" w:rsidP="000B46E8">
      <w:pPr>
        <w:pStyle w:val="ANormal"/>
      </w:pPr>
      <w:r>
        <w:t>U</w:t>
      </w:r>
      <w:r w:rsidR="009B1E4C">
        <w:t xml:space="preserve">tskottets principiella inställning </w:t>
      </w:r>
      <w:r>
        <w:t xml:space="preserve">är </w:t>
      </w:r>
      <w:r w:rsidR="007375E2">
        <w:t xml:space="preserve">att </w:t>
      </w:r>
      <w:r w:rsidR="009B1E4C">
        <w:t>landskapsregeringen och lagtinget i så stor utsträckning som möjligt fullt ut ska utnyttja lagtingets lagstif</w:t>
      </w:r>
      <w:r w:rsidR="009B1E4C">
        <w:t>t</w:t>
      </w:r>
      <w:r w:rsidR="009B1E4C">
        <w:t xml:space="preserve">ningsbehörighet så att de åländska lagarna anpassas till </w:t>
      </w:r>
      <w:r w:rsidR="004B5390">
        <w:t xml:space="preserve">förhållandena på </w:t>
      </w:r>
      <w:r w:rsidR="009B1E4C">
        <w:t>Åland.</w:t>
      </w:r>
    </w:p>
    <w:p w:rsidR="007375E2" w:rsidRDefault="007375E2" w:rsidP="000B46E8">
      <w:pPr>
        <w:pStyle w:val="ANormal"/>
      </w:pPr>
      <w:r>
        <w:tab/>
        <w:t xml:space="preserve">Eftersom behörighetsområdena ofta går in i varandra förekommer det inte sällan att det i en åländsk lag delvis ingår bestämmelser som hör till riksdagens behörighet. Möjligheten att i en lagtingslag ta in </w:t>
      </w:r>
      <w:r w:rsidRPr="007375E2">
        <w:t>stadganden av rikslagstiftningsnatur som i sak överensstämmer med motsvarande sta</w:t>
      </w:r>
      <w:r w:rsidRPr="007375E2">
        <w:t>d</w:t>
      </w:r>
      <w:r w:rsidRPr="007375E2">
        <w:t>ganden i riks</w:t>
      </w:r>
      <w:r w:rsidR="00D23A26">
        <w:t>dags</w:t>
      </w:r>
      <w:r w:rsidRPr="007375E2">
        <w:t>lag</w:t>
      </w:r>
      <w:r w:rsidR="00866177">
        <w:t xml:space="preserve">, </w:t>
      </w:r>
      <w:r>
        <w:t>framgår av självstyrelselagens 19 §</w:t>
      </w:r>
      <w:r w:rsidR="00866177">
        <w:t xml:space="preserve"> enligt vilken </w:t>
      </w:r>
      <w:r w:rsidRPr="007375E2">
        <w:t>så</w:t>
      </w:r>
      <w:r w:rsidRPr="007375E2">
        <w:t>d</w:t>
      </w:r>
      <w:r w:rsidRPr="007375E2">
        <w:t xml:space="preserve">ana stadganden i en landskapslag </w:t>
      </w:r>
      <w:r w:rsidR="00D23A26">
        <w:t xml:space="preserve">inte </w:t>
      </w:r>
      <w:r w:rsidRPr="007375E2">
        <w:t>medför ändring i fördelningen av la</w:t>
      </w:r>
      <w:r w:rsidRPr="007375E2">
        <w:t>g</w:t>
      </w:r>
      <w:r w:rsidRPr="007375E2">
        <w:t>stiftningsbehörigheten mellan riket och landskapet.</w:t>
      </w:r>
    </w:p>
    <w:p w:rsidR="00866177" w:rsidRDefault="00866177" w:rsidP="000B46E8">
      <w:pPr>
        <w:pStyle w:val="ANormal"/>
      </w:pPr>
      <w:r>
        <w:tab/>
      </w:r>
      <w:r w:rsidR="007730C9">
        <w:t>Bestämmelsen i självstyrelselagen möjliggör både s.k. fulltextlagar som Polislagen för Åland och så kallade b</w:t>
      </w:r>
      <w:r>
        <w:t>lankettlagar</w:t>
      </w:r>
      <w:r w:rsidR="007730C9">
        <w:t xml:space="preserve">, alltså </w:t>
      </w:r>
      <w:r>
        <w:t xml:space="preserve">lagar där det i en åländsk lag sägs att </w:t>
      </w:r>
      <w:r w:rsidR="00BD36BB">
        <w:t xml:space="preserve">en riksdagslag ska gälla på Åland helt eller delvis. </w:t>
      </w:r>
      <w:r w:rsidR="007730C9">
        <w:t>B</w:t>
      </w:r>
      <w:r w:rsidR="00BD36BB">
        <w:t xml:space="preserve">lankettlagar kan antas både på områden där lagstiftningsbehörigheten är delad och på områden där lagstiftningsbehörigheten helt och hållet hör till lagtingets behörighet.  </w:t>
      </w:r>
    </w:p>
    <w:p w:rsidR="00BD36BB" w:rsidRDefault="00BD36BB" w:rsidP="000B46E8">
      <w:pPr>
        <w:pStyle w:val="ANormal"/>
      </w:pPr>
      <w:r>
        <w:tab/>
        <w:t xml:space="preserve">Enligt utskottets åsikt bör </w:t>
      </w:r>
      <w:r w:rsidR="007730C9">
        <w:t xml:space="preserve">lagtingets behörighet i första hand användas fullt ut och </w:t>
      </w:r>
      <w:r>
        <w:t xml:space="preserve">blankettlagar </w:t>
      </w:r>
      <w:r w:rsidR="007730C9">
        <w:t xml:space="preserve">bör </w:t>
      </w:r>
      <w:r>
        <w:t xml:space="preserve">undvikas på områden som hör till lagtingets behörighet, förutom i de fall där den politiska viljan </w:t>
      </w:r>
      <w:r w:rsidR="007730C9">
        <w:t xml:space="preserve">uttryckligen </w:t>
      </w:r>
      <w:r>
        <w:t xml:space="preserve">är att </w:t>
      </w:r>
      <w:r w:rsidR="00A42589">
        <w:t xml:space="preserve">det är mest ändamålsenligt att </w:t>
      </w:r>
      <w:r>
        <w:t>samma bestämmelser ska gälla på Åland som i Finland. Så har varit fallet t.ex. i fråga om tekniska bestämmelser om liv</w:t>
      </w:r>
      <w:r>
        <w:t>s</w:t>
      </w:r>
      <w:r>
        <w:t>medelsäkerhet. Också i d</w:t>
      </w:r>
      <w:r w:rsidR="00A42589">
        <w:t xml:space="preserve">e fall när blankettlagstiftning används </w:t>
      </w:r>
      <w:r>
        <w:t>bör den g</w:t>
      </w:r>
      <w:r>
        <w:t>i</w:t>
      </w:r>
      <w:r>
        <w:t xml:space="preserve">vetvis föregås av en noggrann analys av behovet av egna bestämmelser på området. </w:t>
      </w:r>
    </w:p>
    <w:p w:rsidR="00BD36BB" w:rsidRDefault="00BD36BB" w:rsidP="000B46E8">
      <w:pPr>
        <w:pStyle w:val="ANormal"/>
      </w:pPr>
      <w:r>
        <w:tab/>
        <w:t xml:space="preserve">På områden där lagstiftningsbehörigheten är delad och i synnerhet där merparten av behörigheten hör till riksdagen </w:t>
      </w:r>
      <w:r w:rsidR="007730C9">
        <w:t>kan det finnas starkare motiv för en blankettlag. Även här bör blankettlagen givetvis föregås av en no</w:t>
      </w:r>
      <w:r w:rsidR="007730C9">
        <w:t>g</w:t>
      </w:r>
      <w:r w:rsidR="007730C9">
        <w:t>grann analys av behovet av egna bestämmelser</w:t>
      </w:r>
      <w:r w:rsidR="00FD5FB9">
        <w:t>.</w:t>
      </w:r>
      <w:r w:rsidR="007730C9">
        <w:t xml:space="preserve"> </w:t>
      </w:r>
    </w:p>
    <w:p w:rsidR="00FD5FB9" w:rsidRDefault="00A7235F" w:rsidP="004B5390">
      <w:pPr>
        <w:pStyle w:val="ANormal"/>
      </w:pPr>
      <w:r>
        <w:tab/>
      </w:r>
      <w:r w:rsidR="00A42589">
        <w:t xml:space="preserve">Alternativet till blankettlagar på blandade behörighetsområden är s.k. fulltextlagar. </w:t>
      </w:r>
      <w:r w:rsidR="00214311">
        <w:t>Ett av m</w:t>
      </w:r>
      <w:r w:rsidR="00136214">
        <w:t>otive</w:t>
      </w:r>
      <w:r w:rsidR="00214311">
        <w:t>n</w:t>
      </w:r>
      <w:r w:rsidR="00136214">
        <w:t xml:space="preserve"> för en </w:t>
      </w:r>
      <w:r>
        <w:t xml:space="preserve">fulltextlag </w:t>
      </w:r>
      <w:r w:rsidR="00136214">
        <w:t>är att det ska gå att utläsa alla bestämmelser ur en och samma l</w:t>
      </w:r>
      <w:r w:rsidR="004A1A1A">
        <w:t xml:space="preserve">ag i den åländska lagsamlingen, vilket är positivt. Utskottet konstaterar dock att detta syfte förfelas med en lag som </w:t>
      </w:r>
      <w:r w:rsidR="00A42589">
        <w:t xml:space="preserve">liksom polislagen </w:t>
      </w:r>
      <w:r w:rsidR="00FD5FB9">
        <w:t xml:space="preserve">som för närvarande </w:t>
      </w:r>
      <w:r w:rsidR="004A1A1A">
        <w:t>genom</w:t>
      </w:r>
      <w:r w:rsidR="00A42589">
        <w:t>går täta ä</w:t>
      </w:r>
      <w:r w:rsidR="004A1A1A">
        <w:t>ndringar</w:t>
      </w:r>
      <w:r w:rsidR="00A42589">
        <w:t>. En fulltex</w:t>
      </w:r>
      <w:r w:rsidR="00A42589">
        <w:t>t</w:t>
      </w:r>
      <w:r w:rsidR="00A42589">
        <w:t xml:space="preserve">lag innebär i ett sådant fall </w:t>
      </w:r>
      <w:r w:rsidR="004A1A1A">
        <w:t xml:space="preserve">tvärtom </w:t>
      </w:r>
      <w:r w:rsidR="00214311">
        <w:t>att så fort en bestämmelse inom riksd</w:t>
      </w:r>
      <w:r w:rsidR="00214311">
        <w:t>a</w:t>
      </w:r>
      <w:r w:rsidR="00214311">
        <w:t>gens behörighet ändras blir den åländska fulltextlagen till den delen direkt missvisande</w:t>
      </w:r>
      <w:r w:rsidR="00A90E1C">
        <w:t xml:space="preserve"> vilket enligt utskottets mening ytterst </w:t>
      </w:r>
      <w:r w:rsidR="00FD5FB9">
        <w:t xml:space="preserve">är </w:t>
      </w:r>
      <w:r w:rsidR="00A90E1C">
        <w:t>en rättsäkerhetsfråga.</w:t>
      </w:r>
      <w:r w:rsidR="00214311">
        <w:t xml:space="preserve"> För att både poliserna och den berörda allmänheten ska kunna utläsa vad som gäller måste man veta v</w:t>
      </w:r>
      <w:r w:rsidR="00A42589">
        <w:t xml:space="preserve">ilka bestämmelser </w:t>
      </w:r>
      <w:r w:rsidR="00214311">
        <w:t>i Polislagen för Åland som hör till riksdagens behörighet samt vilka ändringar de bestämmelserna har genomgått</w:t>
      </w:r>
      <w:r w:rsidR="00A90E1C">
        <w:t xml:space="preserve">.  </w:t>
      </w:r>
      <w:r w:rsidR="00214311">
        <w:tab/>
      </w:r>
    </w:p>
    <w:p w:rsidR="004B5390" w:rsidRDefault="00FD5FB9" w:rsidP="004B5390">
      <w:pPr>
        <w:pStyle w:val="ANormal"/>
      </w:pPr>
      <w:r>
        <w:tab/>
      </w:r>
      <w:r w:rsidR="00214311">
        <w:t>En ytterligare aspekt som kan vägas in är användningen av de begrä</w:t>
      </w:r>
      <w:r w:rsidR="00214311">
        <w:t>n</w:t>
      </w:r>
      <w:r w:rsidR="00214311">
        <w:t>sade lagberedningsresurserna</w:t>
      </w:r>
      <w:r w:rsidR="00A42589">
        <w:t>. För att en fulltextlag som till stora delar i</w:t>
      </w:r>
      <w:r w:rsidR="00A42589">
        <w:t>n</w:t>
      </w:r>
      <w:r w:rsidR="00A42589">
        <w:t>nehåller bestämmelser inom riksdagens behörighetsområde s</w:t>
      </w:r>
      <w:r w:rsidR="003A3F15">
        <w:t>ka</w:t>
      </w:r>
      <w:r w:rsidR="00A42589">
        <w:t xml:space="preserve"> vara fung</w:t>
      </w:r>
      <w:r w:rsidR="00A42589">
        <w:t>e</w:t>
      </w:r>
      <w:r w:rsidR="00A42589">
        <w:t>rande måste lagberedningsresurser användas för en kontinuerlig uppdat</w:t>
      </w:r>
      <w:r w:rsidR="00A42589">
        <w:t>e</w:t>
      </w:r>
      <w:r w:rsidR="00A42589">
        <w:lastRenderedPageBreak/>
        <w:t>ring av lagen så fort rikslagen ändras. Lagberedningsresurserna ägnas i så</w:t>
      </w:r>
      <w:r w:rsidR="00A42589">
        <w:t>d</w:t>
      </w:r>
      <w:r w:rsidR="00A42589">
        <w:t xml:space="preserve">ana fall </w:t>
      </w:r>
      <w:r w:rsidR="00214311">
        <w:t>åt att bereda lagändringar som lagtinget inte kan påverka efterso</w:t>
      </w:r>
      <w:r w:rsidR="00D23A26">
        <w:t>m</w:t>
      </w:r>
      <w:r w:rsidR="00214311">
        <w:t xml:space="preserve"> de lig</w:t>
      </w:r>
      <w:r w:rsidR="00D23A26">
        <w:t>g</w:t>
      </w:r>
      <w:r w:rsidR="00214311">
        <w:t>er inom rikets behörighet.</w:t>
      </w:r>
      <w:r w:rsidR="00A42589">
        <w:t xml:space="preserve"> </w:t>
      </w:r>
      <w:r w:rsidR="004B5390">
        <w:t>Resurserna bör enligt utskottets mening istället ägnas åt lagstiftning</w:t>
      </w:r>
      <w:r w:rsidR="00200A0B">
        <w:t xml:space="preserve"> inom lagtingets behörighet så att lagarna </w:t>
      </w:r>
      <w:r w:rsidR="004B5390">
        <w:t>anpa</w:t>
      </w:r>
      <w:r w:rsidR="004B5390">
        <w:t>s</w:t>
      </w:r>
      <w:r w:rsidR="004B5390">
        <w:t>sas till behoven och möjligheterna på Åland</w:t>
      </w:r>
      <w:r w:rsidR="00200A0B">
        <w:t xml:space="preserve">. På så sätt tas </w:t>
      </w:r>
      <w:r w:rsidR="004B5390">
        <w:t>lagtingets la</w:t>
      </w:r>
      <w:r w:rsidR="004B5390">
        <w:t>g</w:t>
      </w:r>
      <w:r w:rsidR="004B5390">
        <w:t>stiftningsbehörighet tillvara fullt ut.</w:t>
      </w:r>
    </w:p>
    <w:p w:rsidR="00A42589" w:rsidRDefault="004B5390" w:rsidP="00A42589">
      <w:pPr>
        <w:pStyle w:val="ANormal"/>
      </w:pPr>
      <w:r>
        <w:tab/>
        <w:t xml:space="preserve">Utskottet </w:t>
      </w:r>
      <w:r w:rsidR="00676ED7">
        <w:t>konstaterar att detta lagförslag belyser problemet med bla</w:t>
      </w:r>
      <w:r w:rsidR="00676ED7">
        <w:t>n</w:t>
      </w:r>
      <w:r w:rsidR="00676ED7">
        <w:t>dade behörighetsområden</w:t>
      </w:r>
      <w:r w:rsidR="00B877B3">
        <w:t xml:space="preserve"> vilket bör klargöras i samband med kommande ändringar av självstyrelselagen. </w:t>
      </w:r>
      <w:r w:rsidR="00676ED7">
        <w:t>Enligt utskottets åsikt bör landskapsreg</w:t>
      </w:r>
      <w:r w:rsidR="00676ED7">
        <w:t>e</w:t>
      </w:r>
      <w:r w:rsidR="00676ED7">
        <w:t xml:space="preserve">ringen i samband med nästa större ändring av Polislagen för Åland </w:t>
      </w:r>
      <w:r>
        <w:t xml:space="preserve">mot bakgrund av ovan nämnda överväga en ändring av lagen så att det i lagen ingår enbart bestämmelser inom lagtingets behörighet medan det </w:t>
      </w:r>
      <w:r w:rsidR="00200A0B">
        <w:t xml:space="preserve">på rikets behörighetsområde </w:t>
      </w:r>
      <w:r>
        <w:t>hänvisas till gällande riksdagslagar.</w:t>
      </w:r>
      <w:r w:rsidR="00A42589">
        <w:tab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512328260"/>
      <w:r>
        <w:t>Ärendets behandling</w:t>
      </w:r>
      <w:bookmarkEnd w:id="6"/>
      <w:bookmarkEnd w:id="7"/>
    </w:p>
    <w:p w:rsidR="002401D0" w:rsidRDefault="002401D0">
      <w:pPr>
        <w:pStyle w:val="Rubrikmellanrum"/>
      </w:pPr>
    </w:p>
    <w:p w:rsidR="006D58A3" w:rsidRDefault="006D58A3" w:rsidP="006D58A3">
      <w:pPr>
        <w:pStyle w:val="ANormal"/>
      </w:pPr>
      <w:r w:rsidRPr="009A273F">
        <w:t xml:space="preserve">Lagtinget har den </w:t>
      </w:r>
      <w:r w:rsidR="000C0D5C">
        <w:t>3</w:t>
      </w:r>
      <w:r>
        <w:t xml:space="preserve"> </w:t>
      </w:r>
      <w:r w:rsidR="000C0D5C">
        <w:t>september</w:t>
      </w:r>
      <w:r>
        <w:t xml:space="preserve"> 2018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lag- och kulturutskottets yt</w:t>
      </w:r>
      <w:r w:rsidRPr="009A273F">
        <w:t>t</w:t>
      </w:r>
      <w:r w:rsidRPr="009A273F">
        <w:t>rande i ärendet.</w:t>
      </w:r>
    </w:p>
    <w:p w:rsidR="000C0D5C" w:rsidRDefault="006D58A3" w:rsidP="006D58A3">
      <w:pPr>
        <w:pStyle w:val="ANormal"/>
      </w:pPr>
      <w:r>
        <w:tab/>
        <w:t>Utskottet har i ärendet hört</w:t>
      </w:r>
      <w:r w:rsidR="00A42589">
        <w:t xml:space="preserve"> </w:t>
      </w:r>
      <w:r w:rsidR="004B5390">
        <w:t xml:space="preserve">lagberedarna Hans Selander och Alexandra </w:t>
      </w:r>
      <w:proofErr w:type="spellStart"/>
      <w:r w:rsidR="004B5390">
        <w:t>Favorin</w:t>
      </w:r>
      <w:proofErr w:type="spellEnd"/>
      <w:r w:rsidR="004B5390">
        <w:t xml:space="preserve">, juristen Camilla Hägglund-Palmqvist och polismästaren Maria </w:t>
      </w:r>
      <w:proofErr w:type="spellStart"/>
      <w:r w:rsidR="004B5390">
        <w:t>Hoikkala</w:t>
      </w:r>
      <w:proofErr w:type="spellEnd"/>
      <w:r w:rsidR="004B5390">
        <w:t>.</w:t>
      </w:r>
    </w:p>
    <w:p w:rsidR="006D58A3" w:rsidRDefault="006D58A3" w:rsidP="006D58A3">
      <w:pPr>
        <w:pStyle w:val="ANormal"/>
      </w:pPr>
      <w:r>
        <w:tab/>
      </w:r>
      <w:r w:rsidRPr="00BB2F55">
        <w:t xml:space="preserve">I ärendets avgörande behandling deltog ordföranden Harry Jansson, viceordföranden Roger Eriksson, ledamöterna </w:t>
      </w:r>
      <w:r>
        <w:t>Johan Ehn</w:t>
      </w:r>
      <w:r w:rsidRPr="00BB2F55">
        <w:t>, Brage Eklund, Bert Häggblom, M</w:t>
      </w:r>
      <w:r>
        <w:t xml:space="preserve">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512328261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B515BB" w:rsidRDefault="002401D0">
      <w:pPr>
        <w:pStyle w:val="Klam"/>
      </w:pPr>
      <w:proofErr w:type="gramStart"/>
      <w:r>
        <w:t>att lagtinget</w:t>
      </w:r>
      <w:r w:rsidR="00474E2C">
        <w:t xml:space="preserve"> antar lagförslagen</w:t>
      </w:r>
      <w:r w:rsidR="00B515BB">
        <w:t xml:space="preserve"> i</w:t>
      </w:r>
      <w:r w:rsidR="00474E2C">
        <w:t xml:space="preserve"> </w:t>
      </w:r>
      <w:r w:rsidR="004B5390">
        <w:t>oförändrade</w:t>
      </w:r>
      <w:r w:rsidR="00474E2C">
        <w:t xml:space="preserve"> </w:t>
      </w:r>
      <w:r w:rsidR="00B515BB">
        <w:t>lydelse</w:t>
      </w:r>
      <w:r w:rsidR="004B5390">
        <w:t>r.</w:t>
      </w:r>
      <w:proofErr w:type="gramEnd"/>
    </w:p>
    <w:p w:rsidR="00474E2C" w:rsidRPr="00474E2C" w:rsidRDefault="00474E2C" w:rsidP="00474E2C">
      <w:pPr>
        <w:pStyle w:val="ANormal"/>
      </w:pPr>
    </w:p>
    <w:p w:rsidR="000B46E8" w:rsidRDefault="000B46E8" w:rsidP="000B46E8">
      <w:pPr>
        <w:pStyle w:val="ANormal"/>
      </w:pPr>
    </w:p>
    <w:p w:rsidR="000B46E8" w:rsidRPr="000B46E8" w:rsidRDefault="000B46E8" w:rsidP="000B46E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4B5390">
            <w:pPr>
              <w:pStyle w:val="ANormal"/>
              <w:keepNext/>
            </w:pPr>
            <w:r>
              <w:t xml:space="preserve">Mariehamn den </w:t>
            </w:r>
            <w:r w:rsidR="004B5390">
              <w:t>29 november</w:t>
            </w:r>
            <w:r w:rsidR="00B515BB">
              <w:t xml:space="preserve">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3D7CED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3D7CED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89" w:rsidRDefault="00A42589">
      <w:r>
        <w:separator/>
      </w:r>
    </w:p>
  </w:endnote>
  <w:endnote w:type="continuationSeparator" w:id="0">
    <w:p w:rsidR="00A42589" w:rsidRDefault="00A4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89" w:rsidRDefault="00A4258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89" w:rsidRDefault="00A42589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89" w:rsidRDefault="00A4258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89" w:rsidRDefault="00A42589">
      <w:r>
        <w:separator/>
      </w:r>
    </w:p>
  </w:footnote>
  <w:footnote w:type="continuationSeparator" w:id="0">
    <w:p w:rsidR="00A42589" w:rsidRDefault="00A4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89" w:rsidRDefault="00A42589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541E2">
      <w:rPr>
        <w:rStyle w:val="Sidnummer"/>
        <w:noProof/>
      </w:rPr>
      <w:t>2</w:t>
    </w:r>
    <w:r>
      <w:rPr>
        <w:rStyle w:val="Sidnummer"/>
      </w:rPr>
      <w:fldChar w:fldCharType="end"/>
    </w:r>
  </w:p>
  <w:p w:rsidR="00A42589" w:rsidRDefault="00A4258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89" w:rsidRDefault="00A4258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541E2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A3"/>
    <w:rsid w:val="00015E9C"/>
    <w:rsid w:val="00051556"/>
    <w:rsid w:val="00062CF1"/>
    <w:rsid w:val="000A386B"/>
    <w:rsid w:val="000B2DC9"/>
    <w:rsid w:val="000B46E8"/>
    <w:rsid w:val="000C0D5C"/>
    <w:rsid w:val="000F7417"/>
    <w:rsid w:val="00136214"/>
    <w:rsid w:val="0015337C"/>
    <w:rsid w:val="00200A0B"/>
    <w:rsid w:val="00214311"/>
    <w:rsid w:val="002401D0"/>
    <w:rsid w:val="003541E2"/>
    <w:rsid w:val="0036359C"/>
    <w:rsid w:val="003A3F15"/>
    <w:rsid w:val="003D7CED"/>
    <w:rsid w:val="00474E2C"/>
    <w:rsid w:val="004A1A1A"/>
    <w:rsid w:val="004B5390"/>
    <w:rsid w:val="00676ED7"/>
    <w:rsid w:val="006B2E9E"/>
    <w:rsid w:val="006D58A3"/>
    <w:rsid w:val="006E1A52"/>
    <w:rsid w:val="006E357E"/>
    <w:rsid w:val="00723B93"/>
    <w:rsid w:val="007375E2"/>
    <w:rsid w:val="007730C9"/>
    <w:rsid w:val="007E3B10"/>
    <w:rsid w:val="00811D50"/>
    <w:rsid w:val="00817B04"/>
    <w:rsid w:val="00866177"/>
    <w:rsid w:val="00957C36"/>
    <w:rsid w:val="009B1E4C"/>
    <w:rsid w:val="009D73B2"/>
    <w:rsid w:val="009F7CE2"/>
    <w:rsid w:val="00A42589"/>
    <w:rsid w:val="00A7235F"/>
    <w:rsid w:val="00A90E1C"/>
    <w:rsid w:val="00B32E91"/>
    <w:rsid w:val="00B36A8F"/>
    <w:rsid w:val="00B515BB"/>
    <w:rsid w:val="00B877B3"/>
    <w:rsid w:val="00B90DEC"/>
    <w:rsid w:val="00BD36BB"/>
    <w:rsid w:val="00CB087E"/>
    <w:rsid w:val="00CF700E"/>
    <w:rsid w:val="00D23A26"/>
    <w:rsid w:val="00DC45B2"/>
    <w:rsid w:val="00FC0580"/>
    <w:rsid w:val="00FD5FB9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E2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6E1A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1A52"/>
    <w:rPr>
      <w:rFonts w:ascii="Tahoma" w:hAnsi="Tahoma" w:cs="Tahoma"/>
      <w:sz w:val="16"/>
      <w:szCs w:val="16"/>
      <w:lang w:val="sv-SE" w:eastAsia="sv-SE"/>
    </w:rPr>
  </w:style>
  <w:style w:type="character" w:customStyle="1" w:styleId="koosteteksti">
    <w:name w:val="koosteteksti"/>
    <w:rsid w:val="00474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E2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6E1A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1A52"/>
    <w:rPr>
      <w:rFonts w:ascii="Tahoma" w:hAnsi="Tahoma" w:cs="Tahoma"/>
      <w:sz w:val="16"/>
      <w:szCs w:val="16"/>
      <w:lang w:val="sv-SE" w:eastAsia="sv-SE"/>
    </w:rPr>
  </w:style>
  <w:style w:type="character" w:customStyle="1" w:styleId="koosteteksti">
    <w:name w:val="koosteteksti"/>
    <w:rsid w:val="0047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3</Pages>
  <Words>1101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5/2018-2019</vt:lpstr>
    </vt:vector>
  </TitlesOfParts>
  <Company>Ålands lagting</Company>
  <LinksUpToDate>false</LinksUpToDate>
  <CharactersWithSpaces>8278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5/2018-2019</dc:title>
  <dc:creator>Jessica Laaksonen</dc:creator>
  <cp:lastModifiedBy>Jessica Laaksonen</cp:lastModifiedBy>
  <cp:revision>2</cp:revision>
  <cp:lastPrinted>2001-02-13T08:44:00Z</cp:lastPrinted>
  <dcterms:created xsi:type="dcterms:W3CDTF">2018-12-11T11:52:00Z</dcterms:created>
  <dcterms:modified xsi:type="dcterms:W3CDTF">2018-12-11T11:52:00Z</dcterms:modified>
</cp:coreProperties>
</file>