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3B5817">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4pt;mso-wrap-edited:f" wrapcoords="-408 0 -408 21316 21600 21316 21600 0 -408 0" o:allowoverlap="f">
                  <v:imagedata r:id="rId9" o:title="LSvapen"/>
                </v:shape>
              </w:pict>
            </w:r>
          </w:p>
        </w:tc>
        <w:tc>
          <w:tcPr>
            <w:tcW w:w="8736" w:type="dxa"/>
            <w:gridSpan w:val="3"/>
            <w:vAlign w:val="bottom"/>
          </w:tcPr>
          <w:p w:rsidR="002401D0" w:rsidRDefault="003B5817">
            <w:pPr>
              <w:pStyle w:val="xMellanrum"/>
            </w:pPr>
            <w:r>
              <w:pict>
                <v:shape id="_x0000_i1026" type="#_x0000_t75" style="width:3.65pt;height:3.65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833100">
            <w:pPr>
              <w:pStyle w:val="xDokTypNr"/>
            </w:pPr>
            <w:r>
              <w:t xml:space="preserve">BETÄNKANDE nr </w:t>
            </w:r>
            <w:r w:rsidR="00833100">
              <w:t>7</w:t>
            </w:r>
            <w:r>
              <w:t>/20</w:t>
            </w:r>
            <w:r w:rsidR="00723B93">
              <w:t>1</w:t>
            </w:r>
            <w:r w:rsidR="0007439E">
              <w:t>7</w:t>
            </w:r>
            <w:r w:rsidR="0015337C">
              <w:t>-20</w:t>
            </w:r>
            <w:r w:rsidR="009F7CE2">
              <w:t>1</w:t>
            </w:r>
            <w:r w:rsidR="0007439E">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07439E">
            <w:pPr>
              <w:pStyle w:val="xAvsandare2"/>
            </w:pPr>
            <w:r>
              <w:t>Social- och miljö</w:t>
            </w:r>
            <w:r w:rsidR="002401D0">
              <w:t>utskottet</w:t>
            </w:r>
          </w:p>
        </w:tc>
        <w:tc>
          <w:tcPr>
            <w:tcW w:w="1725" w:type="dxa"/>
            <w:vAlign w:val="center"/>
          </w:tcPr>
          <w:p w:rsidR="002401D0" w:rsidRDefault="002401D0" w:rsidP="00833100">
            <w:pPr>
              <w:pStyle w:val="xDatum1"/>
            </w:pPr>
            <w:r>
              <w:t>20</w:t>
            </w:r>
            <w:r w:rsidR="00B32E91">
              <w:t>1</w:t>
            </w:r>
            <w:r w:rsidR="0007439E">
              <w:t>8-0</w:t>
            </w:r>
            <w:r w:rsidR="00833100">
              <w:t>4</w:t>
            </w:r>
            <w:r w:rsidR="0007439E">
              <w:t>-</w:t>
            </w:r>
            <w:r w:rsidR="00833100">
              <w:t>05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07439E">
      <w:pPr>
        <w:pStyle w:val="ArendeOverRubrik"/>
      </w:pPr>
      <w:r>
        <w:lastRenderedPageBreak/>
        <w:t>Social- och miljö</w:t>
      </w:r>
      <w:r w:rsidR="002401D0">
        <w:t>utskottets betänkande</w:t>
      </w:r>
    </w:p>
    <w:p w:rsidR="002401D0" w:rsidRDefault="0007439E" w:rsidP="0007439E">
      <w:pPr>
        <w:pStyle w:val="ANormal"/>
      </w:pPr>
      <w:r w:rsidRPr="004F7436">
        <w:rPr>
          <w:rFonts w:ascii="Arial" w:hAnsi="Arial" w:cs="Arial"/>
          <w:b/>
          <w:bCs/>
          <w:sz w:val="26"/>
        </w:rPr>
        <w:t>Om att utreda betydande miljöpåverkan</w:t>
      </w:r>
    </w:p>
    <w:p w:rsidR="002401D0" w:rsidRPr="003B5817" w:rsidRDefault="003B5817">
      <w:pPr>
        <w:pStyle w:val="ArendeUnderRubrik"/>
        <w:rPr>
          <w:rStyle w:val="Hyperlnk"/>
        </w:rPr>
      </w:pPr>
      <w:r>
        <w:fldChar w:fldCharType="begin"/>
      </w:r>
      <w:r>
        <w:instrText xml:space="preserve"> HYPERLINK "lf1320172018.htm" </w:instrText>
      </w:r>
      <w:r>
        <w:fldChar w:fldCharType="separate"/>
      </w:r>
      <w:r w:rsidR="0007439E" w:rsidRPr="003B5817">
        <w:rPr>
          <w:rStyle w:val="Hyperlnk"/>
        </w:rPr>
        <w:t>Landskapsregeringens lagförslag nr 13/2017-2018</w:t>
      </w:r>
    </w:p>
    <w:p w:rsidR="002401D0" w:rsidRDefault="003B5817">
      <w:pPr>
        <w:pStyle w:val="ANormal"/>
      </w:pPr>
      <w:r>
        <w:rPr>
          <w:rFonts w:ascii="Verdana" w:hAnsi="Verdana" w:cs="Arial"/>
          <w:sz w:val="16"/>
        </w:rPr>
        <w:fldChar w:fldCharType="end"/>
      </w:r>
      <w:bookmarkStart w:id="1" w:name="_GoBack"/>
      <w:bookmarkEnd w:id="1"/>
    </w:p>
    <w:p w:rsidR="002401D0" w:rsidRDefault="002401D0">
      <w:pPr>
        <w:pStyle w:val="Innehll1"/>
      </w:pPr>
      <w:r>
        <w:t>INNEHÅLL</w:t>
      </w:r>
    </w:p>
    <w:p w:rsidR="006721F7" w:rsidRPr="00F214C0" w:rsidRDefault="002401D0">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508112265" w:history="1">
        <w:r w:rsidR="006721F7" w:rsidRPr="00393EAC">
          <w:rPr>
            <w:rStyle w:val="Hyperlnk"/>
          </w:rPr>
          <w:t>Sammanfattning</w:t>
        </w:r>
        <w:r w:rsidR="006721F7">
          <w:rPr>
            <w:webHidden/>
          </w:rPr>
          <w:tab/>
        </w:r>
        <w:r w:rsidR="006721F7">
          <w:rPr>
            <w:webHidden/>
          </w:rPr>
          <w:fldChar w:fldCharType="begin"/>
        </w:r>
        <w:r w:rsidR="006721F7">
          <w:rPr>
            <w:webHidden/>
          </w:rPr>
          <w:instrText xml:space="preserve"> PAGEREF _Toc508112265 \h </w:instrText>
        </w:r>
        <w:r w:rsidR="006721F7">
          <w:rPr>
            <w:webHidden/>
          </w:rPr>
        </w:r>
        <w:r w:rsidR="006721F7">
          <w:rPr>
            <w:webHidden/>
          </w:rPr>
          <w:fldChar w:fldCharType="separate"/>
        </w:r>
        <w:r w:rsidR="004D376D">
          <w:rPr>
            <w:webHidden/>
          </w:rPr>
          <w:t>1</w:t>
        </w:r>
        <w:r w:rsidR="006721F7">
          <w:rPr>
            <w:webHidden/>
          </w:rPr>
          <w:fldChar w:fldCharType="end"/>
        </w:r>
      </w:hyperlink>
    </w:p>
    <w:p w:rsidR="006721F7" w:rsidRPr="00F214C0" w:rsidRDefault="003B5817">
      <w:pPr>
        <w:pStyle w:val="Innehll2"/>
        <w:rPr>
          <w:rFonts w:ascii="Calibri" w:hAnsi="Calibri"/>
          <w:sz w:val="22"/>
          <w:szCs w:val="22"/>
          <w:lang w:val="sv-FI" w:eastAsia="sv-FI"/>
        </w:rPr>
      </w:pPr>
      <w:hyperlink w:anchor="_Toc508112266" w:history="1">
        <w:r w:rsidR="006721F7" w:rsidRPr="00393EAC">
          <w:rPr>
            <w:rStyle w:val="Hyperlnk"/>
          </w:rPr>
          <w:t>Landskapsregeringens förslag</w:t>
        </w:r>
        <w:r w:rsidR="006721F7">
          <w:rPr>
            <w:webHidden/>
          </w:rPr>
          <w:tab/>
        </w:r>
        <w:r w:rsidR="006721F7">
          <w:rPr>
            <w:webHidden/>
          </w:rPr>
          <w:fldChar w:fldCharType="begin"/>
        </w:r>
        <w:r w:rsidR="006721F7">
          <w:rPr>
            <w:webHidden/>
          </w:rPr>
          <w:instrText xml:space="preserve"> PAGEREF _Toc508112266 \h </w:instrText>
        </w:r>
        <w:r w:rsidR="006721F7">
          <w:rPr>
            <w:webHidden/>
          </w:rPr>
        </w:r>
        <w:r w:rsidR="006721F7">
          <w:rPr>
            <w:webHidden/>
          </w:rPr>
          <w:fldChar w:fldCharType="separate"/>
        </w:r>
        <w:r w:rsidR="004D376D">
          <w:rPr>
            <w:webHidden/>
          </w:rPr>
          <w:t>1</w:t>
        </w:r>
        <w:r w:rsidR="006721F7">
          <w:rPr>
            <w:webHidden/>
          </w:rPr>
          <w:fldChar w:fldCharType="end"/>
        </w:r>
      </w:hyperlink>
    </w:p>
    <w:p w:rsidR="006721F7" w:rsidRPr="00F214C0" w:rsidRDefault="003B5817">
      <w:pPr>
        <w:pStyle w:val="Innehll2"/>
        <w:rPr>
          <w:rFonts w:ascii="Calibri" w:hAnsi="Calibri"/>
          <w:sz w:val="22"/>
          <w:szCs w:val="22"/>
          <w:lang w:val="sv-FI" w:eastAsia="sv-FI"/>
        </w:rPr>
      </w:pPr>
      <w:hyperlink w:anchor="_Toc508112267" w:history="1">
        <w:r w:rsidR="006721F7" w:rsidRPr="00393EAC">
          <w:rPr>
            <w:rStyle w:val="Hyperlnk"/>
          </w:rPr>
          <w:t>Utskottets förslag</w:t>
        </w:r>
        <w:r w:rsidR="006721F7">
          <w:rPr>
            <w:webHidden/>
          </w:rPr>
          <w:tab/>
        </w:r>
        <w:r w:rsidR="006721F7">
          <w:rPr>
            <w:webHidden/>
          </w:rPr>
          <w:fldChar w:fldCharType="begin"/>
        </w:r>
        <w:r w:rsidR="006721F7">
          <w:rPr>
            <w:webHidden/>
          </w:rPr>
          <w:instrText xml:space="preserve"> PAGEREF _Toc508112267 \h </w:instrText>
        </w:r>
        <w:r w:rsidR="006721F7">
          <w:rPr>
            <w:webHidden/>
          </w:rPr>
        </w:r>
        <w:r w:rsidR="006721F7">
          <w:rPr>
            <w:webHidden/>
          </w:rPr>
          <w:fldChar w:fldCharType="separate"/>
        </w:r>
        <w:r w:rsidR="004D376D">
          <w:rPr>
            <w:webHidden/>
          </w:rPr>
          <w:t>1</w:t>
        </w:r>
        <w:r w:rsidR="006721F7">
          <w:rPr>
            <w:webHidden/>
          </w:rPr>
          <w:fldChar w:fldCharType="end"/>
        </w:r>
      </w:hyperlink>
    </w:p>
    <w:p w:rsidR="006721F7" w:rsidRPr="00F214C0" w:rsidRDefault="003B5817">
      <w:pPr>
        <w:pStyle w:val="Innehll1"/>
        <w:rPr>
          <w:rFonts w:ascii="Calibri" w:hAnsi="Calibri"/>
          <w:sz w:val="22"/>
          <w:szCs w:val="22"/>
          <w:lang w:val="sv-FI" w:eastAsia="sv-FI"/>
        </w:rPr>
      </w:pPr>
      <w:hyperlink w:anchor="_Toc508112268" w:history="1">
        <w:r w:rsidR="006721F7" w:rsidRPr="00393EAC">
          <w:rPr>
            <w:rStyle w:val="Hyperlnk"/>
          </w:rPr>
          <w:t>Utskottets synpunkter</w:t>
        </w:r>
        <w:r w:rsidR="006721F7">
          <w:rPr>
            <w:webHidden/>
          </w:rPr>
          <w:tab/>
        </w:r>
        <w:r w:rsidR="006721F7">
          <w:rPr>
            <w:webHidden/>
          </w:rPr>
          <w:fldChar w:fldCharType="begin"/>
        </w:r>
        <w:r w:rsidR="006721F7">
          <w:rPr>
            <w:webHidden/>
          </w:rPr>
          <w:instrText xml:space="preserve"> PAGEREF _Toc508112268 \h </w:instrText>
        </w:r>
        <w:r w:rsidR="006721F7">
          <w:rPr>
            <w:webHidden/>
          </w:rPr>
        </w:r>
        <w:r w:rsidR="006721F7">
          <w:rPr>
            <w:webHidden/>
          </w:rPr>
          <w:fldChar w:fldCharType="separate"/>
        </w:r>
        <w:r w:rsidR="004D376D">
          <w:rPr>
            <w:webHidden/>
          </w:rPr>
          <w:t>1</w:t>
        </w:r>
        <w:r w:rsidR="006721F7">
          <w:rPr>
            <w:webHidden/>
          </w:rPr>
          <w:fldChar w:fldCharType="end"/>
        </w:r>
      </w:hyperlink>
    </w:p>
    <w:p w:rsidR="006721F7" w:rsidRPr="00F214C0" w:rsidRDefault="003B5817">
      <w:pPr>
        <w:pStyle w:val="Innehll1"/>
        <w:rPr>
          <w:rFonts w:ascii="Calibri" w:hAnsi="Calibri"/>
          <w:sz w:val="22"/>
          <w:szCs w:val="22"/>
          <w:lang w:val="sv-FI" w:eastAsia="sv-FI"/>
        </w:rPr>
      </w:pPr>
      <w:hyperlink w:anchor="_Toc508112269" w:history="1">
        <w:r w:rsidR="006721F7" w:rsidRPr="00393EAC">
          <w:rPr>
            <w:rStyle w:val="Hyperlnk"/>
          </w:rPr>
          <w:t>Ärendets behandling</w:t>
        </w:r>
        <w:r w:rsidR="006721F7">
          <w:rPr>
            <w:webHidden/>
          </w:rPr>
          <w:tab/>
        </w:r>
        <w:r w:rsidR="006721F7">
          <w:rPr>
            <w:webHidden/>
          </w:rPr>
          <w:fldChar w:fldCharType="begin"/>
        </w:r>
        <w:r w:rsidR="006721F7">
          <w:rPr>
            <w:webHidden/>
          </w:rPr>
          <w:instrText xml:space="preserve"> PAGEREF _Toc508112269 \h </w:instrText>
        </w:r>
        <w:r w:rsidR="006721F7">
          <w:rPr>
            <w:webHidden/>
          </w:rPr>
        </w:r>
        <w:r w:rsidR="006721F7">
          <w:rPr>
            <w:webHidden/>
          </w:rPr>
          <w:fldChar w:fldCharType="separate"/>
        </w:r>
        <w:r w:rsidR="004D376D">
          <w:rPr>
            <w:webHidden/>
          </w:rPr>
          <w:t>3</w:t>
        </w:r>
        <w:r w:rsidR="006721F7">
          <w:rPr>
            <w:webHidden/>
          </w:rPr>
          <w:fldChar w:fldCharType="end"/>
        </w:r>
      </w:hyperlink>
    </w:p>
    <w:p w:rsidR="006721F7" w:rsidRPr="00F214C0" w:rsidRDefault="003B5817">
      <w:pPr>
        <w:pStyle w:val="Innehll1"/>
        <w:rPr>
          <w:rFonts w:ascii="Calibri" w:hAnsi="Calibri"/>
          <w:sz w:val="22"/>
          <w:szCs w:val="22"/>
          <w:lang w:val="sv-FI" w:eastAsia="sv-FI"/>
        </w:rPr>
      </w:pPr>
      <w:hyperlink w:anchor="_Toc508112270" w:history="1">
        <w:r w:rsidR="006721F7" w:rsidRPr="00393EAC">
          <w:rPr>
            <w:rStyle w:val="Hyperlnk"/>
          </w:rPr>
          <w:t>Utskottets förslag</w:t>
        </w:r>
        <w:r w:rsidR="006721F7">
          <w:rPr>
            <w:webHidden/>
          </w:rPr>
          <w:tab/>
        </w:r>
        <w:r w:rsidR="006721F7">
          <w:rPr>
            <w:webHidden/>
          </w:rPr>
          <w:fldChar w:fldCharType="begin"/>
        </w:r>
        <w:r w:rsidR="006721F7">
          <w:rPr>
            <w:webHidden/>
          </w:rPr>
          <w:instrText xml:space="preserve"> PAGEREF _Toc508112270 \h </w:instrText>
        </w:r>
        <w:r w:rsidR="006721F7">
          <w:rPr>
            <w:webHidden/>
          </w:rPr>
        </w:r>
        <w:r w:rsidR="006721F7">
          <w:rPr>
            <w:webHidden/>
          </w:rPr>
          <w:fldChar w:fldCharType="separate"/>
        </w:r>
        <w:r w:rsidR="004D376D">
          <w:rPr>
            <w:webHidden/>
          </w:rPr>
          <w:t>4</w:t>
        </w:r>
        <w:r w:rsidR="006721F7">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08112265"/>
      <w:r>
        <w:t>Sammanfattning</w:t>
      </w:r>
      <w:bookmarkEnd w:id="2"/>
      <w:bookmarkEnd w:id="3"/>
    </w:p>
    <w:p w:rsidR="002401D0" w:rsidRDefault="002401D0">
      <w:pPr>
        <w:pStyle w:val="Rubrikmellanrum"/>
      </w:pPr>
    </w:p>
    <w:p w:rsidR="002401D0" w:rsidRDefault="0007439E">
      <w:pPr>
        <w:pStyle w:val="RubrikB"/>
      </w:pPr>
      <w:bookmarkStart w:id="4" w:name="_Toc529800933"/>
      <w:bookmarkStart w:id="5" w:name="_Toc508112266"/>
      <w:r>
        <w:t>Landskapsregeringens</w:t>
      </w:r>
      <w:r w:rsidR="002401D0">
        <w:t xml:space="preserve"> förslag</w:t>
      </w:r>
      <w:bookmarkEnd w:id="4"/>
      <w:bookmarkEnd w:id="5"/>
    </w:p>
    <w:p w:rsidR="002401D0" w:rsidRDefault="002401D0">
      <w:pPr>
        <w:pStyle w:val="Rubrikmellanrum"/>
      </w:pPr>
    </w:p>
    <w:p w:rsidR="0007439E" w:rsidRDefault="0007439E" w:rsidP="0007439E">
      <w:pPr>
        <w:pStyle w:val="ANormal"/>
      </w:pPr>
      <w:r>
        <w:t>I förslaget föreslås en ny landskapslag om miljökonsekvensbedömning och miljöbedömning för att genomföra ändringar i det s.k. MKB-direktivet om bedömning av inverkan på miljön av vissa offentliga och privata projekt. Ändringarna har gjorts för att effektivisera och höja kvaliteten på MKB-förfarandet.</w:t>
      </w:r>
    </w:p>
    <w:p w:rsidR="0007439E" w:rsidRDefault="0007439E" w:rsidP="0007439E">
      <w:pPr>
        <w:pStyle w:val="ANormal"/>
      </w:pPr>
      <w:r>
        <w:tab/>
        <w:t>Den nya lagen får en ny struktur och vissa nya begrepp och uttryck i</w:t>
      </w:r>
      <w:r>
        <w:t>n</w:t>
      </w:r>
      <w:r>
        <w:t>troduceras i syfte att tydliggöra de processer som regleras i lagen. När det gäller miljökonsekvensbedömning av projekt föreslås ändringar som syftar till att genomföra de senaste ändringarna i MKB-direktivet, bl.a. föreslås nya och förtydligade krav på vad en miljökonsekvensbeskrivning ska inn</w:t>
      </w:r>
      <w:r>
        <w:t>e</w:t>
      </w:r>
      <w:r>
        <w:t>hålla. När det gäller miljöbedömning av planer och program innehåller l</w:t>
      </w:r>
      <w:r>
        <w:t>a</w:t>
      </w:r>
      <w:r>
        <w:t>gen framför allt förtydliganden av vad som redan gäller, men även vissa förenklingar för medborgare, myndigheter och kommuner.</w:t>
      </w:r>
    </w:p>
    <w:p w:rsidR="0007439E" w:rsidRDefault="0007439E" w:rsidP="0007439E">
      <w:pPr>
        <w:pStyle w:val="ANormal"/>
      </w:pPr>
      <w:r>
        <w:tab/>
        <w:t>Det ändrade MKB-direktivet 2014/52/EU skulle ha varit genomfört i medlemsstaternas lagstiftning senast den 16 maj 2017 och eftersom det d</w:t>
      </w:r>
      <w:r>
        <w:t>a</w:t>
      </w:r>
      <w:r>
        <w:t>tumet har passerats utan att någon implementering kommit till kommis</w:t>
      </w:r>
      <w:r>
        <w:t>s</w:t>
      </w:r>
      <w:r>
        <w:t>ionens kännedom utfärdade kommissionen den 19 juli 2017 en formell underrättelse gällande Finlands implementering av direktivet. Landskapsr</w:t>
      </w:r>
      <w:r>
        <w:t>e</w:t>
      </w:r>
      <w:r>
        <w:t xml:space="preserve">geringen har i sitt svar på Europeiska kommissionens formella underrättelse meddelat att avsikten är att direktivet ska vara </w:t>
      </w:r>
      <w:proofErr w:type="gramStart"/>
      <w:r>
        <w:t>notifierat</w:t>
      </w:r>
      <w:proofErr w:type="gramEnd"/>
      <w:r>
        <w:t xml:space="preserve"> i maj 2018.</w:t>
      </w:r>
    </w:p>
    <w:p w:rsidR="002401D0" w:rsidRDefault="002401D0">
      <w:pPr>
        <w:pStyle w:val="ANormal"/>
      </w:pPr>
    </w:p>
    <w:p w:rsidR="002401D0" w:rsidRDefault="002401D0">
      <w:pPr>
        <w:pStyle w:val="RubrikB"/>
      </w:pPr>
      <w:bookmarkStart w:id="6" w:name="_Toc529800934"/>
      <w:bookmarkStart w:id="7" w:name="_Toc508112267"/>
      <w:r>
        <w:t>Utskottets förslag</w:t>
      </w:r>
      <w:bookmarkEnd w:id="6"/>
      <w:bookmarkEnd w:id="7"/>
    </w:p>
    <w:p w:rsidR="002401D0" w:rsidRDefault="002401D0">
      <w:pPr>
        <w:pStyle w:val="Rubrikmellanrum"/>
      </w:pPr>
    </w:p>
    <w:p w:rsidR="000513AF" w:rsidRDefault="000513AF" w:rsidP="000513AF">
      <w:pPr>
        <w:pStyle w:val="ANormal"/>
      </w:pPr>
      <w:r>
        <w:t>Utskottet föreslår att lagtinget antar lagförslagen utan ändringar.</w:t>
      </w:r>
    </w:p>
    <w:p w:rsidR="002401D0" w:rsidRDefault="002401D0">
      <w:pPr>
        <w:pStyle w:val="ANormal"/>
      </w:pPr>
    </w:p>
    <w:p w:rsidR="002401D0" w:rsidRDefault="002401D0">
      <w:pPr>
        <w:pStyle w:val="RubrikA"/>
      </w:pPr>
      <w:bookmarkStart w:id="8" w:name="_Toc529800935"/>
      <w:bookmarkStart w:id="9" w:name="_Toc508112268"/>
      <w:r>
        <w:t>Utskottets synpunkter</w:t>
      </w:r>
      <w:bookmarkEnd w:id="8"/>
      <w:bookmarkEnd w:id="9"/>
    </w:p>
    <w:p w:rsidR="002401D0" w:rsidRDefault="002401D0">
      <w:pPr>
        <w:pStyle w:val="Rubrikmellanrum"/>
      </w:pPr>
    </w:p>
    <w:p w:rsidR="007249CA" w:rsidRDefault="007249CA">
      <w:pPr>
        <w:pStyle w:val="ANormal"/>
        <w:rPr>
          <w:i/>
        </w:rPr>
      </w:pPr>
      <w:r w:rsidRPr="007249CA">
        <w:rPr>
          <w:i/>
        </w:rPr>
        <w:t>Allmänt</w:t>
      </w:r>
    </w:p>
    <w:p w:rsidR="007249CA" w:rsidRPr="007249CA" w:rsidRDefault="007249CA">
      <w:pPr>
        <w:pStyle w:val="ANormal"/>
        <w:rPr>
          <w:i/>
          <w:sz w:val="10"/>
          <w:szCs w:val="10"/>
        </w:rPr>
      </w:pPr>
    </w:p>
    <w:p w:rsidR="002401D0" w:rsidRDefault="00F1582C">
      <w:pPr>
        <w:pStyle w:val="ANormal"/>
      </w:pPr>
      <w:r>
        <w:t xml:space="preserve">I lagförslaget föreslås att </w:t>
      </w:r>
      <w:r w:rsidR="001E3A80">
        <w:t>landskapslagen (2006:82) om miljökonsekven</w:t>
      </w:r>
      <w:r w:rsidR="001E3A80">
        <w:t>s</w:t>
      </w:r>
      <w:r w:rsidR="001E3A80">
        <w:t xml:space="preserve">bedömning ersätts med </w:t>
      </w:r>
      <w:r>
        <w:t xml:space="preserve">en ny </w:t>
      </w:r>
      <w:r w:rsidR="0024628E">
        <w:t>landskapslag om miljökonsekvensbedömning och miljöbedömning</w:t>
      </w:r>
      <w:r w:rsidR="001E3A80">
        <w:t xml:space="preserve">. Genom lagförslaget </w:t>
      </w:r>
      <w:r w:rsidR="000513AF">
        <w:t>genomför</w:t>
      </w:r>
      <w:r w:rsidR="001E3A80">
        <w:t>s</w:t>
      </w:r>
      <w:r w:rsidR="000513AF">
        <w:t xml:space="preserve"> det ändrade MKB-direktivet 2014/52/EU om bedömning av inverkan på miljön av vissa o</w:t>
      </w:r>
      <w:r w:rsidR="000513AF">
        <w:t>f</w:t>
      </w:r>
      <w:r w:rsidR="000513AF">
        <w:t>fentliga och privata projek</w:t>
      </w:r>
      <w:r w:rsidR="001C4721">
        <w:t xml:space="preserve">t samtidigt som lagens struktur förtydligas och </w:t>
      </w:r>
      <w:r w:rsidR="001C4721">
        <w:lastRenderedPageBreak/>
        <w:t xml:space="preserve">görs mera </w:t>
      </w:r>
      <w:r w:rsidR="00DF48EA">
        <w:t>förståelig</w:t>
      </w:r>
      <w:r w:rsidR="00ED50DC">
        <w:t xml:space="preserve">. </w:t>
      </w:r>
      <w:r w:rsidR="001E3A80">
        <w:t>Utskottet tillstyrker lagförslaget med följande ko</w:t>
      </w:r>
      <w:r w:rsidR="001E3A80">
        <w:t>m</w:t>
      </w:r>
      <w:r w:rsidR="001E3A80">
        <w:t>mentarer.</w:t>
      </w:r>
      <w:r w:rsidR="00DF48EA">
        <w:t xml:space="preserve"> </w:t>
      </w:r>
      <w:r w:rsidR="001C4721">
        <w:t xml:space="preserve"> </w:t>
      </w:r>
    </w:p>
    <w:p w:rsidR="00DF48EA" w:rsidRDefault="00DF48EA">
      <w:pPr>
        <w:pStyle w:val="ANormal"/>
      </w:pPr>
    </w:p>
    <w:p w:rsidR="007249CA" w:rsidRDefault="00ED50DC">
      <w:pPr>
        <w:pStyle w:val="ANormal"/>
        <w:rPr>
          <w:i/>
        </w:rPr>
      </w:pPr>
      <w:r>
        <w:rPr>
          <w:i/>
        </w:rPr>
        <w:t>M</w:t>
      </w:r>
      <w:r w:rsidR="00372E2E">
        <w:rPr>
          <w:i/>
        </w:rPr>
        <w:t>iljökonsekvensbedömning</w:t>
      </w:r>
      <w:r>
        <w:rPr>
          <w:i/>
        </w:rPr>
        <w:t xml:space="preserve"> och miljöbedömning</w:t>
      </w:r>
    </w:p>
    <w:p w:rsidR="00ED50DC" w:rsidRDefault="00ED50DC">
      <w:pPr>
        <w:pStyle w:val="ANormal"/>
        <w:rPr>
          <w:i/>
          <w:sz w:val="10"/>
          <w:szCs w:val="10"/>
        </w:rPr>
      </w:pPr>
    </w:p>
    <w:p w:rsidR="00ED50DC" w:rsidRPr="00ED50DC" w:rsidRDefault="007E06E3">
      <w:pPr>
        <w:pStyle w:val="ANormal"/>
        <w:rPr>
          <w:szCs w:val="22"/>
        </w:rPr>
      </w:pPr>
      <w:r>
        <w:rPr>
          <w:szCs w:val="22"/>
        </w:rPr>
        <w:t>I gällande landskapslag om miljöbedömning behandlas både miljökons</w:t>
      </w:r>
      <w:r>
        <w:rPr>
          <w:szCs w:val="22"/>
        </w:rPr>
        <w:t>e</w:t>
      </w:r>
      <w:r>
        <w:rPr>
          <w:szCs w:val="22"/>
        </w:rPr>
        <w:t>kvensbedömningar och strategiska miljöbedömningar parallellt i samma p</w:t>
      </w:r>
      <w:r>
        <w:rPr>
          <w:szCs w:val="22"/>
        </w:rPr>
        <w:t>a</w:t>
      </w:r>
      <w:r>
        <w:rPr>
          <w:szCs w:val="22"/>
        </w:rPr>
        <w:t>ragrafer och bägge benämns som MKB, trots att det är fråga om två olika sorters bedömningar som har sitt ursprung i två separata EU-direktiv.</w:t>
      </w:r>
      <w:r w:rsidR="0051428F">
        <w:rPr>
          <w:szCs w:val="22"/>
        </w:rPr>
        <w:t xml:space="preserve"> I f</w:t>
      </w:r>
      <w:r w:rsidR="0051428F">
        <w:rPr>
          <w:szCs w:val="22"/>
        </w:rPr>
        <w:t>ö</w:t>
      </w:r>
      <w:r w:rsidR="0051428F">
        <w:rPr>
          <w:szCs w:val="22"/>
        </w:rPr>
        <w:t>religgande lagförslag föreslås dessa olika bedömningar separeras så att mi</w:t>
      </w:r>
      <w:r w:rsidR="0051428F">
        <w:rPr>
          <w:szCs w:val="22"/>
        </w:rPr>
        <w:t>l</w:t>
      </w:r>
      <w:r w:rsidR="0051428F">
        <w:rPr>
          <w:szCs w:val="22"/>
        </w:rPr>
        <w:t xml:space="preserve">jökonsekvensbedömningar av projekt som grundar sig på MKB-direktivet och miljöbedömningar </w:t>
      </w:r>
      <w:r w:rsidR="00A46CF5">
        <w:rPr>
          <w:szCs w:val="22"/>
        </w:rPr>
        <w:t xml:space="preserve">av planer och program </w:t>
      </w:r>
      <w:r w:rsidR="0051428F">
        <w:rPr>
          <w:szCs w:val="22"/>
        </w:rPr>
        <w:t>som grundar sig på SMB-direktivet regleras i olika kapitel</w:t>
      </w:r>
      <w:r w:rsidR="00A46CF5">
        <w:rPr>
          <w:szCs w:val="22"/>
        </w:rPr>
        <w:t xml:space="preserve">. Skillnaderna mellan de olika förfarandena </w:t>
      </w:r>
      <w:proofErr w:type="gramStart"/>
      <w:r w:rsidR="00A46CF5">
        <w:rPr>
          <w:szCs w:val="22"/>
        </w:rPr>
        <w:t>föreslås</w:t>
      </w:r>
      <w:proofErr w:type="gramEnd"/>
      <w:r w:rsidR="00A46CF5">
        <w:rPr>
          <w:szCs w:val="22"/>
        </w:rPr>
        <w:t xml:space="preserve"> även </w:t>
      </w:r>
      <w:proofErr w:type="gramStart"/>
      <w:r w:rsidR="00A46CF5">
        <w:rPr>
          <w:szCs w:val="22"/>
        </w:rPr>
        <w:t>tydliggöras</w:t>
      </w:r>
      <w:proofErr w:type="gramEnd"/>
      <w:r w:rsidR="00A46CF5">
        <w:rPr>
          <w:szCs w:val="22"/>
        </w:rPr>
        <w:t xml:space="preserve"> genom att begreppet MKB inte längre föreslås användas även för miljöbedömningar av planer och program</w:t>
      </w:r>
      <w:r w:rsidR="0051428F">
        <w:rPr>
          <w:szCs w:val="22"/>
        </w:rPr>
        <w:t>. Utskottet konstate</w:t>
      </w:r>
      <w:r w:rsidR="009D7C00">
        <w:rPr>
          <w:szCs w:val="22"/>
        </w:rPr>
        <w:t>rar att de föreslagna ändringarna innebär en bättre överskådlighet och en tydligare struktur, vilket utskottet välkomnar.</w:t>
      </w:r>
      <w:r w:rsidR="0051428F">
        <w:rPr>
          <w:szCs w:val="22"/>
        </w:rPr>
        <w:t xml:space="preserve"> </w:t>
      </w:r>
    </w:p>
    <w:p w:rsidR="00372E2E" w:rsidRDefault="00372E2E">
      <w:pPr>
        <w:pStyle w:val="ANormal"/>
        <w:rPr>
          <w:i/>
        </w:rPr>
      </w:pPr>
    </w:p>
    <w:p w:rsidR="006830A7" w:rsidRDefault="006830A7">
      <w:pPr>
        <w:pStyle w:val="ANormal"/>
        <w:rPr>
          <w:i/>
        </w:rPr>
      </w:pPr>
      <w:proofErr w:type="spellStart"/>
      <w:r>
        <w:rPr>
          <w:i/>
        </w:rPr>
        <w:t>ÅMHM:s</w:t>
      </w:r>
      <w:proofErr w:type="spellEnd"/>
      <w:r>
        <w:rPr>
          <w:i/>
        </w:rPr>
        <w:t xml:space="preserve"> granskning av miljökonsekvensbeskrivningen </w:t>
      </w:r>
    </w:p>
    <w:p w:rsidR="006830A7" w:rsidRDefault="006830A7">
      <w:pPr>
        <w:pStyle w:val="ANormal"/>
        <w:rPr>
          <w:i/>
          <w:sz w:val="10"/>
          <w:szCs w:val="10"/>
        </w:rPr>
      </w:pPr>
    </w:p>
    <w:p w:rsidR="006830A7" w:rsidRPr="006830A7" w:rsidRDefault="006830A7">
      <w:pPr>
        <w:pStyle w:val="ANormal"/>
        <w:rPr>
          <w:szCs w:val="22"/>
        </w:rPr>
      </w:pPr>
      <w:r>
        <w:rPr>
          <w:szCs w:val="22"/>
        </w:rPr>
        <w:t>Av lagförslagets 10 § framgår att verksamhetsutövaren</w:t>
      </w:r>
      <w:r w:rsidR="000F67E1">
        <w:rPr>
          <w:szCs w:val="22"/>
        </w:rPr>
        <w:t xml:space="preserve"> ska lämna den </w:t>
      </w:r>
      <w:r>
        <w:rPr>
          <w:szCs w:val="22"/>
        </w:rPr>
        <w:t>fä</w:t>
      </w:r>
      <w:r>
        <w:rPr>
          <w:szCs w:val="22"/>
        </w:rPr>
        <w:t>r</w:t>
      </w:r>
      <w:r>
        <w:rPr>
          <w:szCs w:val="22"/>
        </w:rPr>
        <w:t>digställ</w:t>
      </w:r>
      <w:r w:rsidR="00782702">
        <w:rPr>
          <w:szCs w:val="22"/>
        </w:rPr>
        <w:t>da</w:t>
      </w:r>
      <w:r>
        <w:rPr>
          <w:szCs w:val="22"/>
        </w:rPr>
        <w:t xml:space="preserve"> miljökonsekvensbeskrivning till ÅMHM för granskning. ÅMHM ska i ett särskilt beslut avgöra om miljökonsekvensbeskrivningen uppfyller kraven i lagen. </w:t>
      </w:r>
      <w:r w:rsidR="00782702">
        <w:rPr>
          <w:szCs w:val="22"/>
        </w:rPr>
        <w:t>Det innebär att om en miljökonsekvensbedömning unde</w:t>
      </w:r>
      <w:r w:rsidR="00782702">
        <w:rPr>
          <w:szCs w:val="22"/>
        </w:rPr>
        <w:t>r</w:t>
      </w:r>
      <w:r w:rsidR="00782702">
        <w:rPr>
          <w:szCs w:val="22"/>
        </w:rPr>
        <w:t>känns måste den kompletteras till dess myndigheten godkänner den. U</w:t>
      </w:r>
      <w:r w:rsidR="00782702">
        <w:rPr>
          <w:szCs w:val="22"/>
        </w:rPr>
        <w:t>t</w:t>
      </w:r>
      <w:r w:rsidR="00782702">
        <w:rPr>
          <w:szCs w:val="22"/>
        </w:rPr>
        <w:t xml:space="preserve">skottet anser att det är positivt att det ska fattas ett uttryckligt beslut om godkännande av miljökonsekvensbeskrivningen, men vill i sammanhanget understryka vikten av </w:t>
      </w:r>
      <w:proofErr w:type="spellStart"/>
      <w:r w:rsidR="00782702">
        <w:rPr>
          <w:szCs w:val="22"/>
        </w:rPr>
        <w:t>ÅMMH:s</w:t>
      </w:r>
      <w:proofErr w:type="spellEnd"/>
      <w:r w:rsidR="00782702">
        <w:rPr>
          <w:szCs w:val="22"/>
        </w:rPr>
        <w:t xml:space="preserve"> rådgivande roll</w:t>
      </w:r>
      <w:r w:rsidR="000F61C2">
        <w:rPr>
          <w:szCs w:val="22"/>
        </w:rPr>
        <w:t xml:space="preserve"> under processen</w:t>
      </w:r>
      <w:r w:rsidR="00782702">
        <w:rPr>
          <w:szCs w:val="22"/>
        </w:rPr>
        <w:t>.</w:t>
      </w:r>
    </w:p>
    <w:p w:rsidR="006830A7" w:rsidRDefault="006830A7">
      <w:pPr>
        <w:pStyle w:val="ANormal"/>
        <w:rPr>
          <w:i/>
        </w:rPr>
      </w:pPr>
    </w:p>
    <w:p w:rsidR="001B29D0" w:rsidRDefault="001B29D0">
      <w:pPr>
        <w:pStyle w:val="ANormal"/>
        <w:rPr>
          <w:i/>
        </w:rPr>
      </w:pPr>
      <w:r>
        <w:rPr>
          <w:i/>
        </w:rPr>
        <w:t>Landskapsförordningar</w:t>
      </w:r>
    </w:p>
    <w:p w:rsidR="004C0A79" w:rsidRDefault="004C0A79">
      <w:pPr>
        <w:pStyle w:val="ANormal"/>
        <w:rPr>
          <w:i/>
          <w:sz w:val="10"/>
          <w:szCs w:val="10"/>
        </w:rPr>
      </w:pPr>
    </w:p>
    <w:p w:rsidR="00754EF6" w:rsidRDefault="004C0A79">
      <w:pPr>
        <w:pStyle w:val="ANormal"/>
        <w:rPr>
          <w:szCs w:val="22"/>
        </w:rPr>
      </w:pPr>
      <w:r>
        <w:rPr>
          <w:szCs w:val="22"/>
        </w:rPr>
        <w:t>I lagförslaget till ny landskapslag om miljökonsekvensbedömning och mi</w:t>
      </w:r>
      <w:r>
        <w:rPr>
          <w:szCs w:val="22"/>
        </w:rPr>
        <w:t>l</w:t>
      </w:r>
      <w:r>
        <w:rPr>
          <w:szCs w:val="22"/>
        </w:rPr>
        <w:t>jöbedömning föreslås landskapsregeringen ges rätt att utfärda närmare b</w:t>
      </w:r>
      <w:r>
        <w:rPr>
          <w:szCs w:val="22"/>
        </w:rPr>
        <w:t>e</w:t>
      </w:r>
      <w:r>
        <w:rPr>
          <w:szCs w:val="22"/>
        </w:rPr>
        <w:t>stämmelser i landskapsförordning</w:t>
      </w:r>
      <w:r w:rsidR="002D5F85">
        <w:rPr>
          <w:szCs w:val="22"/>
        </w:rPr>
        <w:t xml:space="preserve"> i fem paragrafer. </w:t>
      </w:r>
      <w:r>
        <w:rPr>
          <w:szCs w:val="22"/>
        </w:rPr>
        <w:t>I lagförslagets 4 § sta</w:t>
      </w:r>
      <w:r>
        <w:rPr>
          <w:szCs w:val="22"/>
        </w:rPr>
        <w:t>d</w:t>
      </w:r>
      <w:r>
        <w:rPr>
          <w:szCs w:val="22"/>
        </w:rPr>
        <w:t xml:space="preserve">gas att i landskapsförordning </w:t>
      </w:r>
      <w:r w:rsidR="003F7BC0">
        <w:rPr>
          <w:szCs w:val="22"/>
        </w:rPr>
        <w:t xml:space="preserve">ska </w:t>
      </w:r>
      <w:r>
        <w:rPr>
          <w:szCs w:val="22"/>
        </w:rPr>
        <w:t>anges vilken typ av projekt som har en betydande miljöpåverkan och vilka kriterier som ska beaktas för att bedöma om ett projekt ska antas medföra en betydande miljöpåverkan. I lagförsl</w:t>
      </w:r>
      <w:r>
        <w:rPr>
          <w:szCs w:val="22"/>
        </w:rPr>
        <w:t>a</w:t>
      </w:r>
      <w:r>
        <w:rPr>
          <w:szCs w:val="22"/>
        </w:rPr>
        <w:t xml:space="preserve">gets § 5 sägs att landskapsregeringen i landskapsförordning </w:t>
      </w:r>
      <w:r w:rsidR="003F7BC0">
        <w:rPr>
          <w:szCs w:val="22"/>
        </w:rPr>
        <w:t xml:space="preserve">kan </w:t>
      </w:r>
      <w:r>
        <w:rPr>
          <w:szCs w:val="22"/>
        </w:rPr>
        <w:t xml:space="preserve">ange vilken typ av information som ska finnas i underlaget för behovsbedömningen. Vidare stadgas i lagförslagets 9 § att landskapsregeringen </w:t>
      </w:r>
      <w:r w:rsidR="00F12A69">
        <w:rPr>
          <w:szCs w:val="22"/>
        </w:rPr>
        <w:t>i landskapsfö</w:t>
      </w:r>
      <w:r w:rsidR="00F12A69">
        <w:rPr>
          <w:szCs w:val="22"/>
        </w:rPr>
        <w:t>r</w:t>
      </w:r>
      <w:r w:rsidR="00F12A69">
        <w:rPr>
          <w:szCs w:val="22"/>
        </w:rPr>
        <w:t xml:space="preserve">ordning </w:t>
      </w:r>
      <w:r>
        <w:rPr>
          <w:szCs w:val="22"/>
        </w:rPr>
        <w:t xml:space="preserve">kan utfärda närmare bestämmelser </w:t>
      </w:r>
      <w:r w:rsidR="00F12A69">
        <w:rPr>
          <w:szCs w:val="22"/>
        </w:rPr>
        <w:t>om vad miljökonsekvensb</w:t>
      </w:r>
      <w:r w:rsidR="00F12A69">
        <w:rPr>
          <w:szCs w:val="22"/>
        </w:rPr>
        <w:t>e</w:t>
      </w:r>
      <w:r w:rsidR="00F12A69">
        <w:rPr>
          <w:szCs w:val="22"/>
        </w:rPr>
        <w:t xml:space="preserve">skrivningen ska innehålla och hur miljökonsekvensbeskrivningen ska tas fram. I samma paragraf stadgas att landskapsregeringen </w:t>
      </w:r>
      <w:r w:rsidR="003F7BC0">
        <w:rPr>
          <w:szCs w:val="22"/>
        </w:rPr>
        <w:t xml:space="preserve">kan </w:t>
      </w:r>
      <w:r w:rsidR="00F12A69">
        <w:rPr>
          <w:szCs w:val="22"/>
        </w:rPr>
        <w:t>utfärda nä</w:t>
      </w:r>
      <w:r w:rsidR="00F12A69">
        <w:rPr>
          <w:szCs w:val="22"/>
        </w:rPr>
        <w:t>r</w:t>
      </w:r>
      <w:r w:rsidR="00F12A69">
        <w:rPr>
          <w:szCs w:val="22"/>
        </w:rPr>
        <w:t>mare bestämmelser om vilken kompetens som kan krävas av de experter som utarbetar miljökonsekvensbeskrivningar. Ytterligare stadgas i lagfö</w:t>
      </w:r>
      <w:r w:rsidR="00F12A69">
        <w:rPr>
          <w:szCs w:val="22"/>
        </w:rPr>
        <w:t>r</w:t>
      </w:r>
      <w:r w:rsidR="00F12A69">
        <w:rPr>
          <w:szCs w:val="22"/>
        </w:rPr>
        <w:t>slagets 15 § att landskapsregeringen i landskapsförordning</w:t>
      </w:r>
      <w:r w:rsidR="000F61C2">
        <w:rPr>
          <w:szCs w:val="22"/>
        </w:rPr>
        <w:t xml:space="preserve"> kan</w:t>
      </w:r>
      <w:r w:rsidR="00F12A69">
        <w:rPr>
          <w:szCs w:val="22"/>
        </w:rPr>
        <w:t xml:space="preserve"> meddela f</w:t>
      </w:r>
      <w:r w:rsidR="00F12A69">
        <w:rPr>
          <w:szCs w:val="22"/>
        </w:rPr>
        <w:t>ö</w:t>
      </w:r>
      <w:r w:rsidR="00F12A69">
        <w:rPr>
          <w:szCs w:val="22"/>
        </w:rPr>
        <w:t>reskrifter om att vissa slag av planer och program ska antas medföra bet</w:t>
      </w:r>
      <w:r w:rsidR="00F12A69">
        <w:rPr>
          <w:szCs w:val="22"/>
        </w:rPr>
        <w:t>y</w:t>
      </w:r>
      <w:r w:rsidR="00F12A69">
        <w:rPr>
          <w:szCs w:val="22"/>
        </w:rPr>
        <w:t>dande miljöpåverkan.  Slutligen stadgas i lagförslagets 16 § att landskap</w:t>
      </w:r>
      <w:r w:rsidR="00F12A69">
        <w:rPr>
          <w:szCs w:val="22"/>
        </w:rPr>
        <w:t>s</w:t>
      </w:r>
      <w:r w:rsidR="00F12A69">
        <w:rPr>
          <w:szCs w:val="22"/>
        </w:rPr>
        <w:t>regeringen kan i landskapsförordning ge närmare bestämmelser om sådana omständigheter som talar för eller emot en betydande miljöpåverkan.</w:t>
      </w:r>
    </w:p>
    <w:p w:rsidR="008634D3" w:rsidRDefault="008634D3">
      <w:pPr>
        <w:pStyle w:val="ANormal"/>
        <w:rPr>
          <w:szCs w:val="22"/>
        </w:rPr>
      </w:pPr>
      <w:r>
        <w:rPr>
          <w:szCs w:val="22"/>
        </w:rPr>
        <w:tab/>
        <w:t xml:space="preserve">Utskottet konstaterar att det </w:t>
      </w:r>
      <w:r w:rsidR="00267335">
        <w:rPr>
          <w:szCs w:val="22"/>
        </w:rPr>
        <w:t xml:space="preserve">inte är möjligt </w:t>
      </w:r>
      <w:r>
        <w:rPr>
          <w:szCs w:val="22"/>
        </w:rPr>
        <w:t xml:space="preserve">att utan förordningstexterna bilda sig en helhetsbild av effekterna av lagförslaget och </w:t>
      </w:r>
      <w:r w:rsidR="0067682D">
        <w:rPr>
          <w:szCs w:val="22"/>
        </w:rPr>
        <w:t xml:space="preserve">hur </w:t>
      </w:r>
      <w:r>
        <w:rPr>
          <w:szCs w:val="22"/>
        </w:rPr>
        <w:t>regelverket för MKB- respektive SMB-förfarandet</w:t>
      </w:r>
      <w:r w:rsidR="0067682D">
        <w:rPr>
          <w:szCs w:val="22"/>
        </w:rPr>
        <w:t xml:space="preserve"> slutligt kommer att utformas. </w:t>
      </w:r>
      <w:proofErr w:type="gramStart"/>
      <w:r w:rsidR="0067682D">
        <w:rPr>
          <w:szCs w:val="22"/>
        </w:rPr>
        <w:t xml:space="preserve">Utskottet </w:t>
      </w:r>
      <w:r w:rsidR="00AF201C">
        <w:rPr>
          <w:szCs w:val="22"/>
        </w:rPr>
        <w:t xml:space="preserve"> utgår</w:t>
      </w:r>
      <w:proofErr w:type="gramEnd"/>
      <w:r w:rsidR="00AF201C">
        <w:rPr>
          <w:szCs w:val="22"/>
        </w:rPr>
        <w:t xml:space="preserve"> från att förordningstexten/texterna kommer att komplettera lagb</w:t>
      </w:r>
      <w:r w:rsidR="00AF201C">
        <w:rPr>
          <w:szCs w:val="22"/>
        </w:rPr>
        <w:t>e</w:t>
      </w:r>
      <w:r w:rsidR="00AF201C">
        <w:rPr>
          <w:szCs w:val="22"/>
        </w:rPr>
        <w:t xml:space="preserve">stämmelserna </w:t>
      </w:r>
      <w:r w:rsidR="00C9584A">
        <w:rPr>
          <w:szCs w:val="22"/>
        </w:rPr>
        <w:t>på ett sådant sätt</w:t>
      </w:r>
      <w:r w:rsidR="0067682D">
        <w:rPr>
          <w:szCs w:val="22"/>
        </w:rPr>
        <w:t xml:space="preserve"> att det blir tydli</w:t>
      </w:r>
      <w:r w:rsidR="00735C12">
        <w:rPr>
          <w:szCs w:val="22"/>
        </w:rPr>
        <w:t xml:space="preserve">gt för </w:t>
      </w:r>
      <w:r w:rsidR="00AC23F7">
        <w:rPr>
          <w:szCs w:val="22"/>
        </w:rPr>
        <w:t xml:space="preserve">berörda aktörer </w:t>
      </w:r>
      <w:r w:rsidR="0067682D">
        <w:rPr>
          <w:szCs w:val="22"/>
        </w:rPr>
        <w:t xml:space="preserve">vilka villkor och krav som </w:t>
      </w:r>
      <w:r w:rsidR="00AC23F7">
        <w:rPr>
          <w:szCs w:val="22"/>
        </w:rPr>
        <w:t xml:space="preserve">gäller för förfarandena.  </w:t>
      </w:r>
      <w:r w:rsidR="000678BC">
        <w:rPr>
          <w:szCs w:val="22"/>
        </w:rPr>
        <w:t xml:space="preserve"> </w:t>
      </w:r>
      <w:r>
        <w:rPr>
          <w:szCs w:val="22"/>
        </w:rPr>
        <w:t xml:space="preserve"> </w:t>
      </w:r>
    </w:p>
    <w:p w:rsidR="00B85ECF" w:rsidRDefault="00B85ECF">
      <w:pPr>
        <w:pStyle w:val="ANormal"/>
        <w:rPr>
          <w:szCs w:val="22"/>
        </w:rPr>
      </w:pPr>
      <w:r>
        <w:rPr>
          <w:szCs w:val="22"/>
        </w:rPr>
        <w:tab/>
      </w:r>
    </w:p>
    <w:p w:rsidR="00267335" w:rsidRDefault="00267335">
      <w:pPr>
        <w:pStyle w:val="ANormal"/>
        <w:rPr>
          <w:i/>
        </w:rPr>
      </w:pPr>
    </w:p>
    <w:p w:rsidR="00DF48EA" w:rsidRDefault="00DF48EA">
      <w:pPr>
        <w:pStyle w:val="ANormal"/>
        <w:rPr>
          <w:i/>
        </w:rPr>
      </w:pPr>
      <w:r w:rsidRPr="007249CA">
        <w:rPr>
          <w:i/>
        </w:rPr>
        <w:lastRenderedPageBreak/>
        <w:t>Ekonomiska konsekvenser</w:t>
      </w:r>
    </w:p>
    <w:p w:rsidR="007249CA" w:rsidRPr="007249CA" w:rsidRDefault="007249CA">
      <w:pPr>
        <w:pStyle w:val="ANormal"/>
        <w:rPr>
          <w:i/>
          <w:sz w:val="10"/>
          <w:szCs w:val="10"/>
        </w:rPr>
      </w:pPr>
    </w:p>
    <w:p w:rsidR="00BA056C" w:rsidRDefault="00BA056C">
      <w:pPr>
        <w:pStyle w:val="ANormal"/>
      </w:pPr>
      <w:r>
        <w:t>I lagförslaget, under förslagets verkningar, konstateras att förslaget med a</w:t>
      </w:r>
      <w:r>
        <w:t>v</w:t>
      </w:r>
      <w:r>
        <w:t>seende på de krav som ställs på ÅMHM kommer att innebära ökade kos</w:t>
      </w:r>
      <w:r>
        <w:t>t</w:t>
      </w:r>
      <w:r>
        <w:t>nader för myndigheten. Hur mycket större arbetsbelastningen blir för my</w:t>
      </w:r>
      <w:r>
        <w:t>n</w:t>
      </w:r>
      <w:r>
        <w:t>digheten konstateras vara svårt att bedöma eftersom antalet ärenden som kräver en miljökonsekvensbedömning under åren har pendlat mellan noll och fem per år. Landskapsregeringens bedömning är att arbetsbelastningen kommer att öka med i genomsnitt en månads arbete per år för en person.</w:t>
      </w:r>
    </w:p>
    <w:p w:rsidR="002F6FD9" w:rsidRPr="007F3ECA" w:rsidRDefault="00BA056C" w:rsidP="002F6FD9">
      <w:pPr>
        <w:pStyle w:val="ANormal"/>
      </w:pPr>
      <w:r>
        <w:tab/>
        <w:t xml:space="preserve">I lagförslaget redogörs inte för eventuella ekonomiska </w:t>
      </w:r>
      <w:r w:rsidR="003D6D6B">
        <w:t>och administr</w:t>
      </w:r>
      <w:r w:rsidR="003D6D6B">
        <w:t>a</w:t>
      </w:r>
      <w:r w:rsidR="003D6D6B">
        <w:t xml:space="preserve">tiva </w:t>
      </w:r>
      <w:r>
        <w:t xml:space="preserve">konsekvenser </w:t>
      </w:r>
      <w:r w:rsidR="00B97D18">
        <w:t xml:space="preserve">för verksamhetsutövarna. </w:t>
      </w:r>
      <w:r w:rsidR="007E5F6E">
        <w:t>Den största kostnaden i sa</w:t>
      </w:r>
      <w:r w:rsidR="007E5F6E">
        <w:t>m</w:t>
      </w:r>
      <w:r w:rsidR="007E5F6E">
        <w:t>band med MKB-förfarandet orsakas av utarbetandet av en miljökons</w:t>
      </w:r>
      <w:r w:rsidR="007E5F6E">
        <w:t>e</w:t>
      </w:r>
      <w:r w:rsidR="007E5F6E">
        <w:t>kvensbeskrivning och de bakgrundsutredningar som krävs för detta</w:t>
      </w:r>
      <w:r w:rsidR="008E2DBE">
        <w:t>.</w:t>
      </w:r>
      <w:r w:rsidR="007E5F6E">
        <w:t xml:space="preserve"> </w:t>
      </w:r>
      <w:r w:rsidR="00694184">
        <w:t xml:space="preserve">Av lagförslagets 14 § framgår att verksamhetsutövaren ska bekosta </w:t>
      </w:r>
      <w:r w:rsidR="007F3ECA">
        <w:t>miljöko</w:t>
      </w:r>
      <w:r w:rsidR="007F3ECA">
        <w:t>n</w:t>
      </w:r>
      <w:r w:rsidR="007F3ECA">
        <w:t>sekvensbeskrivningen för ett projekt samt förfarandet när miljökons</w:t>
      </w:r>
      <w:r w:rsidR="007F3ECA">
        <w:t>e</w:t>
      </w:r>
      <w:r w:rsidR="007F3ECA">
        <w:t>kvensbeskrivningen tas fram. I detaljmotiveringen förtydligas att den som har ansvar för och avsikt att genomföra ett projekt också ska stå för kostn</w:t>
      </w:r>
      <w:r w:rsidR="007F3ECA">
        <w:t>a</w:t>
      </w:r>
      <w:r w:rsidR="007F3ECA">
        <w:t xml:space="preserve">derna för hela miljökonsekvensbedömningen. </w:t>
      </w:r>
      <w:r w:rsidR="00C439D0">
        <w:t>Även enligt gällande lan</w:t>
      </w:r>
      <w:r w:rsidR="00C439D0">
        <w:t>d</w:t>
      </w:r>
      <w:r w:rsidR="00C439D0">
        <w:t xml:space="preserve">skapslag om miljökonsekvensbedömning är det verksamhetsutövaren som ska bekosta och </w:t>
      </w:r>
      <w:r w:rsidR="00FF372E">
        <w:t xml:space="preserve">ansvara </w:t>
      </w:r>
      <w:r w:rsidR="00FF072B">
        <w:t xml:space="preserve">för </w:t>
      </w:r>
      <w:r w:rsidR="00FF372E">
        <w:t>att en miljökonsekvensbedömning görs för pr</w:t>
      </w:r>
      <w:r w:rsidR="00FF372E">
        <w:t>o</w:t>
      </w:r>
      <w:r w:rsidR="00FF372E">
        <w:t xml:space="preserve">jekt som </w:t>
      </w:r>
      <w:r w:rsidR="00267335">
        <w:t xml:space="preserve">kräver det. </w:t>
      </w:r>
      <w:r w:rsidR="00FF372E">
        <w:t xml:space="preserve">Nytt </w:t>
      </w:r>
      <w:r w:rsidR="00272A80">
        <w:t>i det ändrade MKB-direktivet är dock dels att verksamhetsutövaren ska se till att miljökonsekvensbeskrivningen utarbetas av behöriga experter dels att den ansvariga myndigheten, i landskapet ÅMHM, ska se till att den har, eller vid behov kan tillgå, tillräcklig expertis för att granska miljökonsekvensbeskrivningen. Av lagförslagets 9 § fra</w:t>
      </w:r>
      <w:r w:rsidR="00272A80">
        <w:t>m</w:t>
      </w:r>
      <w:r w:rsidR="00272A80">
        <w:t xml:space="preserve">går att landskapsregeringen i landskapsförordning </w:t>
      </w:r>
      <w:r w:rsidR="00FF072B">
        <w:t xml:space="preserve">kan </w:t>
      </w:r>
      <w:r w:rsidR="00272A80">
        <w:t>utfärda närmare b</w:t>
      </w:r>
      <w:r w:rsidR="00272A80">
        <w:t>e</w:t>
      </w:r>
      <w:r w:rsidR="00272A80">
        <w:t xml:space="preserve">stämmelser </w:t>
      </w:r>
      <w:r w:rsidR="007E5F6E">
        <w:t xml:space="preserve">om vilken kompetens som krävs av de experter som utarbetar miljökonsekvensbeskrivningar. Om landskapsregeringen väljer att införa särskilda kompetenskrav </w:t>
      </w:r>
      <w:r w:rsidR="00267335">
        <w:t>för</w:t>
      </w:r>
      <w:r w:rsidR="007E5F6E">
        <w:t xml:space="preserve"> de experter som utarbetar miljökonsekvensb</w:t>
      </w:r>
      <w:r w:rsidR="007E5F6E">
        <w:t>e</w:t>
      </w:r>
      <w:r w:rsidR="007E5F6E">
        <w:t xml:space="preserve">skrivningar </w:t>
      </w:r>
      <w:r w:rsidR="007E5F6E" w:rsidRPr="007F3ECA">
        <w:t xml:space="preserve">kan </w:t>
      </w:r>
      <w:r w:rsidR="007E5F6E">
        <w:t xml:space="preserve">verksamhetsutövarens </w:t>
      </w:r>
      <w:r w:rsidR="007E5F6E" w:rsidRPr="007F3ECA">
        <w:t xml:space="preserve">kostnader öka </w:t>
      </w:r>
      <w:r w:rsidR="00E86641">
        <w:t xml:space="preserve">i </w:t>
      </w:r>
      <w:r w:rsidR="007E5F6E" w:rsidRPr="007F3ECA">
        <w:t>någo</w:t>
      </w:r>
      <w:r w:rsidR="00E86641">
        <w:t>n mån.</w:t>
      </w:r>
      <w:r w:rsidR="00FF372E">
        <w:t xml:space="preserve"> </w:t>
      </w:r>
      <w:r w:rsidR="007E5F6E">
        <w:t>Av la</w:t>
      </w:r>
      <w:r w:rsidR="007E5F6E">
        <w:t>g</w:t>
      </w:r>
      <w:r w:rsidR="007E5F6E">
        <w:t>förslagets 10 § framgår att ÅMHM ska se till att myndigheten har eller kan tillgå tillräcklig expertis för att granska miljökonsekvensbeskrivningen.</w:t>
      </w:r>
      <w:r w:rsidR="00E86641">
        <w:t xml:space="preserve"> E</w:t>
      </w:r>
      <w:r w:rsidR="00E86641">
        <w:t>f</w:t>
      </w:r>
      <w:r w:rsidR="00E86641">
        <w:t xml:space="preserve">tersom </w:t>
      </w:r>
      <w:proofErr w:type="spellStart"/>
      <w:r w:rsidR="00E86641">
        <w:t>ÅMHM:s</w:t>
      </w:r>
      <w:proofErr w:type="spellEnd"/>
      <w:r w:rsidR="00E86641">
        <w:t xml:space="preserve"> </w:t>
      </w:r>
      <w:r w:rsidR="003044A0">
        <w:t xml:space="preserve">personella </w:t>
      </w:r>
      <w:r w:rsidR="00E86641">
        <w:t xml:space="preserve">resurser är begränsade bedömer utskottet att det finns </w:t>
      </w:r>
      <w:r w:rsidR="002F6FD9">
        <w:t xml:space="preserve">en </w:t>
      </w:r>
      <w:r w:rsidR="00E86641">
        <w:t>risk för att ÅMHM i större utsträckning än myndigh</w:t>
      </w:r>
      <w:r w:rsidR="002F6FD9">
        <w:t>e</w:t>
      </w:r>
      <w:r w:rsidR="00E86641">
        <w:t>ter i o</w:t>
      </w:r>
      <w:r w:rsidR="00E86641">
        <w:t>m</w:t>
      </w:r>
      <w:r w:rsidR="00E86641">
        <w:t xml:space="preserve">kringliggande regioner behöver anlita utomstående expertis, vilket </w:t>
      </w:r>
      <w:r w:rsidR="00FF072B">
        <w:t xml:space="preserve">kan </w:t>
      </w:r>
      <w:r w:rsidR="00E86641">
        <w:t>i</w:t>
      </w:r>
      <w:r w:rsidR="00E86641">
        <w:t>n</w:t>
      </w:r>
      <w:r w:rsidR="00E86641">
        <w:t>nebär</w:t>
      </w:r>
      <w:r w:rsidR="00FF072B">
        <w:t>a</w:t>
      </w:r>
      <w:r w:rsidR="00E86641">
        <w:t xml:space="preserve"> att de åländska verksamhetsutövarna</w:t>
      </w:r>
      <w:r w:rsidR="002F6FD9">
        <w:t>s kost</w:t>
      </w:r>
      <w:r w:rsidR="00FF072B">
        <w:t>nader</w:t>
      </w:r>
      <w:r w:rsidR="002F6FD9">
        <w:t xml:space="preserve"> för förfarandet ökar</w:t>
      </w:r>
      <w:r w:rsidR="00FF072B">
        <w:t xml:space="preserve"> och försätter dem </w:t>
      </w:r>
      <w:r w:rsidR="002F6FD9">
        <w:t>i en sämre konkurrenssituation jämfört med verksa</w:t>
      </w:r>
      <w:r w:rsidR="002F6FD9">
        <w:t>m</w:t>
      </w:r>
      <w:r w:rsidR="002F6FD9">
        <w:t xml:space="preserve">hetsutövare i omkringliggande regioner. Utskottet ber landskapsregeringen följa med utvecklingen till den delen. </w:t>
      </w:r>
    </w:p>
    <w:p w:rsidR="002F6FD9" w:rsidRDefault="002F6FD9">
      <w:pPr>
        <w:pStyle w:val="RubrikA"/>
      </w:pPr>
      <w:bookmarkStart w:id="10" w:name="_Toc529800936"/>
      <w:bookmarkStart w:id="11" w:name="_Toc508112269"/>
    </w:p>
    <w:p w:rsidR="002401D0" w:rsidRDefault="002401D0">
      <w:pPr>
        <w:pStyle w:val="RubrikA"/>
      </w:pPr>
      <w:r>
        <w:t>Ärendets behandling</w:t>
      </w:r>
      <w:bookmarkEnd w:id="10"/>
      <w:bookmarkEnd w:id="11"/>
    </w:p>
    <w:p w:rsidR="002401D0" w:rsidRDefault="002401D0">
      <w:pPr>
        <w:pStyle w:val="Rubrikmellanrum"/>
      </w:pPr>
    </w:p>
    <w:p w:rsidR="0007439E" w:rsidRDefault="0007439E" w:rsidP="0007439E">
      <w:pPr>
        <w:pStyle w:val="ANormal"/>
      </w:pPr>
      <w:r>
        <w:t>Lagtinget har den 12 mars 201</w:t>
      </w:r>
      <w:r w:rsidR="003044A0">
        <w:t>8</w:t>
      </w:r>
      <w:r w:rsidRPr="009A273F">
        <w:t xml:space="preserve"> </w:t>
      </w:r>
      <w:proofErr w:type="spellStart"/>
      <w:r w:rsidRPr="009A273F">
        <w:t>inbegärt</w:t>
      </w:r>
      <w:proofErr w:type="spellEnd"/>
      <w:r w:rsidRPr="009A273F">
        <w:t xml:space="preserve"> </w:t>
      </w:r>
      <w:r>
        <w:t>social- och miljöutskottets</w:t>
      </w:r>
      <w:r w:rsidRPr="009A273F">
        <w:t xml:space="preserve"> yt</w:t>
      </w:r>
      <w:r w:rsidRPr="009A273F">
        <w:t>t</w:t>
      </w:r>
      <w:r w:rsidRPr="009A273F">
        <w:t>rande i ärendet.</w:t>
      </w:r>
    </w:p>
    <w:p w:rsidR="0007439E" w:rsidRDefault="0007439E" w:rsidP="0007439E">
      <w:pPr>
        <w:pStyle w:val="ANormal"/>
      </w:pPr>
      <w:r>
        <w:tab/>
        <w:t>Utskottet har i ärendet hört</w:t>
      </w:r>
      <w:r w:rsidR="00833100">
        <w:t xml:space="preserve"> </w:t>
      </w:r>
      <w:proofErr w:type="spellStart"/>
      <w:r w:rsidR="00833100">
        <w:t>vicelantrådet</w:t>
      </w:r>
      <w:proofErr w:type="spellEnd"/>
      <w:r w:rsidR="00833100">
        <w:t xml:space="preserve"> Camilla Gunell, </w:t>
      </w:r>
      <w:r w:rsidR="00FC0385">
        <w:t>myndighet</w:t>
      </w:r>
      <w:r w:rsidR="00FC0385">
        <w:t>s</w:t>
      </w:r>
      <w:r w:rsidR="00FC0385">
        <w:t xml:space="preserve">chefen Stig Abrahamsson från ÅMHM, </w:t>
      </w:r>
      <w:r w:rsidR="00833100">
        <w:t xml:space="preserve">byråchefen Helena Blomqvist, samhällsplaneraren Karolina Gottberg, vikarierande kansliledaren Simon Holmström från Ålands Natur och Miljö r.f., lagberedaren Patrik Lönngren, förbundsdirektören Magnus Sandberg från Ålands kommunförbund </w:t>
      </w:r>
      <w:proofErr w:type="spellStart"/>
      <w:r w:rsidR="00833100">
        <w:t>k.f</w:t>
      </w:r>
      <w:proofErr w:type="spellEnd"/>
      <w:r w:rsidR="00833100">
        <w:t xml:space="preserve">., miljöinspektören Mikael </w:t>
      </w:r>
      <w:proofErr w:type="spellStart"/>
      <w:r w:rsidR="00833100">
        <w:t>Stjärnfelt</w:t>
      </w:r>
      <w:proofErr w:type="spellEnd"/>
      <w:r w:rsidR="00833100">
        <w:t xml:space="preserve"> från ÅMHM och myndighetsjuristen Robert Sundström från ÅMHM.</w:t>
      </w:r>
    </w:p>
    <w:p w:rsidR="0007439E" w:rsidRPr="00D91EE7" w:rsidRDefault="0007439E" w:rsidP="0007439E">
      <w:pPr>
        <w:pStyle w:val="ANormal"/>
      </w:pPr>
      <w:r>
        <w:tab/>
      </w:r>
      <w:r w:rsidRPr="009A273F">
        <w:t xml:space="preserve">I ärendets avgörande behandling deltog </w:t>
      </w:r>
      <w:r>
        <w:t>ordföranden Carina Aaltonen, v</w:t>
      </w:r>
      <w:r w:rsidRPr="00D91EE7">
        <w:t>iceordföranden Mikael Lindholm</w:t>
      </w:r>
      <w:r>
        <w:t xml:space="preserve"> samt </w:t>
      </w:r>
      <w:r w:rsidRPr="00D91EE7">
        <w:t xml:space="preserve">ledamöterna </w:t>
      </w:r>
      <w:r>
        <w:t xml:space="preserve">Fredrik Fredlund, Igge Holmberg, Annette Holmberg-Jansson, </w:t>
      </w:r>
      <w:r w:rsidRPr="00D91EE7">
        <w:t>Torsten Sundblom och Pe</w:t>
      </w:r>
      <w:r w:rsidRPr="00D91EE7">
        <w:t>r</w:t>
      </w:r>
      <w:r w:rsidRPr="00D91EE7">
        <w:t>nilla Söderlund.</w:t>
      </w: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508112270"/>
      <w:r>
        <w:lastRenderedPageBreak/>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833100" w:rsidRDefault="002401D0" w:rsidP="00833100">
      <w:pPr>
        <w:pStyle w:val="Klam"/>
      </w:pPr>
      <w:proofErr w:type="gramStart"/>
      <w:r>
        <w:t>att lagtinget</w:t>
      </w:r>
      <w:r w:rsidR="0007439E">
        <w:t xml:space="preserve"> antar lagförslagen </w:t>
      </w:r>
      <w:r w:rsidR="00833100">
        <w:t>i oförändrad lydelse.</w:t>
      </w:r>
      <w:proofErr w:type="gramEnd"/>
    </w:p>
    <w:p w:rsidR="002401D0" w:rsidRDefault="002401D0">
      <w:pPr>
        <w:pStyle w:val="Klam"/>
      </w:pPr>
    </w:p>
    <w:p w:rsidR="00833100" w:rsidRPr="004F7436" w:rsidRDefault="0007439E" w:rsidP="00833100">
      <w:pPr>
        <w:pStyle w:val="ANormal"/>
        <w:rPr>
          <w:lang w:val="sv-FI"/>
        </w:rPr>
      </w:pPr>
      <w:r w:rsidRPr="004F7436">
        <w:tab/>
      </w:r>
    </w:p>
    <w:p w:rsidR="0007439E" w:rsidRPr="004F7436" w:rsidRDefault="0007439E" w:rsidP="00833100">
      <w:pPr>
        <w:pStyle w:val="ANormal"/>
      </w:pPr>
      <w:bookmarkStart w:id="14" w:name="_Hlk507079386"/>
      <w:r w:rsidRPr="004F7436">
        <w:tab/>
      </w:r>
      <w:bookmarkEnd w:id="14"/>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446961">
            <w:pPr>
              <w:pStyle w:val="ANormal"/>
              <w:keepNext/>
            </w:pPr>
            <w:r>
              <w:t xml:space="preserve">Mariehamn den </w:t>
            </w:r>
            <w:r w:rsidR="00446961">
              <w:t>5</w:t>
            </w:r>
            <w:r w:rsidR="0007439E">
              <w:t xml:space="preserve"> </w:t>
            </w:r>
            <w:r w:rsidR="00833100">
              <w:t>april</w:t>
            </w:r>
            <w:r w:rsidR="0007439E">
              <w:t xml:space="preserve">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07439E">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07439E">
            <w:pPr>
              <w:pStyle w:val="ANormal"/>
              <w:keepNext/>
            </w:pPr>
            <w:r>
              <w:t>Carina Strand</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C0" w:rsidRDefault="00F214C0">
      <w:r>
        <w:separator/>
      </w:r>
    </w:p>
  </w:endnote>
  <w:endnote w:type="continuationSeparator" w:id="0">
    <w:p w:rsidR="00F214C0" w:rsidRDefault="00F2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4D376D">
      <w:rPr>
        <w:noProof/>
        <w:lang w:val="fi-FI"/>
      </w:rPr>
      <w:t>SMU0720172018.docx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C0" w:rsidRDefault="00F214C0">
      <w:r>
        <w:separator/>
      </w:r>
    </w:p>
  </w:footnote>
  <w:footnote w:type="continuationSeparator" w:id="0">
    <w:p w:rsidR="00F214C0" w:rsidRDefault="00F2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B5817">
      <w:rPr>
        <w:rStyle w:val="Sidnummer"/>
        <w:noProof/>
      </w:rPr>
      <w:t>4</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B5817">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39E"/>
    <w:rsid w:val="00015E9C"/>
    <w:rsid w:val="0004463B"/>
    <w:rsid w:val="000513AF"/>
    <w:rsid w:val="00051556"/>
    <w:rsid w:val="000678BC"/>
    <w:rsid w:val="0007439E"/>
    <w:rsid w:val="000B2DC9"/>
    <w:rsid w:val="000F61C2"/>
    <w:rsid w:val="000F67E1"/>
    <w:rsid w:val="000F7417"/>
    <w:rsid w:val="0014415D"/>
    <w:rsid w:val="0015337C"/>
    <w:rsid w:val="0016195C"/>
    <w:rsid w:val="001B29D0"/>
    <w:rsid w:val="001C4721"/>
    <w:rsid w:val="001E3A80"/>
    <w:rsid w:val="002401D0"/>
    <w:rsid w:val="0024628E"/>
    <w:rsid w:val="00267335"/>
    <w:rsid w:val="00272A80"/>
    <w:rsid w:val="002D5F85"/>
    <w:rsid w:val="002F6FD9"/>
    <w:rsid w:val="003044A0"/>
    <w:rsid w:val="0036359C"/>
    <w:rsid w:val="00372E2E"/>
    <w:rsid w:val="003B5817"/>
    <w:rsid w:val="003D6D6B"/>
    <w:rsid w:val="003F7BC0"/>
    <w:rsid w:val="00446961"/>
    <w:rsid w:val="004C0A79"/>
    <w:rsid w:val="004C5CB9"/>
    <w:rsid w:val="004D376D"/>
    <w:rsid w:val="004F3317"/>
    <w:rsid w:val="0051428F"/>
    <w:rsid w:val="005C51E1"/>
    <w:rsid w:val="006001C5"/>
    <w:rsid w:val="006721F7"/>
    <w:rsid w:val="00674251"/>
    <w:rsid w:val="0067682D"/>
    <w:rsid w:val="006830A7"/>
    <w:rsid w:val="00694184"/>
    <w:rsid w:val="006B2E9E"/>
    <w:rsid w:val="00723B93"/>
    <w:rsid w:val="007249CA"/>
    <w:rsid w:val="00735C12"/>
    <w:rsid w:val="00754EF6"/>
    <w:rsid w:val="00782702"/>
    <w:rsid w:val="007A387A"/>
    <w:rsid w:val="007B30A8"/>
    <w:rsid w:val="007E06E3"/>
    <w:rsid w:val="007E5F6E"/>
    <w:rsid w:val="007F3ECA"/>
    <w:rsid w:val="00811D50"/>
    <w:rsid w:val="00817B04"/>
    <w:rsid w:val="00833100"/>
    <w:rsid w:val="008634D3"/>
    <w:rsid w:val="008E2DBE"/>
    <w:rsid w:val="00953FCE"/>
    <w:rsid w:val="00957C36"/>
    <w:rsid w:val="009D73B2"/>
    <w:rsid w:val="009D7C00"/>
    <w:rsid w:val="009F7CE2"/>
    <w:rsid w:val="00A46CF5"/>
    <w:rsid w:val="00A71B22"/>
    <w:rsid w:val="00AC23F7"/>
    <w:rsid w:val="00AF201C"/>
    <w:rsid w:val="00B32E91"/>
    <w:rsid w:val="00B36A8F"/>
    <w:rsid w:val="00B7022F"/>
    <w:rsid w:val="00B85ECF"/>
    <w:rsid w:val="00B90DEC"/>
    <w:rsid w:val="00B97D18"/>
    <w:rsid w:val="00BA056C"/>
    <w:rsid w:val="00BE0C62"/>
    <w:rsid w:val="00C14EB4"/>
    <w:rsid w:val="00C439D0"/>
    <w:rsid w:val="00C9584A"/>
    <w:rsid w:val="00CB087E"/>
    <w:rsid w:val="00CF700E"/>
    <w:rsid w:val="00DC45B2"/>
    <w:rsid w:val="00DF48EA"/>
    <w:rsid w:val="00E36C27"/>
    <w:rsid w:val="00E86641"/>
    <w:rsid w:val="00EA2CB2"/>
    <w:rsid w:val="00ED50DC"/>
    <w:rsid w:val="00F12A69"/>
    <w:rsid w:val="00F1582C"/>
    <w:rsid w:val="00F214C0"/>
    <w:rsid w:val="00F31675"/>
    <w:rsid w:val="00FC0385"/>
    <w:rsid w:val="00FF072B"/>
    <w:rsid w:val="00FF372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4F3317"/>
    <w:rPr>
      <w:rFonts w:ascii="Tahoma" w:hAnsi="Tahoma" w:cs="Tahoma"/>
      <w:sz w:val="16"/>
      <w:szCs w:val="16"/>
    </w:rPr>
  </w:style>
  <w:style w:type="character" w:customStyle="1" w:styleId="BallongtextChar">
    <w:name w:val="Ballongtext Char"/>
    <w:basedOn w:val="Standardstycketeckensnitt"/>
    <w:link w:val="Ballongtext"/>
    <w:rsid w:val="004F3317"/>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3E0D-4DC8-42ED-AE0B-974F783F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4</Pages>
  <Words>1560</Words>
  <Characters>8270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Social- och miljöutskottets betänkande nr 7/2017-2018</vt:lpstr>
    </vt:vector>
  </TitlesOfParts>
  <Company>Ålands lagting</Company>
  <LinksUpToDate>false</LinksUpToDate>
  <CharactersWithSpaces>9811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7/2017-2018</dc:title>
  <dc:creator>Jessica Laaksonen</dc:creator>
  <cp:lastModifiedBy>Jessica Laaksonen</cp:lastModifiedBy>
  <cp:revision>4</cp:revision>
  <cp:lastPrinted>2018-04-05T10:10:00Z</cp:lastPrinted>
  <dcterms:created xsi:type="dcterms:W3CDTF">2018-04-05T10:10:00Z</dcterms:created>
  <dcterms:modified xsi:type="dcterms:W3CDTF">2018-04-05T12:43:00Z</dcterms:modified>
</cp:coreProperties>
</file>