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C35ED">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0C35ED">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34E25">
            <w:pPr>
              <w:pStyle w:val="xDokTypNr"/>
            </w:pPr>
            <w:r>
              <w:t xml:space="preserve">BETÄNKANDE nr </w:t>
            </w:r>
            <w:r w:rsidR="00134E25">
              <w:t>11</w:t>
            </w:r>
            <w:r>
              <w:t>/20</w:t>
            </w:r>
            <w:r w:rsidR="00723B93">
              <w:t>1</w:t>
            </w:r>
            <w:r w:rsidR="000F2D12">
              <w:t>7</w:t>
            </w:r>
            <w:r w:rsidR="0015337C">
              <w:t>-20</w:t>
            </w:r>
            <w:r w:rsidR="009F7CE2">
              <w:t>1</w:t>
            </w:r>
            <w:r w:rsidR="000F2D12">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0F2D12">
            <w:pPr>
              <w:pStyle w:val="xAvsandare2"/>
            </w:pPr>
            <w:r>
              <w:t>Finans- och närings</w:t>
            </w:r>
            <w:r w:rsidR="002401D0">
              <w:t>utskottet</w:t>
            </w:r>
          </w:p>
        </w:tc>
        <w:tc>
          <w:tcPr>
            <w:tcW w:w="1725" w:type="dxa"/>
            <w:vAlign w:val="center"/>
          </w:tcPr>
          <w:p w:rsidR="002401D0" w:rsidRDefault="002401D0" w:rsidP="00134E25">
            <w:pPr>
              <w:pStyle w:val="xDatum1"/>
            </w:pPr>
            <w:r>
              <w:t>20</w:t>
            </w:r>
            <w:r w:rsidR="00B32E91">
              <w:t>1</w:t>
            </w:r>
            <w:r w:rsidR="000F2D12">
              <w:t>7-3-</w:t>
            </w:r>
            <w:r w:rsidR="00134E25">
              <w:t>28</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0F2D12">
      <w:pPr>
        <w:pStyle w:val="ArendeOverRubrik"/>
      </w:pPr>
      <w:r>
        <w:lastRenderedPageBreak/>
        <w:t>Finans- och närings</w:t>
      </w:r>
      <w:r w:rsidR="002401D0">
        <w:t>utskottets betänkande</w:t>
      </w:r>
    </w:p>
    <w:p w:rsidR="002401D0" w:rsidRDefault="000F2D12">
      <w:pPr>
        <w:pStyle w:val="ArendeRubrik"/>
      </w:pPr>
      <w:r>
        <w:t>Befrielse från fastighetsskatt</w:t>
      </w:r>
    </w:p>
    <w:p w:rsidR="002401D0" w:rsidRDefault="000C35ED">
      <w:pPr>
        <w:pStyle w:val="ArendeUnderRubrik"/>
      </w:pPr>
      <w:hyperlink r:id="rId12" w:history="1">
        <w:r w:rsidR="000F2D12" w:rsidRPr="000C35ED">
          <w:rPr>
            <w:rStyle w:val="Hyperlnk"/>
          </w:rPr>
          <w:t>Landskapsregeringens lagförslag nr 11/2017-2018</w:t>
        </w:r>
      </w:hyperlink>
      <w:bookmarkStart w:id="1" w:name="_GoBack"/>
      <w:bookmarkEnd w:id="1"/>
    </w:p>
    <w:p w:rsidR="002401D0" w:rsidRDefault="002401D0">
      <w:pPr>
        <w:pStyle w:val="ANormal"/>
      </w:pPr>
    </w:p>
    <w:p w:rsidR="002401D0" w:rsidRDefault="002401D0">
      <w:pPr>
        <w:pStyle w:val="Innehll1"/>
      </w:pPr>
      <w:r>
        <w:t>INNEHÅLL</w:t>
      </w:r>
    </w:p>
    <w:p w:rsidR="0043205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8107975" w:history="1">
        <w:r w:rsidR="00432058" w:rsidRPr="00173E8E">
          <w:rPr>
            <w:rStyle w:val="Hyperlnk"/>
          </w:rPr>
          <w:t>Sammanfattning</w:t>
        </w:r>
        <w:r w:rsidR="00432058">
          <w:rPr>
            <w:webHidden/>
          </w:rPr>
          <w:tab/>
        </w:r>
        <w:r w:rsidR="00432058">
          <w:rPr>
            <w:webHidden/>
          </w:rPr>
          <w:fldChar w:fldCharType="begin"/>
        </w:r>
        <w:r w:rsidR="00432058">
          <w:rPr>
            <w:webHidden/>
          </w:rPr>
          <w:instrText xml:space="preserve"> PAGEREF _Toc508107975 \h </w:instrText>
        </w:r>
        <w:r w:rsidR="00432058">
          <w:rPr>
            <w:webHidden/>
          </w:rPr>
        </w:r>
        <w:r w:rsidR="00432058">
          <w:rPr>
            <w:webHidden/>
          </w:rPr>
          <w:fldChar w:fldCharType="separate"/>
        </w:r>
        <w:r w:rsidR="004557BC">
          <w:rPr>
            <w:webHidden/>
          </w:rPr>
          <w:t>1</w:t>
        </w:r>
        <w:r w:rsidR="00432058">
          <w:rPr>
            <w:webHidden/>
          </w:rPr>
          <w:fldChar w:fldCharType="end"/>
        </w:r>
      </w:hyperlink>
    </w:p>
    <w:p w:rsidR="00432058" w:rsidRDefault="000C35ED">
      <w:pPr>
        <w:pStyle w:val="Innehll2"/>
        <w:rPr>
          <w:rFonts w:asciiTheme="minorHAnsi" w:eastAsiaTheme="minorEastAsia" w:hAnsiTheme="minorHAnsi" w:cstheme="minorBidi"/>
          <w:sz w:val="22"/>
          <w:szCs w:val="22"/>
          <w:lang w:val="sv-FI" w:eastAsia="sv-FI"/>
        </w:rPr>
      </w:pPr>
      <w:hyperlink w:anchor="_Toc508107976" w:history="1">
        <w:r w:rsidR="00432058" w:rsidRPr="00173E8E">
          <w:rPr>
            <w:rStyle w:val="Hyperlnk"/>
          </w:rPr>
          <w:t>Landskapsregeringens förslag</w:t>
        </w:r>
        <w:r w:rsidR="00432058">
          <w:rPr>
            <w:webHidden/>
          </w:rPr>
          <w:tab/>
        </w:r>
        <w:r w:rsidR="00432058">
          <w:rPr>
            <w:webHidden/>
          </w:rPr>
          <w:fldChar w:fldCharType="begin"/>
        </w:r>
        <w:r w:rsidR="00432058">
          <w:rPr>
            <w:webHidden/>
          </w:rPr>
          <w:instrText xml:space="preserve"> PAGEREF _Toc508107976 \h </w:instrText>
        </w:r>
        <w:r w:rsidR="00432058">
          <w:rPr>
            <w:webHidden/>
          </w:rPr>
        </w:r>
        <w:r w:rsidR="00432058">
          <w:rPr>
            <w:webHidden/>
          </w:rPr>
          <w:fldChar w:fldCharType="separate"/>
        </w:r>
        <w:r w:rsidR="004557BC">
          <w:rPr>
            <w:webHidden/>
          </w:rPr>
          <w:t>1</w:t>
        </w:r>
        <w:r w:rsidR="00432058">
          <w:rPr>
            <w:webHidden/>
          </w:rPr>
          <w:fldChar w:fldCharType="end"/>
        </w:r>
      </w:hyperlink>
    </w:p>
    <w:p w:rsidR="00432058" w:rsidRDefault="000C35ED">
      <w:pPr>
        <w:pStyle w:val="Innehll2"/>
        <w:rPr>
          <w:rFonts w:asciiTheme="minorHAnsi" w:eastAsiaTheme="minorEastAsia" w:hAnsiTheme="minorHAnsi" w:cstheme="minorBidi"/>
          <w:sz w:val="22"/>
          <w:szCs w:val="22"/>
          <w:lang w:val="sv-FI" w:eastAsia="sv-FI"/>
        </w:rPr>
      </w:pPr>
      <w:hyperlink w:anchor="_Toc508107977" w:history="1">
        <w:r w:rsidR="00432058" w:rsidRPr="00173E8E">
          <w:rPr>
            <w:rStyle w:val="Hyperlnk"/>
          </w:rPr>
          <w:t>Utskottets förslag</w:t>
        </w:r>
        <w:r w:rsidR="00432058">
          <w:rPr>
            <w:webHidden/>
          </w:rPr>
          <w:tab/>
        </w:r>
        <w:r w:rsidR="00432058">
          <w:rPr>
            <w:webHidden/>
          </w:rPr>
          <w:fldChar w:fldCharType="begin"/>
        </w:r>
        <w:r w:rsidR="00432058">
          <w:rPr>
            <w:webHidden/>
          </w:rPr>
          <w:instrText xml:space="preserve"> PAGEREF _Toc508107977 \h </w:instrText>
        </w:r>
        <w:r w:rsidR="00432058">
          <w:rPr>
            <w:webHidden/>
          </w:rPr>
        </w:r>
        <w:r w:rsidR="00432058">
          <w:rPr>
            <w:webHidden/>
          </w:rPr>
          <w:fldChar w:fldCharType="separate"/>
        </w:r>
        <w:r w:rsidR="004557BC">
          <w:rPr>
            <w:webHidden/>
          </w:rPr>
          <w:t>1</w:t>
        </w:r>
        <w:r w:rsidR="00432058">
          <w:rPr>
            <w:webHidden/>
          </w:rPr>
          <w:fldChar w:fldCharType="end"/>
        </w:r>
      </w:hyperlink>
    </w:p>
    <w:p w:rsidR="00432058" w:rsidRDefault="000C35ED">
      <w:pPr>
        <w:pStyle w:val="Innehll1"/>
        <w:rPr>
          <w:rFonts w:asciiTheme="minorHAnsi" w:eastAsiaTheme="minorEastAsia" w:hAnsiTheme="minorHAnsi" w:cstheme="minorBidi"/>
          <w:sz w:val="22"/>
          <w:szCs w:val="22"/>
          <w:lang w:val="sv-FI" w:eastAsia="sv-FI"/>
        </w:rPr>
      </w:pPr>
      <w:hyperlink w:anchor="_Toc508107978" w:history="1">
        <w:r w:rsidR="00432058" w:rsidRPr="00173E8E">
          <w:rPr>
            <w:rStyle w:val="Hyperlnk"/>
          </w:rPr>
          <w:t>Utskottets synpunkter</w:t>
        </w:r>
        <w:r w:rsidR="00432058">
          <w:rPr>
            <w:webHidden/>
          </w:rPr>
          <w:tab/>
        </w:r>
        <w:r w:rsidR="00432058">
          <w:rPr>
            <w:webHidden/>
          </w:rPr>
          <w:fldChar w:fldCharType="begin"/>
        </w:r>
        <w:r w:rsidR="00432058">
          <w:rPr>
            <w:webHidden/>
          </w:rPr>
          <w:instrText xml:space="preserve"> PAGEREF _Toc508107978 \h </w:instrText>
        </w:r>
        <w:r w:rsidR="00432058">
          <w:rPr>
            <w:webHidden/>
          </w:rPr>
        </w:r>
        <w:r w:rsidR="00432058">
          <w:rPr>
            <w:webHidden/>
          </w:rPr>
          <w:fldChar w:fldCharType="separate"/>
        </w:r>
        <w:r w:rsidR="004557BC">
          <w:rPr>
            <w:webHidden/>
          </w:rPr>
          <w:t>1</w:t>
        </w:r>
        <w:r w:rsidR="00432058">
          <w:rPr>
            <w:webHidden/>
          </w:rPr>
          <w:fldChar w:fldCharType="end"/>
        </w:r>
      </w:hyperlink>
    </w:p>
    <w:p w:rsidR="00432058" w:rsidRDefault="000C35ED">
      <w:pPr>
        <w:pStyle w:val="Innehll1"/>
        <w:rPr>
          <w:rFonts w:asciiTheme="minorHAnsi" w:eastAsiaTheme="minorEastAsia" w:hAnsiTheme="minorHAnsi" w:cstheme="minorBidi"/>
          <w:sz w:val="22"/>
          <w:szCs w:val="22"/>
          <w:lang w:val="sv-FI" w:eastAsia="sv-FI"/>
        </w:rPr>
      </w:pPr>
      <w:hyperlink w:anchor="_Toc508107979" w:history="1">
        <w:r w:rsidR="00432058" w:rsidRPr="00173E8E">
          <w:rPr>
            <w:rStyle w:val="Hyperlnk"/>
          </w:rPr>
          <w:t>Ärendets behandling</w:t>
        </w:r>
        <w:r w:rsidR="00432058">
          <w:rPr>
            <w:webHidden/>
          </w:rPr>
          <w:tab/>
        </w:r>
        <w:r w:rsidR="00432058">
          <w:rPr>
            <w:webHidden/>
          </w:rPr>
          <w:fldChar w:fldCharType="begin"/>
        </w:r>
        <w:r w:rsidR="00432058">
          <w:rPr>
            <w:webHidden/>
          </w:rPr>
          <w:instrText xml:space="preserve"> PAGEREF _Toc508107979 \h </w:instrText>
        </w:r>
        <w:r w:rsidR="00432058">
          <w:rPr>
            <w:webHidden/>
          </w:rPr>
        </w:r>
        <w:r w:rsidR="00432058">
          <w:rPr>
            <w:webHidden/>
          </w:rPr>
          <w:fldChar w:fldCharType="separate"/>
        </w:r>
        <w:r w:rsidR="004557BC">
          <w:rPr>
            <w:webHidden/>
          </w:rPr>
          <w:t>2</w:t>
        </w:r>
        <w:r w:rsidR="00432058">
          <w:rPr>
            <w:webHidden/>
          </w:rPr>
          <w:fldChar w:fldCharType="end"/>
        </w:r>
      </w:hyperlink>
    </w:p>
    <w:p w:rsidR="00432058" w:rsidRDefault="000C35ED">
      <w:pPr>
        <w:pStyle w:val="Innehll1"/>
        <w:rPr>
          <w:rFonts w:asciiTheme="minorHAnsi" w:eastAsiaTheme="minorEastAsia" w:hAnsiTheme="minorHAnsi" w:cstheme="minorBidi"/>
          <w:sz w:val="22"/>
          <w:szCs w:val="22"/>
          <w:lang w:val="sv-FI" w:eastAsia="sv-FI"/>
        </w:rPr>
      </w:pPr>
      <w:hyperlink w:anchor="_Toc508107980" w:history="1">
        <w:r w:rsidR="00432058" w:rsidRPr="00173E8E">
          <w:rPr>
            <w:rStyle w:val="Hyperlnk"/>
          </w:rPr>
          <w:t>Utskottets förslag</w:t>
        </w:r>
        <w:r w:rsidR="00432058">
          <w:rPr>
            <w:webHidden/>
          </w:rPr>
          <w:tab/>
        </w:r>
        <w:r w:rsidR="00432058">
          <w:rPr>
            <w:webHidden/>
          </w:rPr>
          <w:fldChar w:fldCharType="begin"/>
        </w:r>
        <w:r w:rsidR="00432058">
          <w:rPr>
            <w:webHidden/>
          </w:rPr>
          <w:instrText xml:space="preserve"> PAGEREF _Toc508107980 \h </w:instrText>
        </w:r>
        <w:r w:rsidR="00432058">
          <w:rPr>
            <w:webHidden/>
          </w:rPr>
        </w:r>
        <w:r w:rsidR="00432058">
          <w:rPr>
            <w:webHidden/>
          </w:rPr>
          <w:fldChar w:fldCharType="separate"/>
        </w:r>
        <w:r w:rsidR="004557BC">
          <w:rPr>
            <w:webHidden/>
          </w:rPr>
          <w:t>2</w:t>
        </w:r>
        <w:r w:rsidR="00432058">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08107975"/>
      <w:r>
        <w:t>Sammanfattning</w:t>
      </w:r>
      <w:bookmarkEnd w:id="2"/>
      <w:bookmarkEnd w:id="3"/>
    </w:p>
    <w:p w:rsidR="002401D0" w:rsidRDefault="002401D0">
      <w:pPr>
        <w:pStyle w:val="Rubrikmellanrum"/>
      </w:pPr>
    </w:p>
    <w:p w:rsidR="002401D0" w:rsidRDefault="000F2D12">
      <w:pPr>
        <w:pStyle w:val="RubrikB"/>
      </w:pPr>
      <w:bookmarkStart w:id="4" w:name="_Toc529800933"/>
      <w:bookmarkStart w:id="5" w:name="_Toc508107976"/>
      <w:r>
        <w:t>Landskapsregeringens</w:t>
      </w:r>
      <w:r w:rsidR="002401D0">
        <w:t xml:space="preserve"> förslag</w:t>
      </w:r>
      <w:bookmarkEnd w:id="4"/>
      <w:bookmarkEnd w:id="5"/>
    </w:p>
    <w:p w:rsidR="002401D0" w:rsidRDefault="002401D0">
      <w:pPr>
        <w:pStyle w:val="Rubrikmellanrum"/>
      </w:pPr>
    </w:p>
    <w:p w:rsidR="000F2D12" w:rsidRDefault="000F2D12" w:rsidP="000F2D12">
      <w:pPr>
        <w:pStyle w:val="ANormal"/>
      </w:pPr>
      <w:r>
        <w:t>Landskapsregeringen föreslår en temporär ändring av fastighetsskattelagen för landskapet Åland. Förslaget innebär att en fastighetsägare vars fastighet omfattar mer än en hektar mark som inte betraktas som tomtmark ska kunna beviljas befrielse från den fastighetsskatt som uppbärs för denna mark. Befrielse från fastighetsskatt på denna grund beviljas av kommunen</w:t>
      </w:r>
      <w:r w:rsidRPr="00C24958">
        <w:t xml:space="preserve"> </w:t>
      </w:r>
      <w:r>
        <w:t>på ansökan av fastighetsägaren.</w:t>
      </w:r>
    </w:p>
    <w:p w:rsidR="000F2D12" w:rsidRDefault="000F2D12" w:rsidP="000F2D12">
      <w:pPr>
        <w:pStyle w:val="ANormal"/>
      </w:pPr>
      <w:r>
        <w:tab/>
        <w:t>Den föreslagna lagstiftningen bör träda i kraft så snart som möjligt och är avsedd att tillämpas när det gäller fastighetsskatt som uppbärs för skatt</w:t>
      </w:r>
      <w:r>
        <w:t>e</w:t>
      </w:r>
      <w:r>
        <w:t>åren 2018 och 2019.</w:t>
      </w:r>
    </w:p>
    <w:p w:rsidR="002401D0" w:rsidRDefault="002401D0">
      <w:pPr>
        <w:pStyle w:val="ANormal"/>
      </w:pPr>
    </w:p>
    <w:p w:rsidR="002401D0" w:rsidRDefault="002401D0">
      <w:pPr>
        <w:pStyle w:val="ANormal"/>
      </w:pPr>
    </w:p>
    <w:p w:rsidR="002401D0" w:rsidRDefault="002401D0">
      <w:pPr>
        <w:pStyle w:val="RubrikB"/>
      </w:pPr>
      <w:bookmarkStart w:id="6" w:name="_Toc529800934"/>
      <w:bookmarkStart w:id="7" w:name="_Toc508107977"/>
      <w:r>
        <w:t>Utskottets förslag</w:t>
      </w:r>
      <w:bookmarkEnd w:id="6"/>
      <w:bookmarkEnd w:id="7"/>
    </w:p>
    <w:p w:rsidR="002401D0" w:rsidRDefault="002401D0">
      <w:pPr>
        <w:pStyle w:val="Rubrikmellanrum"/>
      </w:pPr>
    </w:p>
    <w:p w:rsidR="002401D0" w:rsidRDefault="00533AEA">
      <w:pPr>
        <w:pStyle w:val="ANormal"/>
      </w:pPr>
      <w:r>
        <w:t>Utskottet föreslår att lagförslaget antas oförändrat.</w:t>
      </w:r>
    </w:p>
    <w:p w:rsidR="002401D0" w:rsidRDefault="002401D0">
      <w:pPr>
        <w:pStyle w:val="ANormal"/>
      </w:pPr>
    </w:p>
    <w:p w:rsidR="002401D0" w:rsidRDefault="002401D0">
      <w:pPr>
        <w:pStyle w:val="RubrikA"/>
      </w:pPr>
      <w:bookmarkStart w:id="8" w:name="_Toc529800935"/>
      <w:bookmarkStart w:id="9" w:name="_Toc508107978"/>
      <w:r>
        <w:t>Utskottets synpunkter</w:t>
      </w:r>
      <w:bookmarkEnd w:id="8"/>
      <w:bookmarkEnd w:id="9"/>
    </w:p>
    <w:p w:rsidR="002401D0" w:rsidRDefault="002401D0">
      <w:pPr>
        <w:pStyle w:val="Rubrikmellanrum"/>
      </w:pPr>
    </w:p>
    <w:p w:rsidR="006D284E" w:rsidRDefault="006D284E">
      <w:pPr>
        <w:pStyle w:val="ANormal"/>
      </w:pPr>
      <w:r>
        <w:t xml:space="preserve">Utskottet konstaterar att det föreliggande förslaget till lösning för att minska effekterna av omklassificering av tidigare obeskattad mark inte är den bästa möjliga, men sannolikt ändå den bästa lösningen som </w:t>
      </w:r>
      <w:r w:rsidR="00410FA6">
        <w:t>med</w:t>
      </w:r>
      <w:r>
        <w:t xml:space="preserve"> kort varsel kan tas i bruk. </w:t>
      </w:r>
      <w:r w:rsidR="00744E48">
        <w:t xml:space="preserve">Utskottet </w:t>
      </w:r>
      <w:proofErr w:type="gramStart"/>
      <w:r w:rsidR="00744E48">
        <w:t>erfar</w:t>
      </w:r>
      <w:proofErr w:type="gramEnd"/>
      <w:r w:rsidR="00744E48">
        <w:t xml:space="preserve"> också att landskapsregeringen och kommunerna </w:t>
      </w:r>
      <w:r w:rsidR="00410FA6">
        <w:t xml:space="preserve">i huvudsak </w:t>
      </w:r>
      <w:r w:rsidR="00744E48">
        <w:t>är överens om denna lösning som</w:t>
      </w:r>
      <w:r>
        <w:t xml:space="preserve"> är temporär för åren 2018-2019.</w:t>
      </w:r>
    </w:p>
    <w:p w:rsidR="002401D0" w:rsidRDefault="006D284E">
      <w:pPr>
        <w:pStyle w:val="ANormal"/>
      </w:pPr>
      <w:r>
        <w:tab/>
        <w:t>Utskottet konstaterar att ansvaret för att anhålla om befrielse från fasti</w:t>
      </w:r>
      <w:r>
        <w:t>g</w:t>
      </w:r>
      <w:r>
        <w:t>hetsskatt åligger markägaren och önskar därför fästa uppmärksamhet på vikten av att information når ut till skattetagarna. Informationsansvaret åligger såväl kommunen som skatteverket och utskottet förutsätter att lan</w:t>
      </w:r>
      <w:r>
        <w:t>d</w:t>
      </w:r>
      <w:r>
        <w:t xml:space="preserve">skapsregeringen följer upp </w:t>
      </w:r>
      <w:r w:rsidR="00215D3D">
        <w:t>effekterna av lagen</w:t>
      </w:r>
      <w:r>
        <w:t>. Utsko</w:t>
      </w:r>
      <w:r w:rsidR="00744E48">
        <w:t>t</w:t>
      </w:r>
      <w:r>
        <w:t xml:space="preserve">tet har </w:t>
      </w:r>
      <w:proofErr w:type="gramStart"/>
      <w:r>
        <w:t>erfarit</w:t>
      </w:r>
      <w:proofErr w:type="gramEnd"/>
      <w:r>
        <w:t xml:space="preserve"> att Ålands kommunförbund leder ett arbete med att ta fram standardiserade lösningar för handläggning och behandling av ansökningar om befrielse från fastighetsskatt.</w:t>
      </w:r>
    </w:p>
    <w:p w:rsidR="00744E48" w:rsidRDefault="00744E48">
      <w:pPr>
        <w:pStyle w:val="ANormal"/>
      </w:pPr>
      <w:r>
        <w:tab/>
        <w:t xml:space="preserve">Utskottet har noterat att beskrivningen av begreppet ”tomtmark” under punkt 6 i motiveringen citerar </w:t>
      </w:r>
      <w:r w:rsidR="00215D3D">
        <w:t xml:space="preserve">en upphävd </w:t>
      </w:r>
      <w:r>
        <w:t xml:space="preserve">text i plan- och bygglagen (2008:102) för landskapet Åland som </w:t>
      </w:r>
      <w:r w:rsidR="00215D3D">
        <w:t>förnyats</w:t>
      </w:r>
      <w:r>
        <w:t xml:space="preserve"> i samband med en lagän</w:t>
      </w:r>
      <w:r>
        <w:t>d</w:t>
      </w:r>
      <w:r>
        <w:lastRenderedPageBreak/>
        <w:t xml:space="preserve">ring under år 2017 (2017/82). Utskottet </w:t>
      </w:r>
      <w:r w:rsidR="00215D3D">
        <w:t xml:space="preserve">har </w:t>
      </w:r>
      <w:proofErr w:type="gramStart"/>
      <w:r w:rsidR="00215D3D">
        <w:t>erfarit</w:t>
      </w:r>
      <w:proofErr w:type="gramEnd"/>
      <w:r w:rsidR="00215D3D">
        <w:t xml:space="preserve"> </w:t>
      </w:r>
      <w:r>
        <w:t xml:space="preserve">att den nya skrivningen inte </w:t>
      </w:r>
      <w:r w:rsidR="00813E28">
        <w:t xml:space="preserve">torde </w:t>
      </w:r>
      <w:r>
        <w:t>påverka lagförslaget.</w:t>
      </w:r>
    </w:p>
    <w:p w:rsidR="002401D0" w:rsidRDefault="002401D0">
      <w:pPr>
        <w:pStyle w:val="ANormal"/>
      </w:pPr>
    </w:p>
    <w:p w:rsidR="002401D0" w:rsidRDefault="002401D0">
      <w:pPr>
        <w:pStyle w:val="RubrikA"/>
      </w:pPr>
      <w:bookmarkStart w:id="10" w:name="_Toc529800936"/>
      <w:bookmarkStart w:id="11" w:name="_Toc508107979"/>
      <w:r>
        <w:t>Ärendets behandling</w:t>
      </w:r>
      <w:bookmarkEnd w:id="10"/>
      <w:bookmarkEnd w:id="11"/>
    </w:p>
    <w:p w:rsidR="002401D0" w:rsidRDefault="002401D0">
      <w:pPr>
        <w:pStyle w:val="Rubrikmellanrum"/>
      </w:pPr>
    </w:p>
    <w:p w:rsidR="000F2D12" w:rsidRDefault="000F2D12" w:rsidP="000F2D12">
      <w:pPr>
        <w:pStyle w:val="ANormal"/>
      </w:pPr>
      <w:r>
        <w:rPr>
          <w:szCs w:val="22"/>
        </w:rPr>
        <w:t xml:space="preserve">Lagtinget har den 7 mars 2018 </w:t>
      </w:r>
      <w:proofErr w:type="spellStart"/>
      <w:r>
        <w:rPr>
          <w:szCs w:val="22"/>
        </w:rPr>
        <w:t>inbegärt</w:t>
      </w:r>
      <w:proofErr w:type="spellEnd"/>
      <w:r>
        <w:rPr>
          <w:szCs w:val="22"/>
        </w:rPr>
        <w:t xml:space="preserve"> finans- och näringsutskottets yt</w:t>
      </w:r>
      <w:r>
        <w:rPr>
          <w:szCs w:val="22"/>
        </w:rPr>
        <w:t>t</w:t>
      </w:r>
      <w:r>
        <w:rPr>
          <w:szCs w:val="22"/>
        </w:rPr>
        <w:t>rande över lagförslaget.</w:t>
      </w:r>
    </w:p>
    <w:p w:rsidR="001B7F01" w:rsidRDefault="000F2D12" w:rsidP="001B7F01">
      <w:pPr>
        <w:pStyle w:val="ANormal"/>
      </w:pPr>
      <w:r w:rsidRPr="0004644E">
        <w:tab/>
      </w:r>
      <w:r w:rsidR="001B7F01">
        <w:t xml:space="preserve">Utskottet har i ärendet hört ministern Mats </w:t>
      </w:r>
      <w:proofErr w:type="spellStart"/>
      <w:r w:rsidR="001B7F01">
        <w:t>Perämaa</w:t>
      </w:r>
      <w:proofErr w:type="spellEnd"/>
      <w:r w:rsidR="001B7F01">
        <w:t>, biträdande finan</w:t>
      </w:r>
      <w:r w:rsidR="001B7F01">
        <w:t>s</w:t>
      </w:r>
      <w:r w:rsidR="001B7F01">
        <w:t>chefen Runa Tufvesson, budgetplaneraren Robert Lindblom, skattedirekt</w:t>
      </w:r>
      <w:r w:rsidR="001B7F01">
        <w:t>ö</w:t>
      </w:r>
      <w:r w:rsidR="001B7F01">
        <w:t xml:space="preserve">ren Maria </w:t>
      </w:r>
      <w:proofErr w:type="spellStart"/>
      <w:r w:rsidR="001B7F01">
        <w:t>Sagulin</w:t>
      </w:r>
      <w:proofErr w:type="spellEnd"/>
      <w:r w:rsidR="001B7F01">
        <w:t>, stadsdirektör</w:t>
      </w:r>
      <w:r w:rsidR="00813E28">
        <w:t>en</w:t>
      </w:r>
      <w:r w:rsidR="001B7F01">
        <w:t xml:space="preserve"> Barbara Heinonen och finanschefen P</w:t>
      </w:r>
      <w:r w:rsidR="001B7F01">
        <w:t>e</w:t>
      </w:r>
      <w:r w:rsidR="001B7F01">
        <w:t>ter Carlsson vid Mariehamns stad, samt direktören Magnus Sandberg vid Ålands kommunförbund.</w:t>
      </w:r>
    </w:p>
    <w:p w:rsidR="000F2D12" w:rsidRPr="00DB5ECA" w:rsidRDefault="001B7F01" w:rsidP="000F2D12">
      <w:pPr>
        <w:pStyle w:val="ANormal"/>
      </w:pPr>
      <w:r w:rsidRPr="0004644E">
        <w:tab/>
      </w:r>
      <w:r w:rsidR="00530453" w:rsidRPr="00445762">
        <w:t>I ärendets a</w:t>
      </w:r>
      <w:r w:rsidR="00530453">
        <w:t>vgörande behandling deltog</w:t>
      </w:r>
      <w:r w:rsidR="00530453" w:rsidRPr="00445762">
        <w:t xml:space="preserve"> </w:t>
      </w:r>
      <w:r w:rsidR="00530453">
        <w:t xml:space="preserve">ordföranden Petri Carlsson, vice ordförande Göte </w:t>
      </w:r>
      <w:proofErr w:type="spellStart"/>
      <w:r w:rsidR="00530453">
        <w:t>Winé</w:t>
      </w:r>
      <w:proofErr w:type="spellEnd"/>
      <w:r w:rsidR="00530453" w:rsidRPr="00DB5ECA">
        <w:t xml:space="preserve"> </w:t>
      </w:r>
      <w:r w:rsidR="00530453">
        <w:t>samt</w:t>
      </w:r>
      <w:r w:rsidR="00530453" w:rsidRPr="00DB5ECA">
        <w:t xml:space="preserve"> ledamöterna John Holmberg,</w:t>
      </w:r>
      <w:r w:rsidR="00530453">
        <w:t xml:space="preserve"> Lars Häggblom, Ingrid Johansson, </w:t>
      </w:r>
      <w:proofErr w:type="spellStart"/>
      <w:r w:rsidR="00530453">
        <w:t>vtm</w:t>
      </w:r>
      <w:proofErr w:type="spellEnd"/>
      <w:r w:rsidR="00530453">
        <w:t xml:space="preserve"> Veronica </w:t>
      </w:r>
      <w:proofErr w:type="spellStart"/>
      <w:r w:rsidR="00530453">
        <w:t>Thörnroos</w:t>
      </w:r>
      <w:proofErr w:type="spellEnd"/>
      <w:r w:rsidR="00530453">
        <w:t xml:space="preserve"> och Stephan Toivonen. </w:t>
      </w:r>
      <w:r w:rsidR="000F2D12">
        <w:t xml:space="preserve"> </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508107980"/>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proofErr w:type="gramStart"/>
      <w:r>
        <w:t>att lagtinget</w:t>
      </w:r>
      <w:r w:rsidR="000F2D12">
        <w:t xml:space="preserve"> </w:t>
      </w:r>
      <w:r w:rsidR="00432058">
        <w:t xml:space="preserve">antar lagförslaget </w:t>
      </w:r>
      <w:r w:rsidR="00744E48">
        <w:t>i oförändrad lydelse.</w:t>
      </w:r>
      <w:proofErr w:type="gramEnd"/>
    </w:p>
    <w:p w:rsidR="00432058" w:rsidRPr="00432058" w:rsidRDefault="00432058" w:rsidP="00432058">
      <w:pPr>
        <w:pStyle w:val="ANormal"/>
      </w:pPr>
    </w:p>
    <w:p w:rsidR="00432058" w:rsidRDefault="000C35ED" w:rsidP="00432058">
      <w:pPr>
        <w:pStyle w:val="ANormal"/>
        <w:jc w:val="center"/>
        <w:rPr>
          <w:rStyle w:val="Hyperlnk"/>
        </w:rPr>
      </w:pPr>
      <w:hyperlink w:anchor="_top" w:tooltip="Klicka för att gå till toppen av dokumentet" w:history="1">
        <w:r w:rsidR="00432058">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134E25">
            <w:pPr>
              <w:pStyle w:val="ANormal"/>
              <w:keepNext/>
            </w:pPr>
            <w:r>
              <w:t xml:space="preserve">Mariehamn den </w:t>
            </w:r>
            <w:r w:rsidR="00134E25">
              <w:t>28</w:t>
            </w:r>
            <w:r w:rsidR="00432058">
              <w:t xml:space="preserve"> mars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432058">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432058">
            <w:pPr>
              <w:pStyle w:val="ANormal"/>
              <w:keepNext/>
            </w:pPr>
            <w:r>
              <w:t>Sten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12" w:rsidRDefault="000F2D12">
      <w:r>
        <w:separator/>
      </w:r>
    </w:p>
  </w:endnote>
  <w:endnote w:type="continuationSeparator" w:id="0">
    <w:p w:rsidR="000F2D12" w:rsidRDefault="000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4557BC">
      <w:rPr>
        <w:noProof/>
        <w:lang w:val="fi-FI"/>
      </w:rPr>
      <w:t>FNU1120172018.docx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12" w:rsidRDefault="000F2D12">
      <w:r>
        <w:separator/>
      </w:r>
    </w:p>
  </w:footnote>
  <w:footnote w:type="continuationSeparator" w:id="0">
    <w:p w:rsidR="000F2D12" w:rsidRDefault="000F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C35ED">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D12"/>
    <w:rsid w:val="00015E9C"/>
    <w:rsid w:val="00051556"/>
    <w:rsid w:val="000B2DC9"/>
    <w:rsid w:val="000C35ED"/>
    <w:rsid w:val="000F2D12"/>
    <w:rsid w:val="000F7417"/>
    <w:rsid w:val="00134E25"/>
    <w:rsid w:val="0015337C"/>
    <w:rsid w:val="001B7F01"/>
    <w:rsid w:val="00215D3D"/>
    <w:rsid w:val="002401D0"/>
    <w:rsid w:val="00334E07"/>
    <w:rsid w:val="0036359C"/>
    <w:rsid w:val="00410FA6"/>
    <w:rsid w:val="00432058"/>
    <w:rsid w:val="004557BC"/>
    <w:rsid w:val="00530453"/>
    <w:rsid w:val="00533AEA"/>
    <w:rsid w:val="006B2E9E"/>
    <w:rsid w:val="006D284E"/>
    <w:rsid w:val="00723B93"/>
    <w:rsid w:val="00744E48"/>
    <w:rsid w:val="00811D50"/>
    <w:rsid w:val="00813E28"/>
    <w:rsid w:val="00817B04"/>
    <w:rsid w:val="00957C36"/>
    <w:rsid w:val="009D73B2"/>
    <w:rsid w:val="009F7CE2"/>
    <w:rsid w:val="00B32E91"/>
    <w:rsid w:val="00B36A8F"/>
    <w:rsid w:val="00B90DEC"/>
    <w:rsid w:val="00C4677F"/>
    <w:rsid w:val="00CB087E"/>
    <w:rsid w:val="00CB3F92"/>
    <w:rsid w:val="00CF700E"/>
    <w:rsid w:val="00DC45B2"/>
    <w:rsid w:val="00F23B1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F2D12"/>
    <w:rPr>
      <w:sz w:val="22"/>
      <w:lang w:val="sv-SE" w:eastAsia="sv-SE"/>
    </w:rPr>
  </w:style>
  <w:style w:type="paragraph" w:styleId="Ballongtext">
    <w:name w:val="Balloon Text"/>
    <w:basedOn w:val="Normal"/>
    <w:link w:val="BallongtextChar"/>
    <w:rsid w:val="00C4677F"/>
    <w:rPr>
      <w:rFonts w:ascii="Tahoma" w:hAnsi="Tahoma" w:cs="Tahoma"/>
      <w:sz w:val="16"/>
      <w:szCs w:val="16"/>
    </w:rPr>
  </w:style>
  <w:style w:type="character" w:customStyle="1" w:styleId="BallongtextChar">
    <w:name w:val="Ballongtext Char"/>
    <w:basedOn w:val="Standardstycketeckensnitt"/>
    <w:link w:val="Ballongtext"/>
    <w:rsid w:val="00C4677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112017201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601</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Finans- och näringsutskottets betänkande nr 11/2017-2018</vt:lpstr>
    </vt:vector>
  </TitlesOfParts>
  <Company>Ålands lagting</Company>
  <LinksUpToDate>false</LinksUpToDate>
  <CharactersWithSpaces>3780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11/2017-2018</dc:title>
  <dc:creator>Jessica Laaksonen</dc:creator>
  <cp:lastModifiedBy>Jessica Laaksonen</cp:lastModifiedBy>
  <cp:revision>3</cp:revision>
  <cp:lastPrinted>2018-03-28T12:16:00Z</cp:lastPrinted>
  <dcterms:created xsi:type="dcterms:W3CDTF">2018-03-28T12:16:00Z</dcterms:created>
  <dcterms:modified xsi:type="dcterms:W3CDTF">2018-03-28T12:16:00Z</dcterms:modified>
</cp:coreProperties>
</file>