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855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885" cy="688975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8554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3180" cy="4318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311E83">
            <w:pPr>
              <w:pStyle w:val="xDokTypNr"/>
            </w:pPr>
            <w:r>
              <w:t xml:space="preserve">BETÄNKANDE nr </w:t>
            </w:r>
            <w:r w:rsidR="00311E83">
              <w:t>3</w:t>
            </w:r>
            <w:r>
              <w:t>/20</w:t>
            </w:r>
            <w:r w:rsidR="00723B93">
              <w:t>1</w:t>
            </w:r>
            <w:r w:rsidR="001A2ED2">
              <w:t>7</w:t>
            </w:r>
            <w:r w:rsidR="0015337C">
              <w:t>-20</w:t>
            </w:r>
            <w:r w:rsidR="009F7CE2">
              <w:t>1</w:t>
            </w:r>
            <w:r w:rsidR="001A2ED2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1A2ED2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632446">
            <w:pPr>
              <w:pStyle w:val="xDatum1"/>
            </w:pPr>
            <w:r>
              <w:t>20</w:t>
            </w:r>
            <w:r w:rsidR="00B32E91">
              <w:t>1</w:t>
            </w:r>
            <w:r w:rsidR="001A2ED2">
              <w:t>7-1</w:t>
            </w:r>
            <w:r w:rsidR="001D37CE">
              <w:t>2</w:t>
            </w:r>
            <w:r w:rsidR="001A2ED2">
              <w:t>-</w:t>
            </w:r>
            <w:r w:rsidR="00C46E3C">
              <w:t>12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1A2ED2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1A2ED2">
      <w:pPr>
        <w:pStyle w:val="ArendeRubrik"/>
      </w:pPr>
      <w:r>
        <w:t>Införande av ett arbets- och pensionsinkomstavdrag</w:t>
      </w:r>
    </w:p>
    <w:p w:rsidR="002401D0" w:rsidRPr="00311E83" w:rsidRDefault="00FA2A77">
      <w:pPr>
        <w:pStyle w:val="ArendeUnderRubrik"/>
      </w:pPr>
      <w:hyperlink r:id="rId12" w:history="1">
        <w:r w:rsidR="00311E83" w:rsidRPr="00FA2A77">
          <w:rPr>
            <w:rStyle w:val="Hyperlnk"/>
          </w:rPr>
          <w:t>Landskapsregeringens lagförslag nr 4/2017-2018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342BC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0245646" w:history="1">
        <w:r w:rsidR="00342BC7" w:rsidRPr="00FB6F07">
          <w:rPr>
            <w:rStyle w:val="Hyperlnk"/>
          </w:rPr>
          <w:t>Sammanfattning</w:t>
        </w:r>
        <w:r w:rsidR="00342BC7">
          <w:rPr>
            <w:webHidden/>
          </w:rPr>
          <w:tab/>
        </w:r>
        <w:r w:rsidR="00342BC7">
          <w:rPr>
            <w:webHidden/>
          </w:rPr>
          <w:fldChar w:fldCharType="begin"/>
        </w:r>
        <w:r w:rsidR="00342BC7">
          <w:rPr>
            <w:webHidden/>
          </w:rPr>
          <w:instrText xml:space="preserve"> PAGEREF _Toc500245646 \h </w:instrText>
        </w:r>
        <w:r w:rsidR="00342BC7">
          <w:rPr>
            <w:webHidden/>
          </w:rPr>
        </w:r>
        <w:r w:rsidR="00342BC7">
          <w:rPr>
            <w:webHidden/>
          </w:rPr>
          <w:fldChar w:fldCharType="separate"/>
        </w:r>
        <w:r w:rsidR="003C5F97">
          <w:rPr>
            <w:webHidden/>
          </w:rPr>
          <w:t>1</w:t>
        </w:r>
        <w:r w:rsidR="00342BC7">
          <w:rPr>
            <w:webHidden/>
          </w:rPr>
          <w:fldChar w:fldCharType="end"/>
        </w:r>
      </w:hyperlink>
    </w:p>
    <w:p w:rsidR="00342BC7" w:rsidRDefault="00FA2A7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0245647" w:history="1">
        <w:r w:rsidR="00342BC7" w:rsidRPr="00FB6F07">
          <w:rPr>
            <w:rStyle w:val="Hyperlnk"/>
          </w:rPr>
          <w:t>Landskapsregeringens förslag</w:t>
        </w:r>
        <w:r w:rsidR="00342BC7">
          <w:rPr>
            <w:webHidden/>
          </w:rPr>
          <w:tab/>
        </w:r>
        <w:r w:rsidR="00342BC7">
          <w:rPr>
            <w:webHidden/>
          </w:rPr>
          <w:fldChar w:fldCharType="begin"/>
        </w:r>
        <w:r w:rsidR="00342BC7">
          <w:rPr>
            <w:webHidden/>
          </w:rPr>
          <w:instrText xml:space="preserve"> PAGEREF _Toc500245647 \h </w:instrText>
        </w:r>
        <w:r w:rsidR="00342BC7">
          <w:rPr>
            <w:webHidden/>
          </w:rPr>
        </w:r>
        <w:r w:rsidR="00342BC7">
          <w:rPr>
            <w:webHidden/>
          </w:rPr>
          <w:fldChar w:fldCharType="separate"/>
        </w:r>
        <w:r w:rsidR="003C5F97">
          <w:rPr>
            <w:webHidden/>
          </w:rPr>
          <w:t>1</w:t>
        </w:r>
        <w:r w:rsidR="00342BC7">
          <w:rPr>
            <w:webHidden/>
          </w:rPr>
          <w:fldChar w:fldCharType="end"/>
        </w:r>
      </w:hyperlink>
    </w:p>
    <w:p w:rsidR="00342BC7" w:rsidRDefault="00FA2A7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0245648" w:history="1">
        <w:r w:rsidR="00342BC7" w:rsidRPr="00FB6F07">
          <w:rPr>
            <w:rStyle w:val="Hyperlnk"/>
          </w:rPr>
          <w:t>Utskottets förslag</w:t>
        </w:r>
        <w:r w:rsidR="00342BC7">
          <w:rPr>
            <w:webHidden/>
          </w:rPr>
          <w:tab/>
        </w:r>
        <w:r w:rsidR="00342BC7">
          <w:rPr>
            <w:webHidden/>
          </w:rPr>
          <w:fldChar w:fldCharType="begin"/>
        </w:r>
        <w:r w:rsidR="00342BC7">
          <w:rPr>
            <w:webHidden/>
          </w:rPr>
          <w:instrText xml:space="preserve"> PAGEREF _Toc500245648 \h </w:instrText>
        </w:r>
        <w:r w:rsidR="00342BC7">
          <w:rPr>
            <w:webHidden/>
          </w:rPr>
        </w:r>
        <w:r w:rsidR="00342BC7">
          <w:rPr>
            <w:webHidden/>
          </w:rPr>
          <w:fldChar w:fldCharType="separate"/>
        </w:r>
        <w:r w:rsidR="003C5F97">
          <w:rPr>
            <w:webHidden/>
          </w:rPr>
          <w:t>1</w:t>
        </w:r>
        <w:r w:rsidR="00342BC7">
          <w:rPr>
            <w:webHidden/>
          </w:rPr>
          <w:fldChar w:fldCharType="end"/>
        </w:r>
      </w:hyperlink>
    </w:p>
    <w:p w:rsidR="00342BC7" w:rsidRDefault="00FA2A7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0245649" w:history="1">
        <w:r w:rsidR="00342BC7" w:rsidRPr="00FB6F07">
          <w:rPr>
            <w:rStyle w:val="Hyperlnk"/>
          </w:rPr>
          <w:t>Utskottets synpunkter</w:t>
        </w:r>
        <w:r w:rsidR="00342BC7">
          <w:rPr>
            <w:webHidden/>
          </w:rPr>
          <w:tab/>
        </w:r>
        <w:r w:rsidR="00342BC7">
          <w:rPr>
            <w:webHidden/>
          </w:rPr>
          <w:fldChar w:fldCharType="begin"/>
        </w:r>
        <w:r w:rsidR="00342BC7">
          <w:rPr>
            <w:webHidden/>
          </w:rPr>
          <w:instrText xml:space="preserve"> PAGEREF _Toc500245649 \h </w:instrText>
        </w:r>
        <w:r w:rsidR="00342BC7">
          <w:rPr>
            <w:webHidden/>
          </w:rPr>
        </w:r>
        <w:r w:rsidR="00342BC7">
          <w:rPr>
            <w:webHidden/>
          </w:rPr>
          <w:fldChar w:fldCharType="separate"/>
        </w:r>
        <w:r w:rsidR="003C5F97">
          <w:rPr>
            <w:webHidden/>
          </w:rPr>
          <w:t>1</w:t>
        </w:r>
        <w:r w:rsidR="00342BC7">
          <w:rPr>
            <w:webHidden/>
          </w:rPr>
          <w:fldChar w:fldCharType="end"/>
        </w:r>
      </w:hyperlink>
    </w:p>
    <w:p w:rsidR="00342BC7" w:rsidRDefault="00FA2A7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0245650" w:history="1">
        <w:r w:rsidR="00342BC7" w:rsidRPr="00FB6F07">
          <w:rPr>
            <w:rStyle w:val="Hyperlnk"/>
          </w:rPr>
          <w:t>Ärendets behandling</w:t>
        </w:r>
        <w:r w:rsidR="00342BC7">
          <w:rPr>
            <w:webHidden/>
          </w:rPr>
          <w:tab/>
        </w:r>
        <w:r w:rsidR="00342BC7">
          <w:rPr>
            <w:webHidden/>
          </w:rPr>
          <w:fldChar w:fldCharType="begin"/>
        </w:r>
        <w:r w:rsidR="00342BC7">
          <w:rPr>
            <w:webHidden/>
          </w:rPr>
          <w:instrText xml:space="preserve"> PAGEREF _Toc500245650 \h </w:instrText>
        </w:r>
        <w:r w:rsidR="00342BC7">
          <w:rPr>
            <w:webHidden/>
          </w:rPr>
        </w:r>
        <w:r w:rsidR="00342BC7">
          <w:rPr>
            <w:webHidden/>
          </w:rPr>
          <w:fldChar w:fldCharType="separate"/>
        </w:r>
        <w:r w:rsidR="003C5F97">
          <w:rPr>
            <w:webHidden/>
          </w:rPr>
          <w:t>2</w:t>
        </w:r>
        <w:r w:rsidR="00342BC7">
          <w:rPr>
            <w:webHidden/>
          </w:rPr>
          <w:fldChar w:fldCharType="end"/>
        </w:r>
      </w:hyperlink>
    </w:p>
    <w:p w:rsidR="00342BC7" w:rsidRDefault="00FA2A7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0245651" w:history="1">
        <w:r w:rsidR="00342BC7" w:rsidRPr="00FB6F07">
          <w:rPr>
            <w:rStyle w:val="Hyperlnk"/>
          </w:rPr>
          <w:t>Utskottets förslag</w:t>
        </w:r>
        <w:r w:rsidR="00342BC7">
          <w:rPr>
            <w:webHidden/>
          </w:rPr>
          <w:tab/>
        </w:r>
        <w:r w:rsidR="00342BC7">
          <w:rPr>
            <w:webHidden/>
          </w:rPr>
          <w:fldChar w:fldCharType="begin"/>
        </w:r>
        <w:r w:rsidR="00342BC7">
          <w:rPr>
            <w:webHidden/>
          </w:rPr>
          <w:instrText xml:space="preserve"> PAGEREF _Toc500245651 \h </w:instrText>
        </w:r>
        <w:r w:rsidR="00342BC7">
          <w:rPr>
            <w:webHidden/>
          </w:rPr>
        </w:r>
        <w:r w:rsidR="00342BC7">
          <w:rPr>
            <w:webHidden/>
          </w:rPr>
          <w:fldChar w:fldCharType="separate"/>
        </w:r>
        <w:r w:rsidR="003C5F97">
          <w:rPr>
            <w:webHidden/>
          </w:rPr>
          <w:t>2</w:t>
        </w:r>
        <w:r w:rsidR="00342BC7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0245646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1A2ED2">
      <w:pPr>
        <w:pStyle w:val="RubrikB"/>
      </w:pPr>
      <w:bookmarkStart w:id="4" w:name="_Toc529800933"/>
      <w:bookmarkStart w:id="5" w:name="_Toc500245647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1A2ED2" w:rsidRDefault="001A2ED2" w:rsidP="001A2ED2">
      <w:pPr>
        <w:pStyle w:val="ANormal"/>
      </w:pPr>
      <w:r>
        <w:t>Landskapsregeringen föreslår att ett nytt arbets- och pensionsinkomsta</w:t>
      </w:r>
      <w:r>
        <w:t>v</w:t>
      </w:r>
      <w:r>
        <w:t>drag införs vid kommunalbeskattningen samt att</w:t>
      </w:r>
      <w:r w:rsidRPr="00600C19">
        <w:t xml:space="preserve"> </w:t>
      </w:r>
      <w:r>
        <w:t>grundavdragets maxb</w:t>
      </w:r>
      <w:r>
        <w:t>e</w:t>
      </w:r>
      <w:r>
        <w:t>lopp höjs från 3 060 till 3 100 euro.</w:t>
      </w:r>
    </w:p>
    <w:p w:rsidR="001A2ED2" w:rsidRDefault="001A2ED2" w:rsidP="001A2ED2">
      <w:pPr>
        <w:pStyle w:val="ANormal"/>
      </w:pPr>
      <w:r>
        <w:tab/>
        <w:t>Det föreslagna arbets- och pensionsinkomstavdraget beräknas på basen av skattepliktiga löneinkomster samt andra arbetsinkomster och pension</w:t>
      </w:r>
      <w:r>
        <w:t>s</w:t>
      </w:r>
      <w:r>
        <w:t>inkomster som beskattas som förvärvsinkomst. Avdraget dras från komm</w:t>
      </w:r>
      <w:r>
        <w:t>u</w:t>
      </w:r>
      <w:r>
        <w:t>nalskatten och det maximala beloppet är 100 euro. Den som har en förvär</w:t>
      </w:r>
      <w:r>
        <w:t>v</w:t>
      </w:r>
      <w:r>
        <w:t>sinkomst som är 35 000 euro eller högre har inte rätt att göra arbets- och pensionsinkomstavdrag.</w:t>
      </w:r>
    </w:p>
    <w:p w:rsidR="001A2ED2" w:rsidRDefault="001A2ED2" w:rsidP="001A2ED2">
      <w:pPr>
        <w:pStyle w:val="ANormal"/>
      </w:pPr>
      <w:r>
        <w:tab/>
        <w:t>För att kommunerna inte ska drabbas ekonomiskt av att arbets- och pensionsinkomstavdraget införs, föreslås att landskapet kompenserar dem för förlusten av skatteintäkter. Kompensationen till kommunerna regleras i en särskild landskapslag och storleken bestäms med det verkliga skatteu</w:t>
      </w:r>
      <w:r>
        <w:t>t</w:t>
      </w:r>
      <w:r>
        <w:t>fallet som grund. Den betalas först ut som ett förskott för att sedan avräknas när de uppgifter finns tillgängliga som ligger till grund för den verkliga kompensationen.</w:t>
      </w:r>
    </w:p>
    <w:p w:rsidR="001A2ED2" w:rsidRDefault="001A2ED2" w:rsidP="001A2ED2">
      <w:pPr>
        <w:pStyle w:val="ANormal"/>
      </w:pPr>
      <w:r>
        <w:tab/>
        <w:t>Slutligen innehåller förslaget även en teknisk anpassning till en ändring av rikets inkomstskattelag.</w:t>
      </w:r>
    </w:p>
    <w:p w:rsidR="001A2ED2" w:rsidRDefault="001A2ED2" w:rsidP="001A2ED2">
      <w:pPr>
        <w:pStyle w:val="ANormal"/>
      </w:pPr>
      <w:r>
        <w:tab/>
        <w:t>Både ändringen av kommunalskattelagen och reglerna om kompensa</w:t>
      </w:r>
      <w:r>
        <w:t>t</w:t>
      </w:r>
      <w:r>
        <w:t>ion till kommunerna föreslås bli tillämpade från och med skatteåret 2018.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00245648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E50EED">
      <w:pPr>
        <w:pStyle w:val="ANormal"/>
      </w:pPr>
      <w:r>
        <w:t>Utskottet föreslår att lagförslage</w:t>
      </w:r>
      <w:r w:rsidR="00C46E3C">
        <w:t>n antas oförändrade</w:t>
      </w:r>
      <w:r>
        <w:t>.</w:t>
      </w:r>
    </w:p>
    <w:p w:rsidR="00E50EED" w:rsidRDefault="00E50EED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00245649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E50EED">
      <w:pPr>
        <w:pStyle w:val="ANormal"/>
      </w:pPr>
      <w:r>
        <w:t>Utskottet konstaterar att ändringen av grundavdraget följer nivån i ri</w:t>
      </w:r>
      <w:r w:rsidR="00C269D4">
        <w:t xml:space="preserve">ket och att förändringen av grundavdraget tillsammans med </w:t>
      </w:r>
      <w:r w:rsidR="00B92CE0">
        <w:t xml:space="preserve">en </w:t>
      </w:r>
      <w:r w:rsidR="00C269D4">
        <w:t>förändring av a</w:t>
      </w:r>
      <w:r w:rsidR="00C269D4">
        <w:t>r</w:t>
      </w:r>
      <w:r w:rsidR="00C269D4">
        <w:t>betsinkomstavdraget och en justering av inkomstskatteskalorna är en del av det så kallade konkurrenskraftavtalet från år 2016. Arbetsinkomstavdraget och skatteskalan berör i huvudsak den statliga inkomstbeskattningen.</w:t>
      </w:r>
    </w:p>
    <w:p w:rsidR="00C269D4" w:rsidRDefault="00C269D4">
      <w:pPr>
        <w:pStyle w:val="ANormal"/>
      </w:pPr>
      <w:r>
        <w:lastRenderedPageBreak/>
        <w:tab/>
        <w:t>Beträffande det nya arbets- och inkomstavdraget konstaterar utskottet att personer med de allra lägsta inkomsterna inte kan dra någon nytta av a</w:t>
      </w:r>
      <w:r>
        <w:t>v</w:t>
      </w:r>
      <w:r>
        <w:t>draget. Utskottet konstaterar vidare att det är mycket svårt att genom a</w:t>
      </w:r>
      <w:r>
        <w:t>v</w:t>
      </w:r>
      <w:r>
        <w:t>drag eller liknande skatteåtgärder höja den disponibla inkomsten för pers</w:t>
      </w:r>
      <w:r>
        <w:t>o</w:t>
      </w:r>
      <w:r>
        <w:t>ner med de lägsta inkomsterna</w:t>
      </w:r>
      <w:r w:rsidR="00C41765">
        <w:t>, åtminstone inom ramen för nuvarande ska</w:t>
      </w:r>
      <w:r w:rsidR="00C41765">
        <w:t>t</w:t>
      </w:r>
      <w:r w:rsidR="00C41765">
        <w:t>tesystem</w:t>
      </w:r>
      <w:r>
        <w:t>.</w:t>
      </w:r>
      <w:r w:rsidR="00EF1C11">
        <w:t xml:space="preserve"> Utskottet konstaterar vidare att </w:t>
      </w:r>
      <w:r w:rsidR="00BE5A61">
        <w:t>hushållens disponibla inkomster ökar med</w:t>
      </w:r>
      <w:r w:rsidR="00EF1C11">
        <w:t xml:space="preserve"> 1,3 miljoner euro som kan användas för konsumtion av varor och tjänster</w:t>
      </w:r>
      <w:r w:rsidR="002B32D1">
        <w:t>,</w:t>
      </w:r>
      <w:r w:rsidR="00EF1C11">
        <w:t xml:space="preserve"> vilket till den delen stöder tillväxten i ekonomin.</w:t>
      </w:r>
    </w:p>
    <w:p w:rsidR="00B92CE0" w:rsidRDefault="00B92CE0">
      <w:pPr>
        <w:pStyle w:val="ANormal"/>
      </w:pPr>
      <w:r>
        <w:tab/>
        <w:t>Utskottet konstaterar att kostnadseffekten för kommunerna kommer att kompenseras i sin helhet.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00245650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EF3497" w:rsidRDefault="00EF3497" w:rsidP="00EF3497">
      <w:pPr>
        <w:pStyle w:val="ANormal"/>
      </w:pPr>
      <w:r w:rsidRPr="009A273F">
        <w:t xml:space="preserve">Lagtinget har den </w:t>
      </w:r>
      <w:r>
        <w:t>16 november 2017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yttrande i ärendet.</w:t>
      </w:r>
    </w:p>
    <w:p w:rsidR="00EF3497" w:rsidRDefault="00EF3497" w:rsidP="00EF3497">
      <w:pPr>
        <w:pStyle w:val="ANormal"/>
      </w:pPr>
      <w:r>
        <w:tab/>
        <w:t>Utskottet har i ärendet hört</w:t>
      </w:r>
      <w:r w:rsidR="00E50EED">
        <w:t xml:space="preserve"> </w:t>
      </w:r>
      <w:r w:rsidR="002B32D1">
        <w:t xml:space="preserve">lantrådet Katrin Sjögren, </w:t>
      </w:r>
      <w:r w:rsidR="00E50EED">
        <w:t xml:space="preserve">finansminstern Mats </w:t>
      </w:r>
      <w:proofErr w:type="spellStart"/>
      <w:r w:rsidR="00E50EED">
        <w:t>Perämaa</w:t>
      </w:r>
      <w:proofErr w:type="spellEnd"/>
      <w:r w:rsidR="00E50EED">
        <w:t>, finanschefen Conny Nyholm, budgetplaneraren Robert Lindblom</w:t>
      </w:r>
      <w:r w:rsidR="002B32D1">
        <w:t xml:space="preserve">, skattedirektören Maria </w:t>
      </w:r>
      <w:proofErr w:type="spellStart"/>
      <w:r w:rsidR="002B32D1">
        <w:t>Sagulin</w:t>
      </w:r>
      <w:proofErr w:type="spellEnd"/>
      <w:r w:rsidR="00E50EED">
        <w:t xml:space="preserve"> och lagberedaren Diana Lön</w:t>
      </w:r>
      <w:r w:rsidR="00E50EED">
        <w:t>n</w:t>
      </w:r>
      <w:r w:rsidR="00E50EED">
        <w:t>gren.</w:t>
      </w:r>
    </w:p>
    <w:p w:rsidR="00EF3497" w:rsidRDefault="00EF3497" w:rsidP="00EF3497">
      <w:pPr>
        <w:pStyle w:val="ANormal"/>
      </w:pPr>
      <w:r w:rsidRPr="008F350C">
        <w:tab/>
        <w:t xml:space="preserve"> I ärendets avgörande behandling har deltagit ordföranden Tage Sila</w:t>
      </w:r>
      <w:r w:rsidRPr="008F350C">
        <w:t>n</w:t>
      </w:r>
      <w:r w:rsidRPr="008F350C">
        <w:t xml:space="preserve">der,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 xml:space="preserve">Lars Häggblom, </w:t>
      </w:r>
      <w:r w:rsidRPr="008F350C">
        <w:t xml:space="preserve">Ingrid Johansson, </w:t>
      </w:r>
      <w:proofErr w:type="spellStart"/>
      <w:r w:rsidRPr="008F350C">
        <w:t>vtm</w:t>
      </w:r>
      <w:proofErr w:type="spellEnd"/>
      <w:r w:rsidRPr="008F350C">
        <w:t xml:space="preserve"> Veronic</w:t>
      </w:r>
      <w:r>
        <w:t xml:space="preserve">a </w:t>
      </w:r>
      <w:proofErr w:type="spellStart"/>
      <w:r>
        <w:t>Thörnroos</w:t>
      </w:r>
      <w:proofErr w:type="spellEnd"/>
      <w:r>
        <w:t xml:space="preserve"> och Stephan Toiv</w:t>
      </w:r>
      <w:r>
        <w:t>o</w:t>
      </w:r>
      <w:r>
        <w:t>nen</w:t>
      </w:r>
      <w:r w:rsidRPr="008F350C">
        <w:t>.</w:t>
      </w:r>
    </w:p>
    <w:p w:rsidR="002401D0" w:rsidRDefault="00220BA4">
      <w:pPr>
        <w:pStyle w:val="ANormal"/>
      </w:pPr>
      <w:r>
        <w:rPr>
          <w:color w:val="000000"/>
        </w:rPr>
        <w:tab/>
      </w:r>
      <w:r w:rsidRPr="000C42F6">
        <w:rPr>
          <w:color w:val="000000"/>
        </w:rPr>
        <w:t>En reservation har fogats till betänkandet av ledamoten</w:t>
      </w:r>
      <w:r>
        <w:rPr>
          <w:color w:val="000000"/>
        </w:rPr>
        <w:t xml:space="preserve"> Stephan Toiv</w:t>
      </w:r>
      <w:r>
        <w:rPr>
          <w:color w:val="000000"/>
        </w:rPr>
        <w:t>o</w:t>
      </w:r>
      <w:r>
        <w:rPr>
          <w:color w:val="000000"/>
        </w:rPr>
        <w:t>nen.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00245651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EF3497">
        <w:t xml:space="preserve"> antar lagförslagen </w:t>
      </w:r>
      <w:r w:rsidR="00C46E3C">
        <w:t>i oförändrad</w:t>
      </w:r>
      <w:r w:rsidR="00EF3497">
        <w:t xml:space="preserve"> lydelse</w:t>
      </w:r>
    </w:p>
    <w:p w:rsidR="00EF3497" w:rsidRPr="00EF3497" w:rsidRDefault="00EF3497" w:rsidP="00EF3497">
      <w:pPr>
        <w:pStyle w:val="ANormal"/>
      </w:pPr>
    </w:p>
    <w:p w:rsidR="002401D0" w:rsidRDefault="00FA2A77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673609">
            <w:pPr>
              <w:pStyle w:val="ANormal"/>
              <w:keepNext/>
            </w:pPr>
            <w:r>
              <w:t xml:space="preserve">Mariehamn den </w:t>
            </w:r>
            <w:r w:rsidR="00C46E3C">
              <w:t>12</w:t>
            </w:r>
            <w:r w:rsidR="00EF3497">
              <w:t xml:space="preserve"> </w:t>
            </w:r>
            <w:r w:rsidR="001D37CE">
              <w:t>dece</w:t>
            </w:r>
            <w:r w:rsidR="00EF3497">
              <w:t>mber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F3497">
            <w:pPr>
              <w:pStyle w:val="ANormal"/>
              <w:keepNext/>
            </w:pPr>
            <w:r>
              <w:t>Tage Silander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3C5F97" w:rsidRDefault="00EF3497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p w:rsidR="003C5F97" w:rsidRDefault="003C5F97">
      <w:pPr>
        <w:pStyle w:val="ANormal"/>
      </w:pPr>
    </w:p>
    <w:p w:rsidR="003C5F97" w:rsidRDefault="003C5F97">
      <w:pPr>
        <w:pStyle w:val="ANormal"/>
      </w:pPr>
    </w:p>
    <w:p w:rsidR="003C5F97" w:rsidRDefault="003C5F97">
      <w:pPr>
        <w:pStyle w:val="ANormal"/>
        <w:sectPr w:rsidR="003C5F97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1134" w:right="3175" w:bottom="1247" w:left="2041" w:header="737" w:footer="737" w:gutter="0"/>
          <w:cols w:space="720"/>
          <w:formProt w:val="0"/>
          <w:titlePg/>
          <w:docGrid w:linePitch="224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467"/>
        <w:gridCol w:w="1732"/>
        <w:gridCol w:w="2574"/>
      </w:tblGrid>
      <w:tr w:rsidR="003C5F97">
        <w:trPr>
          <w:cantSplit/>
          <w:trHeight w:val="20"/>
        </w:trPr>
        <w:tc>
          <w:tcPr>
            <w:tcW w:w="861" w:type="dxa"/>
            <w:vMerge w:val="restart"/>
          </w:tcPr>
          <w:p w:rsidR="003C5F97" w:rsidRDefault="003C5F97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lastRenderedPageBreak/>
              <w:drawing>
                <wp:inline distT="0" distB="0" distL="0" distR="0">
                  <wp:extent cx="477520" cy="688340"/>
                  <wp:effectExtent l="0" t="0" r="0" b="0"/>
                  <wp:docPr id="3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C5F97" w:rsidRDefault="003C5F9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165" cy="50165"/>
                  <wp:effectExtent l="0" t="0" r="0" b="0"/>
                  <wp:docPr id="4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97">
        <w:trPr>
          <w:cantSplit/>
          <w:trHeight w:val="299"/>
        </w:trPr>
        <w:tc>
          <w:tcPr>
            <w:tcW w:w="861" w:type="dxa"/>
            <w:vMerge/>
          </w:tcPr>
          <w:p w:rsidR="003C5F97" w:rsidRDefault="003C5F97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C5F97" w:rsidRDefault="003C5F97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C5F97" w:rsidRDefault="003C5F97" w:rsidP="00377141">
            <w:pPr>
              <w:pStyle w:val="xDokTypNr"/>
            </w:pPr>
            <w:r>
              <w:t>RESERVATION</w:t>
            </w:r>
          </w:p>
        </w:tc>
      </w:tr>
      <w:tr w:rsidR="003C5F97">
        <w:trPr>
          <w:cantSplit/>
          <w:trHeight w:val="238"/>
        </w:trPr>
        <w:tc>
          <w:tcPr>
            <w:tcW w:w="861" w:type="dxa"/>
            <w:vMerge/>
          </w:tcPr>
          <w:p w:rsidR="003C5F97" w:rsidRDefault="003C5F97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C5F97" w:rsidRDefault="003C5F97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3C5F97" w:rsidRDefault="003C5F97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C5F97" w:rsidRDefault="003C5F97">
            <w:pPr>
              <w:pStyle w:val="xLedtext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  <w:vMerge/>
          </w:tcPr>
          <w:p w:rsidR="003C5F97" w:rsidRDefault="003C5F97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C5F97" w:rsidRDefault="003C5F97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:rsidR="003C5F97" w:rsidRDefault="003C5F97" w:rsidP="0012085E">
            <w:pPr>
              <w:pStyle w:val="xDatum1"/>
            </w:pPr>
            <w:r w:rsidRPr="00962677">
              <w:t>2017-12-1</w:t>
            </w:r>
            <w:r>
              <w:t>2</w:t>
            </w:r>
          </w:p>
        </w:tc>
        <w:tc>
          <w:tcPr>
            <w:tcW w:w="2563" w:type="dxa"/>
            <w:vAlign w:val="center"/>
          </w:tcPr>
          <w:p w:rsidR="003C5F97" w:rsidRDefault="003C5F97">
            <w:pPr>
              <w:pStyle w:val="xBeteckning1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  <w:vMerge/>
          </w:tcPr>
          <w:p w:rsidR="003C5F97" w:rsidRDefault="003C5F97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C5F97" w:rsidRDefault="003C5F97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C5F97" w:rsidRDefault="003C5F97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C5F97" w:rsidRDefault="003C5F97">
            <w:pPr>
              <w:pStyle w:val="xLedtext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C5F97" w:rsidRDefault="003C5F97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C5F97" w:rsidRDefault="003C5F97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C5F97" w:rsidRDefault="003C5F97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C5F97" w:rsidRDefault="003C5F97">
            <w:pPr>
              <w:pStyle w:val="xBeteckning2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C5F97" w:rsidRDefault="003C5F97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C5F97" w:rsidRDefault="003C5F97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C5F97" w:rsidRDefault="003C5F97">
            <w:pPr>
              <w:pStyle w:val="xLedtext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</w:tcPr>
          <w:p w:rsidR="003C5F97" w:rsidRDefault="003C5F97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3C5F97" w:rsidRDefault="003C5F97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3C5F97" w:rsidRDefault="003C5F97">
            <w:pPr>
              <w:pStyle w:val="xMottagare1"/>
              <w:tabs>
                <w:tab w:val="left" w:pos="2349"/>
              </w:tabs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</w:tcPr>
          <w:p w:rsidR="003C5F97" w:rsidRDefault="003C5F97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3C5F97" w:rsidRDefault="003C5F97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C5F97" w:rsidRDefault="003C5F97">
            <w:pPr>
              <w:pStyle w:val="xCelltext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</w:tcPr>
          <w:p w:rsidR="003C5F97" w:rsidRDefault="003C5F97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3C5F97" w:rsidRDefault="003C5F97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C5F97" w:rsidRDefault="003C5F97">
            <w:pPr>
              <w:pStyle w:val="xCelltext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</w:tcPr>
          <w:p w:rsidR="003C5F97" w:rsidRDefault="003C5F97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3C5F97" w:rsidRDefault="003C5F97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C5F97" w:rsidRDefault="003C5F97">
            <w:pPr>
              <w:pStyle w:val="xCelltext"/>
            </w:pPr>
          </w:p>
        </w:tc>
      </w:tr>
      <w:tr w:rsidR="003C5F97">
        <w:trPr>
          <w:cantSplit/>
          <w:trHeight w:val="238"/>
        </w:trPr>
        <w:tc>
          <w:tcPr>
            <w:tcW w:w="861" w:type="dxa"/>
          </w:tcPr>
          <w:p w:rsidR="003C5F97" w:rsidRDefault="003C5F97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3C5F97" w:rsidRDefault="003C5F97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C5F97" w:rsidRDefault="003C5F97">
            <w:pPr>
              <w:pStyle w:val="xCelltext"/>
            </w:pPr>
          </w:p>
        </w:tc>
      </w:tr>
    </w:tbl>
    <w:p w:rsidR="003C5F97" w:rsidRDefault="003C5F97">
      <w:pPr>
        <w:rPr>
          <w:b/>
          <w:bCs/>
        </w:rPr>
        <w:sectPr w:rsidR="003C5F97" w:rsidSect="003C5F9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567" w:right="1134" w:bottom="1134" w:left="1134" w:header="737" w:footer="737" w:gutter="0"/>
          <w:cols w:space="720"/>
          <w:formProt w:val="0"/>
          <w:titlePg/>
          <w:docGrid w:linePitch="224"/>
        </w:sectPr>
      </w:pPr>
    </w:p>
    <w:p w:rsidR="003C5F97" w:rsidRDefault="003C5F97">
      <w:pPr>
        <w:pStyle w:val="ArendeRubrik"/>
      </w:pPr>
      <w:r>
        <w:lastRenderedPageBreak/>
        <w:t xml:space="preserve">Reservation mot Finans- och näringsutskottets betänkande nr 3/2017-2018 </w:t>
      </w:r>
      <w:r w:rsidRPr="00491BBB">
        <w:t xml:space="preserve">gällande </w:t>
      </w:r>
      <w:r>
        <w:t>LF nr 4/2017-2018 angående i</w:t>
      </w:r>
      <w:r w:rsidRPr="000A3504">
        <w:t>nförande av ett arbets- och pensionsinkomstavdrag</w:t>
      </w:r>
      <w:r>
        <w:t>.</w:t>
      </w:r>
    </w:p>
    <w:p w:rsidR="003C5F97" w:rsidRDefault="003C5F97">
      <w:pPr>
        <w:pStyle w:val="ArendeRubrik"/>
      </w:pPr>
    </w:p>
    <w:p w:rsidR="003C5F97" w:rsidRDefault="003C5F97">
      <w:pPr>
        <w:pStyle w:val="ANormal"/>
      </w:pPr>
    </w:p>
    <w:p w:rsidR="003C5F97" w:rsidRDefault="003C5F97">
      <w:pPr>
        <w:pStyle w:val="ANormal"/>
      </w:pPr>
      <w:r>
        <w:t xml:space="preserve">Motivering: </w:t>
      </w: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  <w:r>
        <w:t>I motiveringarna till lagen sägs bland annat att avdraget införs för att lindra beskattningen för låg- och medelinkomsttagare. Från förslaget framgår dock att de, som har en inkomst under 13 900 euro inte kommer att ha n</w:t>
      </w:r>
      <w:r>
        <w:t>å</w:t>
      </w:r>
      <w:r>
        <w:t>gon nytta av detta avdrag.  Utskottet har noterat att gränsen för låginkoms</w:t>
      </w:r>
      <w:r>
        <w:t>t</w:t>
      </w:r>
      <w:r>
        <w:t xml:space="preserve">tagare ligger vid 60 % av medianlönen. För Ålands del råkar denna gräns ligga i närheten av 13 900 euro. Detta innebär låginkomsttagarna inte kommer att ha någon nytta av detta avdrag. </w:t>
      </w:r>
    </w:p>
    <w:p w:rsidR="003C5F97" w:rsidRDefault="003C5F97" w:rsidP="00940644">
      <w:pPr>
        <w:pStyle w:val="ANormal"/>
      </w:pPr>
      <w:r>
        <w:t xml:space="preserve">I motiveringen kan vi även läsa att avdraget skall stimulera tillväxten. Denna effekt torde vara väldigt liten och torde ligga inom felmarginalen för mätningen av BNP.   </w:t>
      </w:r>
    </w:p>
    <w:p w:rsidR="003C5F97" w:rsidRDefault="003C5F97" w:rsidP="00940644">
      <w:pPr>
        <w:pStyle w:val="ANormal"/>
      </w:pPr>
      <w:r>
        <w:t>Införandet av detta avdrag medför även en del kostnader, vilket även fra</w:t>
      </w:r>
      <w:r>
        <w:t>m</w:t>
      </w:r>
      <w:r>
        <w:t>går ur lagförslaget.</w:t>
      </w: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  <w:r w:rsidRPr="00940644">
        <w:t>Med anledning av det ovanstående föreslår jag</w:t>
      </w:r>
      <w:r>
        <w:t xml:space="preserve"> </w:t>
      </w:r>
    </w:p>
    <w:p w:rsidR="003C5F97" w:rsidRDefault="003C5F97" w:rsidP="00940644">
      <w:pPr>
        <w:pStyle w:val="ANormal"/>
      </w:pPr>
      <w:r>
        <w:tab/>
      </w:r>
      <w:r>
        <w:tab/>
      </w:r>
    </w:p>
    <w:p w:rsidR="003C5F97" w:rsidRDefault="003C5F97" w:rsidP="00940644">
      <w:pPr>
        <w:pStyle w:val="ANormal"/>
      </w:pPr>
      <w:r>
        <w:tab/>
      </w:r>
      <w:r>
        <w:tab/>
      </w:r>
      <w:proofErr w:type="gramStart"/>
      <w:r>
        <w:t>att lagförslaget skall förkastas i sin helhet.</w:t>
      </w:r>
      <w:proofErr w:type="gramEnd"/>
    </w:p>
    <w:p w:rsidR="003C5F97" w:rsidRDefault="003C5F97" w:rsidP="00940644">
      <w:pPr>
        <w:pStyle w:val="ANormal"/>
      </w:pPr>
      <w:r>
        <w:tab/>
      </w: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  <w:r>
        <w:t>Mariehamn den 12 december 2017</w:t>
      </w: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  <w:r>
        <w:t>Stephan Toivonen</w:t>
      </w: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</w:p>
    <w:p w:rsidR="003C5F97" w:rsidRDefault="003C5F97" w:rsidP="00940644">
      <w:pPr>
        <w:pStyle w:val="ANormal"/>
      </w:pPr>
    </w:p>
    <w:p w:rsidR="003C5F97" w:rsidRDefault="003C5F97">
      <w:pPr>
        <w:pStyle w:val="ANormal"/>
      </w:pPr>
    </w:p>
    <w:p w:rsidR="003C5F97" w:rsidRDefault="003C5F97">
      <w:pPr>
        <w:pStyle w:val="ANormal"/>
      </w:pPr>
    </w:p>
    <w:p w:rsidR="003C5F97" w:rsidRDefault="003C5F97">
      <w:pPr>
        <w:pStyle w:val="ANormal"/>
      </w:pPr>
    </w:p>
    <w:p w:rsidR="003C5F97" w:rsidRDefault="003C5F97">
      <w:pPr>
        <w:pStyle w:val="ANormal"/>
      </w:pPr>
    </w:p>
    <w:sectPr w:rsidR="003C5F97">
      <w:headerReference w:type="even" r:id="rId23"/>
      <w:headerReference w:type="default" r:id="rId24"/>
      <w:footerReference w:type="default" r:id="rId2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11" w:rsidRDefault="00A67F11">
      <w:r>
        <w:separator/>
      </w:r>
    </w:p>
  </w:endnote>
  <w:endnote w:type="continuationSeparator" w:id="0">
    <w:p w:rsidR="00A67F11" w:rsidRDefault="00A6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1" w:rsidRDefault="00A67F1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1" w:rsidRDefault="00A67F1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C5F97">
      <w:rPr>
        <w:noProof/>
        <w:lang w:val="fi-FI"/>
      </w:rPr>
      <w:t>FNU0320172018.docx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1" w:rsidRDefault="00A67F11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97" w:rsidRDefault="003C5F97">
    <w:pPr>
      <w:pStyle w:val="Sidfot"/>
      <w:tabs>
        <w:tab w:val="clear" w:pos="816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97" w:rsidRDefault="003C5F9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FNU0320172018.docx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97" w:rsidRDefault="003C5F97">
    <w:pPr>
      <w:pStyle w:val="Sidfo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FA2A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11" w:rsidRDefault="00A67F11">
      <w:r>
        <w:separator/>
      </w:r>
    </w:p>
  </w:footnote>
  <w:footnote w:type="continuationSeparator" w:id="0">
    <w:p w:rsidR="00A67F11" w:rsidRDefault="00A6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1" w:rsidRDefault="00A67F1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A2A77">
      <w:rPr>
        <w:rStyle w:val="Sidnummer"/>
        <w:noProof/>
      </w:rPr>
      <w:t>2</w:t>
    </w:r>
    <w:r>
      <w:rPr>
        <w:rStyle w:val="Sidnummer"/>
      </w:rPr>
      <w:fldChar w:fldCharType="end"/>
    </w:r>
  </w:p>
  <w:p w:rsidR="00A67F11" w:rsidRDefault="00A67F1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1" w:rsidRDefault="00A67F1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46E3C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97" w:rsidRDefault="003C5F97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97" w:rsidRDefault="003C5F97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97" w:rsidRDefault="003C5F97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FA2A7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FA2A77">
    <w:pPr>
      <w:pStyle w:val="Sidhuvu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FA2A7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2"/>
    <w:rsid w:val="00015E9C"/>
    <w:rsid w:val="00051556"/>
    <w:rsid w:val="000B2DC9"/>
    <w:rsid w:val="000F7417"/>
    <w:rsid w:val="0015337C"/>
    <w:rsid w:val="001A2ED2"/>
    <w:rsid w:val="001D37CE"/>
    <w:rsid w:val="00220BA4"/>
    <w:rsid w:val="002401D0"/>
    <w:rsid w:val="002B32D1"/>
    <w:rsid w:val="00311E83"/>
    <w:rsid w:val="00342BC7"/>
    <w:rsid w:val="0036359C"/>
    <w:rsid w:val="00380122"/>
    <w:rsid w:val="003C5F97"/>
    <w:rsid w:val="004F4360"/>
    <w:rsid w:val="00632446"/>
    <w:rsid w:val="00673609"/>
    <w:rsid w:val="00685549"/>
    <w:rsid w:val="006B135C"/>
    <w:rsid w:val="006B2E9E"/>
    <w:rsid w:val="00723B93"/>
    <w:rsid w:val="00772E70"/>
    <w:rsid w:val="00811D50"/>
    <w:rsid w:val="00817B04"/>
    <w:rsid w:val="00957C36"/>
    <w:rsid w:val="009D73B2"/>
    <w:rsid w:val="009F7CE2"/>
    <w:rsid w:val="00A67F11"/>
    <w:rsid w:val="00B32E91"/>
    <w:rsid w:val="00B36A8F"/>
    <w:rsid w:val="00B90DEC"/>
    <w:rsid w:val="00B92CE0"/>
    <w:rsid w:val="00B97E76"/>
    <w:rsid w:val="00BE5A61"/>
    <w:rsid w:val="00C269D4"/>
    <w:rsid w:val="00C41765"/>
    <w:rsid w:val="00C46E3C"/>
    <w:rsid w:val="00CB087E"/>
    <w:rsid w:val="00CC7623"/>
    <w:rsid w:val="00CF700E"/>
    <w:rsid w:val="00D204D7"/>
    <w:rsid w:val="00DC45B2"/>
    <w:rsid w:val="00DF0033"/>
    <w:rsid w:val="00E50EED"/>
    <w:rsid w:val="00E87D2D"/>
    <w:rsid w:val="00EF1C11"/>
    <w:rsid w:val="00EF3497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EF3497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A67F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7F11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EF3497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A67F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7F11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lf0420172018.htm" TargetMode="Externa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3</Pages>
  <Words>640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finans-och näringsutskottets betänkande nr 3/2017-2018</vt:lpstr>
    </vt:vector>
  </TitlesOfParts>
  <Company>Ålands lagting</Company>
  <LinksUpToDate>false</LinksUpToDate>
  <CharactersWithSpaces>5509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finans-och näringsutskottets betänkande nr 3/2017-2018</dc:title>
  <dc:creator>Jessica Laaksonen</dc:creator>
  <cp:lastModifiedBy>Jessica Laaksonen</cp:lastModifiedBy>
  <cp:revision>3</cp:revision>
  <cp:lastPrinted>2017-12-12T10:54:00Z</cp:lastPrinted>
  <dcterms:created xsi:type="dcterms:W3CDTF">2017-12-12T10:56:00Z</dcterms:created>
  <dcterms:modified xsi:type="dcterms:W3CDTF">2017-12-12T10:56:00Z</dcterms:modified>
</cp:coreProperties>
</file>