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B9004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B9004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A7312E">
            <w:pPr>
              <w:pStyle w:val="xDokTypNr"/>
            </w:pPr>
            <w:r>
              <w:t xml:space="preserve">BETÄNKANDE nr </w:t>
            </w:r>
            <w:r w:rsidR="00A7312E">
              <w:t>19</w:t>
            </w:r>
            <w:r>
              <w:t>/20</w:t>
            </w:r>
            <w:r w:rsidR="00723B93">
              <w:t>1</w:t>
            </w:r>
            <w:r w:rsidR="002B0319">
              <w:t>8</w:t>
            </w:r>
            <w:r w:rsidR="0015337C">
              <w:t>-20</w:t>
            </w:r>
            <w:r w:rsidR="009F7CE2">
              <w:t>1</w:t>
            </w:r>
            <w:r w:rsidR="002B0319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2B0319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2251E">
            <w:pPr>
              <w:pStyle w:val="xDatum1"/>
            </w:pPr>
            <w:r>
              <w:t>20</w:t>
            </w:r>
            <w:r w:rsidR="00B32E91">
              <w:t>1</w:t>
            </w:r>
            <w:r w:rsidR="00251011">
              <w:t>9</w:t>
            </w:r>
            <w:r w:rsidR="002B0319">
              <w:t>-</w:t>
            </w:r>
            <w:r w:rsidR="00C2251E">
              <w:t>08-27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2B0319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B90046">
      <w:pPr>
        <w:pStyle w:val="ArendeRubrik"/>
      </w:pPr>
      <w:r w:rsidRPr="00B90046">
        <w:t>Republikens presidents framställning till Ålands lagting med anledning av regeringens proposition till riksdagen med förslag till lag om ändring av 30 § i självstyrelselagen för Åland</w:t>
      </w:r>
    </w:p>
    <w:p w:rsidR="00B90046" w:rsidRDefault="00FB2DF7" w:rsidP="00B90046">
      <w:pPr>
        <w:pStyle w:val="ArendeUnderRubrik"/>
        <w:numPr>
          <w:ilvl w:val="0"/>
          <w:numId w:val="23"/>
        </w:numPr>
      </w:pPr>
      <w:hyperlink r:id="rId12" w:history="1">
        <w:r w:rsidR="00B90046" w:rsidRPr="00FB2DF7">
          <w:rPr>
            <w:rStyle w:val="Hyperlnk"/>
          </w:rPr>
          <w:t>Republikens presidents framställning RP 7/2017-2018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B9004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29531335" w:history="1">
        <w:r w:rsidR="00B90046" w:rsidRPr="002420F5">
          <w:rPr>
            <w:rStyle w:val="Hyperlnk"/>
          </w:rPr>
          <w:t>Sammanfattning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_Toc529531335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1</w:t>
        </w:r>
        <w:r w:rsidR="00B90046">
          <w:rPr>
            <w:webHidden/>
          </w:rPr>
          <w:fldChar w:fldCharType="end"/>
        </w:r>
      </w:hyperlink>
    </w:p>
    <w:p w:rsidR="00B90046" w:rsidRDefault="00FB2D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531336" w:history="1">
        <w:r w:rsidR="00B90046" w:rsidRPr="002420F5">
          <w:rPr>
            <w:rStyle w:val="Hyperlnk"/>
          </w:rPr>
          <w:t>Republikens presidents förslag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_Toc529531336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1</w:t>
        </w:r>
        <w:r w:rsidR="00B90046">
          <w:rPr>
            <w:webHidden/>
          </w:rPr>
          <w:fldChar w:fldCharType="end"/>
        </w:r>
      </w:hyperlink>
    </w:p>
    <w:p w:rsidR="00B90046" w:rsidRDefault="00FB2D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531337" w:history="1">
        <w:r w:rsidR="00B90046" w:rsidRPr="002420F5">
          <w:rPr>
            <w:rStyle w:val="Hyperlnk"/>
          </w:rPr>
          <w:t>Utskottets förslag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_Toc529531337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1</w:t>
        </w:r>
        <w:r w:rsidR="00B90046">
          <w:rPr>
            <w:webHidden/>
          </w:rPr>
          <w:fldChar w:fldCharType="end"/>
        </w:r>
      </w:hyperlink>
    </w:p>
    <w:p w:rsidR="00B90046" w:rsidRDefault="00FB2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531338" w:history="1">
        <w:r w:rsidR="00B90046" w:rsidRPr="002420F5">
          <w:rPr>
            <w:rStyle w:val="Hyperlnk"/>
          </w:rPr>
          <w:t>Utskottets synpunkter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_Toc529531338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1</w:t>
        </w:r>
        <w:r w:rsidR="00B90046">
          <w:rPr>
            <w:webHidden/>
          </w:rPr>
          <w:fldChar w:fldCharType="end"/>
        </w:r>
      </w:hyperlink>
    </w:p>
    <w:p w:rsidR="00B90046" w:rsidRDefault="00FB2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531339" w:history="1">
        <w:r w:rsidR="00B90046" w:rsidRPr="002420F5">
          <w:rPr>
            <w:rStyle w:val="Hyperlnk"/>
          </w:rPr>
          <w:t>Ärendets behandling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_Toc529531339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2</w:t>
        </w:r>
        <w:r w:rsidR="00B90046">
          <w:rPr>
            <w:webHidden/>
          </w:rPr>
          <w:fldChar w:fldCharType="end"/>
        </w:r>
      </w:hyperlink>
    </w:p>
    <w:p w:rsidR="00B90046" w:rsidRDefault="00FB2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9531340" w:history="1">
        <w:r w:rsidR="00B90046" w:rsidRPr="002420F5">
          <w:rPr>
            <w:rStyle w:val="Hyperlnk"/>
          </w:rPr>
          <w:t>Utskottets förslag</w:t>
        </w:r>
        <w:r w:rsidR="00B90046">
          <w:rPr>
            <w:webHidden/>
          </w:rPr>
          <w:tab/>
        </w:r>
        <w:r w:rsidR="00B90046">
          <w:rPr>
            <w:webHidden/>
          </w:rPr>
          <w:fldChar w:fldCharType="begin"/>
        </w:r>
        <w:r w:rsidR="00B90046">
          <w:rPr>
            <w:webHidden/>
          </w:rPr>
          <w:instrText xml:space="preserve"> PAGEREF _Toc529531340 \h </w:instrText>
        </w:r>
        <w:r w:rsidR="00B90046">
          <w:rPr>
            <w:webHidden/>
          </w:rPr>
        </w:r>
        <w:r w:rsidR="00B90046">
          <w:rPr>
            <w:webHidden/>
          </w:rPr>
          <w:fldChar w:fldCharType="separate"/>
        </w:r>
        <w:r w:rsidR="008433D8">
          <w:rPr>
            <w:webHidden/>
          </w:rPr>
          <w:t>2</w:t>
        </w:r>
        <w:r w:rsidR="00B9004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29531335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B90046">
      <w:pPr>
        <w:pStyle w:val="RubrikB"/>
      </w:pPr>
      <w:bookmarkStart w:id="4" w:name="_Toc529800933"/>
      <w:bookmarkStart w:id="5" w:name="_Toc529531336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B90046" w:rsidRDefault="00B90046" w:rsidP="00B90046">
      <w:pPr>
        <w:pStyle w:val="ANormal"/>
      </w:pPr>
      <w:r>
        <w:t>Till riksdagen har den 20 september 2018 överlämnats regeringens prop</w:t>
      </w:r>
      <w:r>
        <w:t>o</w:t>
      </w:r>
      <w:r>
        <w:t xml:space="preserve">sition med förslag till lag om ändring av 30 § i självstyrelselagen för Åland. </w:t>
      </w:r>
    </w:p>
    <w:p w:rsidR="00B90046" w:rsidRDefault="00B90046" w:rsidP="00B90046">
      <w:pPr>
        <w:pStyle w:val="ANormal"/>
      </w:pPr>
      <w:r>
        <w:rPr>
          <w:spacing w:val="-3"/>
        </w:rPr>
        <w:t>Enligt 69 § i självstyrelselagen kan lagen inte ändras annat än genom överen</w:t>
      </w:r>
      <w:r>
        <w:rPr>
          <w:spacing w:val="-3"/>
        </w:rPr>
        <w:t>s</w:t>
      </w:r>
      <w:r>
        <w:rPr>
          <w:spacing w:val="-3"/>
        </w:rPr>
        <w:t>stämmande beslut av riksdagen och lagtinget. Besluten ska i riksdagen fattas i grundlagsordning och i lagtinget med en majoritet om minst två tredjedelar av de angivna rösterna.</w:t>
      </w:r>
    </w:p>
    <w:p w:rsidR="00B90046" w:rsidRDefault="00C2251E" w:rsidP="00B90046">
      <w:pPr>
        <w:pStyle w:val="ANormal"/>
      </w:pPr>
      <w:r>
        <w:tab/>
      </w:r>
      <w:r w:rsidR="00B90046">
        <w:t>I propositionen föreslås att riksdagen behandlar lagförslaget i bråd</w:t>
      </w:r>
      <w:r w:rsidR="00B90046">
        <w:t>s</w:t>
      </w:r>
      <w:r w:rsidR="00B90046">
        <w:t xml:space="preserve">kande ordning på det sätt som avses i 73 § 2 mom. i grundlagen. </w:t>
      </w:r>
    </w:p>
    <w:p w:rsidR="00B90046" w:rsidRPr="002922C3" w:rsidRDefault="00C2251E" w:rsidP="00B90046">
      <w:pPr>
        <w:pStyle w:val="ANormal"/>
      </w:pPr>
      <w:r>
        <w:tab/>
      </w:r>
      <w:r w:rsidR="00B90046">
        <w:t xml:space="preserve">Regeringens proposition överlämnas till lagtinget för att behandlas i den ordning som anges i 69 § i självstyrelselagen för Åland.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29531337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251011">
      <w:pPr>
        <w:pStyle w:val="ANormal"/>
      </w:pPr>
      <w:r>
        <w:t xml:space="preserve">Utskottet föreslår att lagtinget ger det begärda samtycket. </w:t>
      </w:r>
    </w:p>
    <w:p w:rsidR="00251011" w:rsidRDefault="00251011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29531338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51011" w:rsidRDefault="00F13F81">
      <w:pPr>
        <w:pStyle w:val="ANormal"/>
      </w:pPr>
      <w:r>
        <w:t xml:space="preserve">I propositionen föreslås att självstyrelselagen ändras så att överföringen av konsumentrådgivningsuppgifterna från magistraten till Konkurrens- och konsumentverket beaktas. </w:t>
      </w:r>
    </w:p>
    <w:p w:rsidR="00F13F81" w:rsidRDefault="00251011">
      <w:pPr>
        <w:pStyle w:val="ANormal"/>
      </w:pPr>
      <w:r>
        <w:tab/>
      </w:r>
      <w:r w:rsidR="00F13F81">
        <w:t xml:space="preserve">Den föreslagna ändringen är av </w:t>
      </w:r>
      <w:r w:rsidR="00F9080A">
        <w:t xml:space="preserve">närmast </w:t>
      </w:r>
      <w:r w:rsidR="00F13F81">
        <w:t>lagteknisk karaktär. Kons</w:t>
      </w:r>
      <w:r w:rsidR="00F13F81">
        <w:t>u</w:t>
      </w:r>
      <w:r w:rsidR="00F13F81">
        <w:t>mentskyddet faller inom rikets lagstiftningsbehörighet enligt 27 § 10 pun</w:t>
      </w:r>
      <w:r w:rsidR="00F13F81">
        <w:t>k</w:t>
      </w:r>
      <w:r w:rsidR="00F13F81">
        <w:t>ten i självstyrelselagen men enligt lagens 30 § 11 punkt ska de uppgifter som enligt lagstiftningen om konsumentrådgivning ankommer på magistr</w:t>
      </w:r>
      <w:r w:rsidR="00F13F81">
        <w:t>a</w:t>
      </w:r>
      <w:r w:rsidR="00F13F81">
        <w:t>terna på Åland skötas av landskapsmyndigheterna i enlighet med avtal me</w:t>
      </w:r>
      <w:r w:rsidR="00F13F81">
        <w:t>l</w:t>
      </w:r>
      <w:r w:rsidR="00F13F81">
        <w:t>lan landskapet och staten. I enighet med ett beslut av finansministeriet har dock konsumentrådgivningsuppgifterna överförs till Konkurrens- och ko</w:t>
      </w:r>
      <w:r w:rsidR="00F13F81">
        <w:t>n</w:t>
      </w:r>
      <w:r w:rsidR="00F13F81">
        <w:t>sumentverket från ingången av 2019 varför statsrådet gjort bedömningen att en ändring av självstyrelselagen är nödvändig för att det ska finnas en la</w:t>
      </w:r>
      <w:r w:rsidR="00F13F81">
        <w:t>g</w:t>
      </w:r>
      <w:r w:rsidR="00F13F81">
        <w:t xml:space="preserve">lig grund för de överföringar som sker från staten till landskapsregeringen i enlighet med avtalet. </w:t>
      </w:r>
    </w:p>
    <w:p w:rsidR="00F13F81" w:rsidRDefault="00F13F81">
      <w:pPr>
        <w:pStyle w:val="ANormal"/>
      </w:pPr>
    </w:p>
    <w:p w:rsidR="002401D0" w:rsidRDefault="00F13F81">
      <w:pPr>
        <w:pStyle w:val="ANormal"/>
      </w:pPr>
      <w:r>
        <w:tab/>
        <w:t>Ikraftträdelsebestämmelsen i den föreslagna lagen är öppen men lagen var ursprungligen avsedd att träda i kraft den 1 januari 2019</w:t>
      </w:r>
      <w:r w:rsidR="00F9080A">
        <w:t xml:space="preserve"> då konsumen</w:t>
      </w:r>
      <w:r w:rsidR="00F9080A">
        <w:t>t</w:t>
      </w:r>
      <w:r w:rsidR="00F9080A">
        <w:t>rådgivningsuppgifterna överför</w:t>
      </w:r>
      <w:r w:rsidR="00C2251E">
        <w:t>de</w:t>
      </w:r>
      <w:r w:rsidR="00F9080A">
        <w:t>s till Konkurrens- och konsumentverket</w:t>
      </w:r>
      <w:r>
        <w:t xml:space="preserve">. Betalningen från staten till landskapsregeringen har </w:t>
      </w:r>
      <w:r w:rsidR="00251011">
        <w:t>under året skötts g</w:t>
      </w:r>
      <w:r w:rsidR="00251011">
        <w:t>e</w:t>
      </w:r>
      <w:r w:rsidR="00251011">
        <w:t>nom ett temporärt arrangemang utan lagstöd.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29531339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B90046" w:rsidRDefault="00B90046" w:rsidP="00B90046">
      <w:pPr>
        <w:pStyle w:val="ANormal"/>
      </w:pPr>
      <w:r>
        <w:t>Lagtinget ha</w:t>
      </w:r>
      <w:r w:rsidR="00C2251E">
        <w:t>r den 19</w:t>
      </w:r>
      <w:r>
        <w:t xml:space="preserve"> november 2018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251011" w:rsidRDefault="00251011" w:rsidP="00B90046">
      <w:pPr>
        <w:pStyle w:val="ANormal"/>
      </w:pPr>
      <w:r>
        <w:tab/>
        <w:t>Utskottet har i ärendet hört lantrådet Katrin Sjögren samt lagstiftning</w:t>
      </w:r>
      <w:r>
        <w:t>s</w:t>
      </w:r>
      <w:r>
        <w:t xml:space="preserve">rådet Janina </w:t>
      </w:r>
      <w:proofErr w:type="spellStart"/>
      <w:r>
        <w:t>Groop</w:t>
      </w:r>
      <w:proofErr w:type="spellEnd"/>
      <w:r>
        <w:t>-Bondestam (per telefon).</w:t>
      </w:r>
    </w:p>
    <w:p w:rsidR="00B90046" w:rsidRDefault="00B90046" w:rsidP="00B90046">
      <w:pPr>
        <w:pStyle w:val="ANormal"/>
      </w:pPr>
      <w:r>
        <w:t xml:space="preserve">     I ärendets avgörande behandling deltog ordföranden Harry Jansson, viceordföranden Roger Eriksson, ledamöterna Johan Ehn, Bert Häggblom, Mikael </w:t>
      </w:r>
      <w:proofErr w:type="spellStart"/>
      <w:r>
        <w:t>Staffas</w:t>
      </w:r>
      <w:proofErr w:type="spellEnd"/>
      <w:r>
        <w:t xml:space="preserve"> och Tony Wikström</w:t>
      </w:r>
      <w:r w:rsidR="00C2251E">
        <w:t xml:space="preserve"> samt ersättaren Axel Jonsson.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29531340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51011">
      <w:pPr>
        <w:pStyle w:val="Klam"/>
      </w:pPr>
      <w:r w:rsidRPr="00251011">
        <w:t>att lagtinget för sin del godkänner förslaget till lag om ändring av självstyrelselagen för Åland i den lydelse det har enligt regerin</w:t>
      </w:r>
      <w:r w:rsidRPr="00251011">
        <w:t>g</w:t>
      </w:r>
      <w:r w:rsidR="00A7312E">
        <w:t>ens proposition </w:t>
      </w:r>
      <w:r w:rsidRPr="00251011">
        <w:t xml:space="preserve">nr </w:t>
      </w:r>
      <w:r>
        <w:t>135</w:t>
      </w:r>
      <w:r w:rsidRPr="00251011">
        <w:t>/201</w:t>
      </w:r>
      <w:r>
        <w:t>8</w:t>
      </w:r>
      <w:r w:rsidRPr="00251011">
        <w:t xml:space="preserve"> </w:t>
      </w:r>
      <w:proofErr w:type="spellStart"/>
      <w:r w:rsidRPr="00251011">
        <w:t>rd</w:t>
      </w:r>
      <w:proofErr w:type="spellEnd"/>
      <w:r w:rsidRPr="00251011">
        <w:t>.</w:t>
      </w:r>
    </w:p>
    <w:p w:rsidR="002401D0" w:rsidRDefault="00FB2DF7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C2251E">
            <w:pPr>
              <w:pStyle w:val="ANormal"/>
              <w:keepNext/>
            </w:pPr>
            <w:r>
              <w:t xml:space="preserve">Mariehamn den </w:t>
            </w:r>
            <w:r w:rsidR="00C2251E">
              <w:t>27 augusti</w:t>
            </w:r>
            <w:r w:rsidR="00A7312E">
              <w:t xml:space="preserve"> </w:t>
            </w:r>
            <w:r w:rsidR="00B90046">
              <w:t>201</w:t>
            </w:r>
            <w:r w:rsidR="00251011">
              <w:t>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90046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90046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9" w:rsidRDefault="002B0319">
      <w:r>
        <w:separator/>
      </w:r>
    </w:p>
  </w:endnote>
  <w:endnote w:type="continuationSeparator" w:id="0">
    <w:p w:rsidR="002B0319" w:rsidRDefault="002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433D8">
      <w:rPr>
        <w:noProof/>
        <w:lang w:val="fi-FI"/>
      </w:rPr>
      <w:t>LKU1920182019.docx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9" w:rsidRDefault="002B0319">
      <w:r>
        <w:separator/>
      </w:r>
    </w:p>
  </w:footnote>
  <w:footnote w:type="continuationSeparator" w:id="0">
    <w:p w:rsidR="002B0319" w:rsidRDefault="002B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33D8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9"/>
    <w:rsid w:val="00015E9C"/>
    <w:rsid w:val="00051556"/>
    <w:rsid w:val="000B2DC9"/>
    <w:rsid w:val="000B52CE"/>
    <w:rsid w:val="000F7417"/>
    <w:rsid w:val="00127306"/>
    <w:rsid w:val="0015337C"/>
    <w:rsid w:val="002401D0"/>
    <w:rsid w:val="00251011"/>
    <w:rsid w:val="002B0319"/>
    <w:rsid w:val="0036359C"/>
    <w:rsid w:val="00381E64"/>
    <w:rsid w:val="006B2E9E"/>
    <w:rsid w:val="00723B93"/>
    <w:rsid w:val="00811D50"/>
    <w:rsid w:val="00817B04"/>
    <w:rsid w:val="008433D8"/>
    <w:rsid w:val="00957C36"/>
    <w:rsid w:val="009D73B2"/>
    <w:rsid w:val="009F7CE2"/>
    <w:rsid w:val="00A7312E"/>
    <w:rsid w:val="00B32E91"/>
    <w:rsid w:val="00B36A8F"/>
    <w:rsid w:val="00B90046"/>
    <w:rsid w:val="00B90DEC"/>
    <w:rsid w:val="00C2251E"/>
    <w:rsid w:val="00CB087E"/>
    <w:rsid w:val="00CF700E"/>
    <w:rsid w:val="00DC45B2"/>
    <w:rsid w:val="00F13F81"/>
    <w:rsid w:val="00F9080A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046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B90046"/>
    <w:rPr>
      <w:sz w:val="24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B90046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0B52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52CE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046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B90046"/>
    <w:rPr>
      <w:sz w:val="24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B90046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0B52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52CE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7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450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19/2018-2019</vt:lpstr>
    </vt:vector>
  </TitlesOfParts>
  <Company>Ålands lagting</Company>
  <LinksUpToDate>false</LinksUpToDate>
  <CharactersWithSpaces>4002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19/2018-2019</dc:title>
  <dc:creator>Jessica Laaksonen</dc:creator>
  <cp:lastModifiedBy>Jessica Laaksonen</cp:lastModifiedBy>
  <cp:revision>3</cp:revision>
  <cp:lastPrinted>2019-08-29T08:20:00Z</cp:lastPrinted>
  <dcterms:created xsi:type="dcterms:W3CDTF">2019-08-29T09:36:00Z</dcterms:created>
  <dcterms:modified xsi:type="dcterms:W3CDTF">2019-08-29T09:36:00Z</dcterms:modified>
</cp:coreProperties>
</file>