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64396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5615" cy="683895"/>
                  <wp:effectExtent l="0" t="0" r="635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64396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58276E">
            <w:pPr>
              <w:pStyle w:val="xDokTypNr"/>
            </w:pPr>
            <w:r>
              <w:t xml:space="preserve">BETÄNKANDE nr </w:t>
            </w:r>
            <w:r w:rsidR="0073582F">
              <w:t>2</w:t>
            </w:r>
            <w:r>
              <w:t>/20</w:t>
            </w:r>
            <w:r w:rsidR="00723B93">
              <w:t>1</w:t>
            </w:r>
            <w:r w:rsidR="00124B87">
              <w:t>8</w:t>
            </w:r>
            <w:r w:rsidR="0015337C">
              <w:t>-20</w:t>
            </w:r>
            <w:r w:rsidR="009F7CE2">
              <w:t>1</w:t>
            </w:r>
            <w:r w:rsidR="00124B87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535A9F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7512DF" w:rsidP="00582795">
            <w:pPr>
              <w:pStyle w:val="xDatum1"/>
            </w:pPr>
            <w:r>
              <w:t>201</w:t>
            </w:r>
            <w:r w:rsidR="00710507">
              <w:t>8</w:t>
            </w:r>
            <w:r w:rsidR="00124B87">
              <w:t>-11</w:t>
            </w:r>
            <w:r w:rsidR="00D80232">
              <w:t>-</w:t>
            </w:r>
            <w:r w:rsidR="00582795">
              <w:t>20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535A9F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535A9F">
      <w:pPr>
        <w:pStyle w:val="ArendeRubrik"/>
      </w:pPr>
      <w:r>
        <w:t xml:space="preserve">Förslag till </w:t>
      </w:r>
      <w:r w:rsidR="00124B87">
        <w:t>andra</w:t>
      </w:r>
      <w:r w:rsidR="00710507">
        <w:t xml:space="preserve"> tilläggsbudget för år 201</w:t>
      </w:r>
      <w:r w:rsidR="00D9400E">
        <w:t>8</w:t>
      </w:r>
    </w:p>
    <w:p w:rsidR="002401D0" w:rsidRPr="00206FE0" w:rsidRDefault="00206FE0" w:rsidP="00710507">
      <w:pPr>
        <w:pStyle w:val="ArendeUnderRubrik"/>
        <w:rPr>
          <w:rStyle w:val="Hyperlnk"/>
        </w:rPr>
      </w:pPr>
      <w:r>
        <w:fldChar w:fldCharType="begin"/>
      </w:r>
      <w:r w:rsidR="00CE14F7">
        <w:instrText>HYPERLINK "http://dokument.lagtinget.ax/handlingar/2017-2018/BF05/bf0520172018.htm"</w:instrText>
      </w:r>
      <w:r>
        <w:fldChar w:fldCharType="separate"/>
      </w:r>
      <w:r w:rsidR="00C70F59" w:rsidRPr="00206FE0">
        <w:rPr>
          <w:rStyle w:val="Hyperlnk"/>
        </w:rPr>
        <w:t xml:space="preserve">Landskapsregeringens </w:t>
      </w:r>
      <w:r w:rsidR="008369C5" w:rsidRPr="00206FE0">
        <w:rPr>
          <w:rStyle w:val="Hyperlnk"/>
        </w:rPr>
        <w:t>budget</w:t>
      </w:r>
      <w:r w:rsidR="00C70F59" w:rsidRPr="00206FE0">
        <w:rPr>
          <w:rStyle w:val="Hyperlnk"/>
        </w:rPr>
        <w:t xml:space="preserve">förslag </w:t>
      </w:r>
      <w:r w:rsidR="008369C5" w:rsidRPr="00206FE0">
        <w:rPr>
          <w:rStyle w:val="Hyperlnk"/>
        </w:rPr>
        <w:t xml:space="preserve">nr </w:t>
      </w:r>
      <w:r w:rsidR="00124B87" w:rsidRPr="00206FE0">
        <w:rPr>
          <w:rStyle w:val="Hyperlnk"/>
        </w:rPr>
        <w:t>5</w:t>
      </w:r>
      <w:r w:rsidR="008369C5" w:rsidRPr="00206FE0">
        <w:rPr>
          <w:rStyle w:val="Hyperlnk"/>
        </w:rPr>
        <w:t>/2017-</w:t>
      </w:r>
      <w:r w:rsidR="00710507" w:rsidRPr="00206FE0">
        <w:rPr>
          <w:rStyle w:val="Hyperlnk"/>
        </w:rPr>
        <w:t>201</w:t>
      </w:r>
      <w:r w:rsidR="00D9400E" w:rsidRPr="00206FE0">
        <w:rPr>
          <w:rStyle w:val="Hyperlnk"/>
        </w:rPr>
        <w:t>8</w:t>
      </w:r>
      <w:r w:rsidR="008369C5" w:rsidRPr="00206FE0">
        <w:rPr>
          <w:rStyle w:val="Hyperlnk"/>
        </w:rPr>
        <w:t xml:space="preserve"> </w:t>
      </w:r>
    </w:p>
    <w:p w:rsidR="005701BA" w:rsidRDefault="00206FE0" w:rsidP="00710507">
      <w:pPr>
        <w:pStyle w:val="ArendeUnderRubrik"/>
      </w:pPr>
      <w:r>
        <w:fldChar w:fldCharType="end"/>
      </w:r>
      <w:bookmarkStart w:id="1" w:name="_GoBack"/>
      <w:bookmarkEnd w:id="1"/>
      <w:r w:rsidR="005701BA">
        <w:t xml:space="preserve">Budgetmotionerna nr </w:t>
      </w:r>
      <w:r w:rsidR="00AB09B9">
        <w:t>51-56</w:t>
      </w:r>
      <w:r w:rsidR="005701BA">
        <w:t>/2017-2018</w:t>
      </w:r>
    </w:p>
    <w:p w:rsidR="005701BA" w:rsidRDefault="005701BA" w:rsidP="005701BA">
      <w:pPr>
        <w:pStyle w:val="ArendeUnderRubrik"/>
        <w:numPr>
          <w:ilvl w:val="0"/>
          <w:numId w:val="0"/>
        </w:numPr>
        <w:ind w:left="283"/>
      </w:pPr>
    </w:p>
    <w:p w:rsidR="002401D0" w:rsidRDefault="002401D0">
      <w:pPr>
        <w:pStyle w:val="Innehll1"/>
      </w:pPr>
      <w:r>
        <w:t>INNEHÅLL</w:t>
      </w:r>
    </w:p>
    <w:p w:rsidR="00F37B61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30468632" w:history="1">
        <w:r w:rsidR="00F37B61" w:rsidRPr="00A272D6">
          <w:rPr>
            <w:rStyle w:val="Hyperlnk"/>
          </w:rPr>
          <w:t>Sammanfattning</w:t>
        </w:r>
        <w:r w:rsidR="00F37B61">
          <w:rPr>
            <w:webHidden/>
          </w:rPr>
          <w:tab/>
        </w:r>
        <w:r w:rsidR="00F37B61">
          <w:rPr>
            <w:webHidden/>
          </w:rPr>
          <w:fldChar w:fldCharType="begin"/>
        </w:r>
        <w:r w:rsidR="00F37B61">
          <w:rPr>
            <w:webHidden/>
          </w:rPr>
          <w:instrText xml:space="preserve"> PAGEREF _Toc530468632 \h </w:instrText>
        </w:r>
        <w:r w:rsidR="00F37B61">
          <w:rPr>
            <w:webHidden/>
          </w:rPr>
        </w:r>
        <w:r w:rsidR="00F37B61">
          <w:rPr>
            <w:webHidden/>
          </w:rPr>
          <w:fldChar w:fldCharType="separate"/>
        </w:r>
        <w:r w:rsidR="00331577">
          <w:rPr>
            <w:webHidden/>
          </w:rPr>
          <w:t>1</w:t>
        </w:r>
        <w:r w:rsidR="00F37B61">
          <w:rPr>
            <w:webHidden/>
          </w:rPr>
          <w:fldChar w:fldCharType="end"/>
        </w:r>
      </w:hyperlink>
    </w:p>
    <w:p w:rsidR="00F37B61" w:rsidRDefault="00CE14F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468633" w:history="1">
        <w:r w:rsidR="00F37B61" w:rsidRPr="00A272D6">
          <w:rPr>
            <w:rStyle w:val="Hyperlnk"/>
          </w:rPr>
          <w:t>Landskapsregeringens förslag</w:t>
        </w:r>
        <w:r w:rsidR="00F37B61">
          <w:rPr>
            <w:webHidden/>
          </w:rPr>
          <w:tab/>
        </w:r>
        <w:r w:rsidR="00F37B61">
          <w:rPr>
            <w:webHidden/>
          </w:rPr>
          <w:fldChar w:fldCharType="begin"/>
        </w:r>
        <w:r w:rsidR="00F37B61">
          <w:rPr>
            <w:webHidden/>
          </w:rPr>
          <w:instrText xml:space="preserve"> PAGEREF _Toc530468633 \h </w:instrText>
        </w:r>
        <w:r w:rsidR="00F37B61">
          <w:rPr>
            <w:webHidden/>
          </w:rPr>
        </w:r>
        <w:r w:rsidR="00F37B61">
          <w:rPr>
            <w:webHidden/>
          </w:rPr>
          <w:fldChar w:fldCharType="separate"/>
        </w:r>
        <w:r w:rsidR="00331577">
          <w:rPr>
            <w:webHidden/>
          </w:rPr>
          <w:t>1</w:t>
        </w:r>
        <w:r w:rsidR="00F37B61">
          <w:rPr>
            <w:webHidden/>
          </w:rPr>
          <w:fldChar w:fldCharType="end"/>
        </w:r>
      </w:hyperlink>
    </w:p>
    <w:p w:rsidR="00F37B61" w:rsidRDefault="00CE14F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468634" w:history="1">
        <w:r w:rsidR="00F37B61" w:rsidRPr="00A272D6">
          <w:rPr>
            <w:rStyle w:val="Hyperlnk"/>
          </w:rPr>
          <w:t>Utskottets förslag</w:t>
        </w:r>
        <w:r w:rsidR="00F37B61">
          <w:rPr>
            <w:webHidden/>
          </w:rPr>
          <w:tab/>
        </w:r>
        <w:r w:rsidR="00F37B61">
          <w:rPr>
            <w:webHidden/>
          </w:rPr>
          <w:fldChar w:fldCharType="begin"/>
        </w:r>
        <w:r w:rsidR="00F37B61">
          <w:rPr>
            <w:webHidden/>
          </w:rPr>
          <w:instrText xml:space="preserve"> PAGEREF _Toc530468634 \h </w:instrText>
        </w:r>
        <w:r w:rsidR="00F37B61">
          <w:rPr>
            <w:webHidden/>
          </w:rPr>
        </w:r>
        <w:r w:rsidR="00F37B61">
          <w:rPr>
            <w:webHidden/>
          </w:rPr>
          <w:fldChar w:fldCharType="separate"/>
        </w:r>
        <w:r w:rsidR="00331577">
          <w:rPr>
            <w:webHidden/>
          </w:rPr>
          <w:t>1</w:t>
        </w:r>
        <w:r w:rsidR="00F37B61">
          <w:rPr>
            <w:webHidden/>
          </w:rPr>
          <w:fldChar w:fldCharType="end"/>
        </w:r>
      </w:hyperlink>
    </w:p>
    <w:p w:rsidR="00F37B61" w:rsidRDefault="00CE14F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468635" w:history="1">
        <w:r w:rsidR="00F37B61" w:rsidRPr="00A272D6">
          <w:rPr>
            <w:rStyle w:val="Hyperlnk"/>
          </w:rPr>
          <w:t>Utskottets synpunkter</w:t>
        </w:r>
        <w:r w:rsidR="00F37B61">
          <w:rPr>
            <w:webHidden/>
          </w:rPr>
          <w:tab/>
        </w:r>
        <w:r w:rsidR="00F37B61">
          <w:rPr>
            <w:webHidden/>
          </w:rPr>
          <w:fldChar w:fldCharType="begin"/>
        </w:r>
        <w:r w:rsidR="00F37B61">
          <w:rPr>
            <w:webHidden/>
          </w:rPr>
          <w:instrText xml:space="preserve"> PAGEREF _Toc530468635 \h </w:instrText>
        </w:r>
        <w:r w:rsidR="00F37B61">
          <w:rPr>
            <w:webHidden/>
          </w:rPr>
        </w:r>
        <w:r w:rsidR="00F37B61">
          <w:rPr>
            <w:webHidden/>
          </w:rPr>
          <w:fldChar w:fldCharType="separate"/>
        </w:r>
        <w:r w:rsidR="00331577">
          <w:rPr>
            <w:webHidden/>
          </w:rPr>
          <w:t>1</w:t>
        </w:r>
        <w:r w:rsidR="00F37B61">
          <w:rPr>
            <w:webHidden/>
          </w:rPr>
          <w:fldChar w:fldCharType="end"/>
        </w:r>
      </w:hyperlink>
    </w:p>
    <w:p w:rsidR="00F37B61" w:rsidRDefault="00CE14F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468636" w:history="1">
        <w:r w:rsidR="00F37B61" w:rsidRPr="00A272D6">
          <w:rPr>
            <w:rStyle w:val="Hyperlnk"/>
          </w:rPr>
          <w:t>Ärendets behandling</w:t>
        </w:r>
        <w:r w:rsidR="00F37B61">
          <w:rPr>
            <w:webHidden/>
          </w:rPr>
          <w:tab/>
        </w:r>
        <w:r w:rsidR="00F37B61">
          <w:rPr>
            <w:webHidden/>
          </w:rPr>
          <w:fldChar w:fldCharType="begin"/>
        </w:r>
        <w:r w:rsidR="00F37B61">
          <w:rPr>
            <w:webHidden/>
          </w:rPr>
          <w:instrText xml:space="preserve"> PAGEREF _Toc530468636 \h </w:instrText>
        </w:r>
        <w:r w:rsidR="00F37B61">
          <w:rPr>
            <w:webHidden/>
          </w:rPr>
        </w:r>
        <w:r w:rsidR="00F37B61">
          <w:rPr>
            <w:webHidden/>
          </w:rPr>
          <w:fldChar w:fldCharType="separate"/>
        </w:r>
        <w:r w:rsidR="00331577">
          <w:rPr>
            <w:webHidden/>
          </w:rPr>
          <w:t>4</w:t>
        </w:r>
        <w:r w:rsidR="00F37B61">
          <w:rPr>
            <w:webHidden/>
          </w:rPr>
          <w:fldChar w:fldCharType="end"/>
        </w:r>
      </w:hyperlink>
    </w:p>
    <w:p w:rsidR="00F37B61" w:rsidRDefault="00CE14F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468637" w:history="1">
        <w:r w:rsidR="00F37B61" w:rsidRPr="00A272D6">
          <w:rPr>
            <w:rStyle w:val="Hyperlnk"/>
          </w:rPr>
          <w:t>Utskottets förslag</w:t>
        </w:r>
        <w:r w:rsidR="00F37B61">
          <w:rPr>
            <w:webHidden/>
          </w:rPr>
          <w:tab/>
        </w:r>
        <w:r w:rsidR="00F37B61">
          <w:rPr>
            <w:webHidden/>
          </w:rPr>
          <w:fldChar w:fldCharType="begin"/>
        </w:r>
        <w:r w:rsidR="00F37B61">
          <w:rPr>
            <w:webHidden/>
          </w:rPr>
          <w:instrText xml:space="preserve"> PAGEREF _Toc530468637 \h </w:instrText>
        </w:r>
        <w:r w:rsidR="00F37B61">
          <w:rPr>
            <w:webHidden/>
          </w:rPr>
        </w:r>
        <w:r w:rsidR="00F37B61">
          <w:rPr>
            <w:webHidden/>
          </w:rPr>
          <w:fldChar w:fldCharType="separate"/>
        </w:r>
        <w:r w:rsidR="00331577">
          <w:rPr>
            <w:webHidden/>
          </w:rPr>
          <w:t>4</w:t>
        </w:r>
        <w:r w:rsidR="00F37B61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30468632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535A9F">
      <w:pPr>
        <w:pStyle w:val="RubrikB"/>
      </w:pPr>
      <w:bookmarkStart w:id="4" w:name="_Toc529800933"/>
      <w:bookmarkStart w:id="5" w:name="_Toc530468633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AD5BF9" w:rsidRPr="009B7F79" w:rsidRDefault="00B71D51" w:rsidP="00406C44">
      <w:pPr>
        <w:pStyle w:val="ANormal"/>
      </w:pPr>
      <w:r w:rsidRPr="00600AE7">
        <w:t>L</w:t>
      </w:r>
      <w:r w:rsidR="00AD5BF9" w:rsidRPr="00600AE7">
        <w:t xml:space="preserve">andskapsregeringen </w:t>
      </w:r>
      <w:r w:rsidRPr="00600AE7">
        <w:t>har till lagtinget överlämnat e</w:t>
      </w:r>
      <w:r w:rsidR="00C45758" w:rsidRPr="00600AE7">
        <w:t xml:space="preserve">tt förslag </w:t>
      </w:r>
      <w:r w:rsidR="00AD5BF9" w:rsidRPr="00600AE7">
        <w:t xml:space="preserve">till </w:t>
      </w:r>
      <w:r w:rsidR="00AB09B9">
        <w:t>andra</w:t>
      </w:r>
      <w:r w:rsidR="00AD5BF9" w:rsidRPr="00600AE7">
        <w:t xml:space="preserve"> ti</w:t>
      </w:r>
      <w:r w:rsidR="00AD5BF9" w:rsidRPr="00600AE7">
        <w:t>l</w:t>
      </w:r>
      <w:r w:rsidR="00AD5BF9" w:rsidRPr="00600AE7">
        <w:t xml:space="preserve">lägg till budgeten för landskapet Åland </w:t>
      </w:r>
      <w:r w:rsidR="00553322" w:rsidRPr="00600AE7">
        <w:t>för</w:t>
      </w:r>
      <w:r w:rsidR="00AD5BF9" w:rsidRPr="00600AE7">
        <w:t xml:space="preserve"> år 201</w:t>
      </w:r>
      <w:r w:rsidR="00600AE7" w:rsidRPr="00600AE7">
        <w:t>8</w:t>
      </w:r>
      <w:r w:rsidR="00AD5BF9" w:rsidRPr="00600AE7">
        <w:t>.</w:t>
      </w:r>
      <w:r w:rsidR="00C45758" w:rsidRPr="00600AE7">
        <w:t xml:space="preserve"> </w:t>
      </w:r>
      <w:r w:rsidR="00BB7908" w:rsidRPr="009B7F79">
        <w:t>F</w:t>
      </w:r>
      <w:r w:rsidR="00AD5BF9" w:rsidRPr="009B7F79">
        <w:t>örslag</w:t>
      </w:r>
      <w:r w:rsidR="00C45758" w:rsidRPr="009B7F79">
        <w:t>et</w:t>
      </w:r>
      <w:r w:rsidR="00AD5BF9" w:rsidRPr="009B7F79">
        <w:t xml:space="preserve"> till tillägg</w:t>
      </w:r>
      <w:r w:rsidR="00AD5BF9" w:rsidRPr="009B7F79">
        <w:t>s</w:t>
      </w:r>
      <w:r w:rsidR="00AD5BF9" w:rsidRPr="009B7F79">
        <w:t xml:space="preserve">budget </w:t>
      </w:r>
      <w:r w:rsidR="00BB7908" w:rsidRPr="009B7F79">
        <w:t xml:space="preserve">omfattar </w:t>
      </w:r>
      <w:r w:rsidR="009B7F79" w:rsidRPr="009B7F79">
        <w:t>huvudsakligen</w:t>
      </w:r>
      <w:r w:rsidR="00EA7BED">
        <w:t xml:space="preserve"> </w:t>
      </w:r>
      <w:r w:rsidR="00EA7BED" w:rsidRPr="009B7F79">
        <w:t>kostnader som för</w:t>
      </w:r>
      <w:r w:rsidR="00EA7BED">
        <w:t>anleds</w:t>
      </w:r>
      <w:r w:rsidR="00EA7BED" w:rsidRPr="009B7F79">
        <w:t xml:space="preserve"> av </w:t>
      </w:r>
      <w:r w:rsidR="00EA7BED">
        <w:t xml:space="preserve">den delvis </w:t>
      </w:r>
      <w:r w:rsidR="00EA7BED" w:rsidRPr="009B7F79">
        <w:t>slu</w:t>
      </w:r>
      <w:r w:rsidR="00EA7BED" w:rsidRPr="009B7F79">
        <w:t>t</w:t>
      </w:r>
      <w:r w:rsidR="00EA7BED" w:rsidRPr="009B7F79">
        <w:t>förd</w:t>
      </w:r>
      <w:r w:rsidR="00EA7BED">
        <w:t>a</w:t>
      </w:r>
      <w:r w:rsidR="00EA7BED" w:rsidRPr="009B7F79">
        <w:t xml:space="preserve"> arbetsvärderingen</w:t>
      </w:r>
      <w:r w:rsidR="00EA7BED">
        <w:t xml:space="preserve">. Kostnaderna är till största delen redan </w:t>
      </w:r>
      <w:r w:rsidR="009B7F79" w:rsidRPr="009B7F79">
        <w:t>budgeterade</w:t>
      </w:r>
      <w:r w:rsidR="00EA7BED">
        <w:t xml:space="preserve"> i tidigare budgetar och detta är en utfördelning av medlen till rätt budge</w:t>
      </w:r>
      <w:r w:rsidR="00EA7BED">
        <w:t>t</w:t>
      </w:r>
      <w:r w:rsidR="00EA7BED">
        <w:t>moment</w:t>
      </w:r>
      <w:r w:rsidR="009B7F79" w:rsidRPr="009B7F79">
        <w:t>. Vidare föreslås utökade fullmakter för beviljande av räntestödslån och landskapsgarantier till jordbruket.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30468634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7E7360">
      <w:pPr>
        <w:pStyle w:val="ANormal"/>
      </w:pPr>
      <w:r>
        <w:t>Utskottet föreslår a</w:t>
      </w:r>
      <w:r w:rsidR="002B07EE">
        <w:t xml:space="preserve">tt tilläggsbudgeten antas </w:t>
      </w:r>
      <w:r w:rsidR="00F0462D">
        <w:t>med smärre korrigeringar vilka framgår av utskottets betänkande</w:t>
      </w:r>
      <w:r w:rsidR="002B07EE">
        <w:t>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530468635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E114CA" w:rsidRDefault="00E114CA" w:rsidP="00E114CA">
      <w:pPr>
        <w:pStyle w:val="ANormal"/>
        <w:rPr>
          <w:i/>
          <w:iCs/>
        </w:rPr>
      </w:pPr>
      <w:r w:rsidRPr="00E114CA">
        <w:rPr>
          <w:i/>
          <w:iCs/>
        </w:rPr>
        <w:t>Allmänt</w:t>
      </w:r>
    </w:p>
    <w:p w:rsidR="00D64472" w:rsidRPr="00E114CA" w:rsidRDefault="00D64472" w:rsidP="00D64472">
      <w:pPr>
        <w:pStyle w:val="Rubrikmellanrum"/>
      </w:pPr>
    </w:p>
    <w:p w:rsidR="00E114CA" w:rsidRPr="00CE045C" w:rsidRDefault="00E114CA" w:rsidP="00E114CA">
      <w:pPr>
        <w:pStyle w:val="ANormal"/>
        <w:rPr>
          <w:szCs w:val="22"/>
        </w:rPr>
      </w:pPr>
      <w:r w:rsidRPr="00CE045C">
        <w:rPr>
          <w:iCs/>
          <w:szCs w:val="22"/>
        </w:rPr>
        <w:t>Utskottet</w:t>
      </w:r>
      <w:r w:rsidRPr="00CE045C">
        <w:rPr>
          <w:szCs w:val="22"/>
        </w:rPr>
        <w:t xml:space="preserve"> förordar de föreslagna anslagen och konstaterar att i </w:t>
      </w:r>
      <w:r w:rsidRPr="00CE045C">
        <w:t>och med til</w:t>
      </w:r>
      <w:r w:rsidRPr="00CE045C">
        <w:t>l</w:t>
      </w:r>
      <w:r w:rsidRPr="00CE045C">
        <w:t>ägget har hittills under år 2018 budgeterats kostnadsanslag om totalt 36</w:t>
      </w:r>
      <w:r w:rsidR="00CE045C" w:rsidRPr="00CE045C">
        <w:t>6</w:t>
      </w:r>
      <w:r w:rsidR="00394C28">
        <w:t xml:space="preserve"> </w:t>
      </w:r>
      <w:r w:rsidR="00CE045C" w:rsidRPr="00CE045C">
        <w:t>135</w:t>
      </w:r>
      <w:r w:rsidRPr="00CE045C">
        <w:t xml:space="preserve"> 000 euro, varav 339</w:t>
      </w:r>
      <w:r w:rsidR="00394C28">
        <w:t xml:space="preserve"> </w:t>
      </w:r>
      <w:r w:rsidR="00CE045C" w:rsidRPr="00CE045C">
        <w:t>699</w:t>
      </w:r>
      <w:r w:rsidRPr="00CE045C">
        <w:t xml:space="preserve"> 000 för verksamhets- och överföringskostn</w:t>
      </w:r>
      <w:r w:rsidRPr="00CE045C">
        <w:t>a</w:t>
      </w:r>
      <w:r w:rsidRPr="00CE045C">
        <w:t>der samt 26 4</w:t>
      </w:r>
      <w:r w:rsidR="00CE045C" w:rsidRPr="00CE045C">
        <w:t>36</w:t>
      </w:r>
      <w:r w:rsidRPr="00CE045C">
        <w:t> 000 euro för investeringskostnader.</w:t>
      </w:r>
    </w:p>
    <w:p w:rsidR="00E114CA" w:rsidRPr="00D442E8" w:rsidRDefault="00E114CA" w:rsidP="00E114CA">
      <w:pPr>
        <w:pStyle w:val="ANormal"/>
      </w:pPr>
    </w:p>
    <w:p w:rsidR="005701BA" w:rsidRDefault="003A5D9B">
      <w:pPr>
        <w:pStyle w:val="ANormal"/>
        <w:rPr>
          <w:i/>
        </w:rPr>
      </w:pPr>
      <w:r>
        <w:rPr>
          <w:i/>
        </w:rPr>
        <w:t>Skatterelaterade i</w:t>
      </w:r>
      <w:r w:rsidR="00EC7B7B">
        <w:rPr>
          <w:i/>
        </w:rPr>
        <w:t>ntäkter</w:t>
      </w:r>
    </w:p>
    <w:p w:rsidR="00D64472" w:rsidRDefault="00D64472" w:rsidP="00D64472">
      <w:pPr>
        <w:pStyle w:val="Rubrikmellanrum"/>
      </w:pPr>
    </w:p>
    <w:p w:rsidR="005551C4" w:rsidRDefault="006C30E1">
      <w:pPr>
        <w:pStyle w:val="ANormal"/>
      </w:pPr>
      <w:r>
        <w:t>Utskottet konstaterar att l</w:t>
      </w:r>
      <w:r w:rsidR="003A5D9B">
        <w:t>andskapsregeringen aviserar en ökning av intä</w:t>
      </w:r>
      <w:r w:rsidR="003A5D9B">
        <w:t>k</w:t>
      </w:r>
      <w:r w:rsidR="003A5D9B">
        <w:t>terna från förskottet på avräkningsbeloppet med ca 7,9 miljoner euro, vilket kommer att tas upp i en kommande tredje tilläggsbudget. Samtidigt avis</w:t>
      </w:r>
      <w:r w:rsidR="003A5D9B">
        <w:t>e</w:t>
      </w:r>
      <w:r w:rsidR="003A5D9B">
        <w:t>ras också en återbetalningsskyldighet av 2017-års förskott med 0,4 miljoner euro. Utskottet noterar att Ålandsdelegationen den 13 september 2018 fas</w:t>
      </w:r>
      <w:r w:rsidR="003A5D9B">
        <w:t>t</w:t>
      </w:r>
      <w:r w:rsidR="002107D3">
        <w:t>ställt denna återbetalning</w:t>
      </w:r>
      <w:r w:rsidR="003A5D9B">
        <w:t xml:space="preserve"> till 419 653,14 euro.</w:t>
      </w:r>
    </w:p>
    <w:p w:rsidR="00516A04" w:rsidRDefault="00516A04">
      <w:pPr>
        <w:pStyle w:val="ANormal"/>
      </w:pPr>
    </w:p>
    <w:p w:rsidR="00F70D63" w:rsidRPr="00716088" w:rsidRDefault="00EC7B7B">
      <w:pPr>
        <w:pStyle w:val="ANormal"/>
        <w:rPr>
          <w:i/>
        </w:rPr>
      </w:pPr>
      <w:r>
        <w:rPr>
          <w:i/>
        </w:rPr>
        <w:t>Landskapsandelssystemet</w:t>
      </w:r>
    </w:p>
    <w:p w:rsidR="00F70D63" w:rsidRDefault="00F70D63" w:rsidP="00716088">
      <w:pPr>
        <w:pStyle w:val="Rubrikmellanrum"/>
      </w:pPr>
    </w:p>
    <w:p w:rsidR="00CA12B0" w:rsidRDefault="003A5D9B">
      <w:pPr>
        <w:pStyle w:val="ANormal"/>
      </w:pPr>
      <w:r>
        <w:t>Landskapsregeringen aviserar att en kommande utgiftspost om ca 3,1 mi</w:t>
      </w:r>
      <w:r>
        <w:t>l</w:t>
      </w:r>
      <w:r>
        <w:t xml:space="preserve">joner euro kommer att tas upp i en tredje tilläggsbudget. Utgiften härrör sig </w:t>
      </w:r>
      <w:r>
        <w:lastRenderedPageBreak/>
        <w:t>ifrån ett tekniskt fel som uppstod i revideringen av landskapsandelssyst</w:t>
      </w:r>
      <w:r>
        <w:t>e</w:t>
      </w:r>
      <w:r>
        <w:t>met tidigare under året</w:t>
      </w:r>
      <w:r w:rsidR="00CA12B0">
        <w:t>.</w:t>
      </w:r>
    </w:p>
    <w:p w:rsidR="00CA12B0" w:rsidRDefault="00CA12B0">
      <w:pPr>
        <w:pStyle w:val="ANormal"/>
      </w:pPr>
    </w:p>
    <w:p w:rsidR="00CA12B0" w:rsidRDefault="00CA12B0" w:rsidP="00EC77D0">
      <w:pPr>
        <w:pStyle w:val="ANormal"/>
        <w:rPr>
          <w:i/>
          <w:iCs/>
        </w:rPr>
      </w:pPr>
      <w:r w:rsidRPr="00EC77D0">
        <w:rPr>
          <w:i/>
          <w:iCs/>
        </w:rPr>
        <w:t>Arbetsvärderingen</w:t>
      </w:r>
    </w:p>
    <w:p w:rsidR="00EC77D0" w:rsidRPr="00EC77D0" w:rsidRDefault="00EC77D0" w:rsidP="00EC77D0">
      <w:pPr>
        <w:pStyle w:val="Rubrikmellanrum"/>
      </w:pPr>
    </w:p>
    <w:p w:rsidR="00612A24" w:rsidRDefault="00612A24">
      <w:pPr>
        <w:pStyle w:val="ANormal"/>
      </w:pPr>
      <w:r>
        <w:t>Arbetsvärderingens första skede är slutförd och i</w:t>
      </w:r>
      <w:r w:rsidR="00CA12B0">
        <w:t xml:space="preserve"> föreliggande förslag till tilläggsbudget </w:t>
      </w:r>
      <w:r w:rsidR="00EC77D0">
        <w:t>utgör</w:t>
      </w:r>
      <w:r>
        <w:t xml:space="preserve"> därför</w:t>
      </w:r>
      <w:r w:rsidR="00EC77D0">
        <w:t xml:space="preserve"> en stor del </w:t>
      </w:r>
      <w:r w:rsidR="0058276E">
        <w:t xml:space="preserve">budgetens innehåll </w:t>
      </w:r>
      <w:r w:rsidR="00EC77D0">
        <w:t xml:space="preserve">av en </w:t>
      </w:r>
      <w:r w:rsidR="0058276E">
        <w:t>ut</w:t>
      </w:r>
      <w:r w:rsidR="00EC77D0">
        <w:t>förde</w:t>
      </w:r>
      <w:r w:rsidR="00EC77D0">
        <w:t>l</w:t>
      </w:r>
      <w:r w:rsidR="00EC77D0">
        <w:t xml:space="preserve">ning av </w:t>
      </w:r>
      <w:r>
        <w:t xml:space="preserve">tidigare budgeterade medel på de olika grenarna av </w:t>
      </w:r>
      <w:r w:rsidR="00EC77D0">
        <w:t>landskapsfö</w:t>
      </w:r>
      <w:r w:rsidR="00EC77D0">
        <w:t>r</w:t>
      </w:r>
      <w:r w:rsidR="00EC77D0">
        <w:t>valtningen.</w:t>
      </w:r>
      <w:r>
        <w:t xml:space="preserve"> </w:t>
      </w:r>
    </w:p>
    <w:p w:rsidR="00CA12B0" w:rsidRDefault="00612A24">
      <w:pPr>
        <w:pStyle w:val="ANormal"/>
      </w:pPr>
      <w:r>
        <w:tab/>
      </w:r>
      <w:r w:rsidR="00EC77D0">
        <w:t xml:space="preserve">Utskottet </w:t>
      </w:r>
      <w:proofErr w:type="gramStart"/>
      <w:r w:rsidR="00EC77D0">
        <w:t>erfar</w:t>
      </w:r>
      <w:proofErr w:type="gramEnd"/>
      <w:r w:rsidR="00EC77D0">
        <w:t xml:space="preserve"> att de </w:t>
      </w:r>
      <w:r w:rsidR="001B21BE">
        <w:t>nuvarande</w:t>
      </w:r>
      <w:r w:rsidR="00EC77D0">
        <w:t xml:space="preserve"> A- och C-löneklasserna </w:t>
      </w:r>
      <w:r w:rsidR="00C8676A">
        <w:t>kommer att e</w:t>
      </w:r>
      <w:r w:rsidR="00C8676A">
        <w:t>r</w:t>
      </w:r>
      <w:r w:rsidR="00C8676A">
        <w:t xml:space="preserve">sättas av eurolöner </w:t>
      </w:r>
      <w:r w:rsidR="00B302B0">
        <w:t>så</w:t>
      </w:r>
      <w:r w:rsidR="00C8676A">
        <w:t xml:space="preserve"> att en harmonisering av lönerna mellan centralfö</w:t>
      </w:r>
      <w:r w:rsidR="00C8676A">
        <w:t>r</w:t>
      </w:r>
      <w:r w:rsidR="00C8676A">
        <w:t xml:space="preserve">valtningen och </w:t>
      </w:r>
      <w:r w:rsidR="001B21BE">
        <w:t>Ålands hälso- och sjukvård (</w:t>
      </w:r>
      <w:r w:rsidR="00C8676A">
        <w:t>ÅHS</w:t>
      </w:r>
      <w:r w:rsidR="001B21BE">
        <w:t>)</w:t>
      </w:r>
      <w:r w:rsidR="00C8676A">
        <w:t xml:space="preserve"> genomfö</w:t>
      </w:r>
      <w:r w:rsidR="00B302B0">
        <w:t>r</w:t>
      </w:r>
      <w:r w:rsidR="00C8676A">
        <w:t>s.</w:t>
      </w:r>
    </w:p>
    <w:p w:rsidR="00C8676A" w:rsidRDefault="00C8676A">
      <w:pPr>
        <w:pStyle w:val="ANormal"/>
      </w:pPr>
    </w:p>
    <w:p w:rsidR="00C8676A" w:rsidRPr="00C8676A" w:rsidRDefault="00C8676A" w:rsidP="00C8676A">
      <w:pPr>
        <w:pStyle w:val="ANormal"/>
        <w:rPr>
          <w:i/>
          <w:iCs/>
        </w:rPr>
      </w:pPr>
      <w:r w:rsidRPr="00C8676A">
        <w:rPr>
          <w:i/>
          <w:iCs/>
        </w:rPr>
        <w:t>En hållbar energianvändning</w:t>
      </w:r>
    </w:p>
    <w:p w:rsidR="00C8676A" w:rsidRDefault="00C8676A" w:rsidP="00C8676A">
      <w:pPr>
        <w:pStyle w:val="Rubrikmellanrum"/>
      </w:pPr>
    </w:p>
    <w:p w:rsidR="00C8676A" w:rsidRPr="00C8676A" w:rsidRDefault="00C8676A" w:rsidP="00C8676A">
      <w:pPr>
        <w:pStyle w:val="ANormal"/>
      </w:pPr>
      <w:r>
        <w:t>Utskottet stöder strävan till att Åland ska övergå till en hållbar energia</w:t>
      </w:r>
      <w:r>
        <w:t>n</w:t>
      </w:r>
      <w:r>
        <w:t>vändning.</w:t>
      </w:r>
      <w:r w:rsidR="00000591">
        <w:t xml:space="preserve"> </w:t>
      </w:r>
      <w:r w:rsidR="00E558BB">
        <w:t xml:space="preserve">Åland </w:t>
      </w:r>
      <w:r w:rsidR="00000591">
        <w:t>kommer att utgöra</w:t>
      </w:r>
      <w:r w:rsidR="00E558BB">
        <w:t xml:space="preserve"> ett testområde för smart energianvän</w:t>
      </w:r>
      <w:r w:rsidR="00E558BB">
        <w:t>d</w:t>
      </w:r>
      <w:r w:rsidR="00E558BB">
        <w:t xml:space="preserve">ning </w:t>
      </w:r>
      <w:r w:rsidR="00000591">
        <w:t>och som ett led i det deltar</w:t>
      </w:r>
      <w:r w:rsidR="00E558BB">
        <w:t xml:space="preserve"> landskapsregeringen </w:t>
      </w:r>
      <w:r w:rsidR="00000591">
        <w:t>tillsammans med</w:t>
      </w:r>
      <w:r w:rsidR="00E558BB">
        <w:t xml:space="preserve"> åländska </w:t>
      </w:r>
      <w:r w:rsidR="00000591">
        <w:t>energibolag</w:t>
      </w:r>
      <w:r w:rsidR="00E558BB">
        <w:t xml:space="preserve"> i</w:t>
      </w:r>
      <w:r>
        <w:t xml:space="preserve"> grundandet av ett bolag</w:t>
      </w:r>
      <w:r w:rsidR="00000591">
        <w:t xml:space="preserve">, </w:t>
      </w:r>
      <w:proofErr w:type="spellStart"/>
      <w:r w:rsidR="00000591">
        <w:t>Flexens</w:t>
      </w:r>
      <w:proofErr w:type="spellEnd"/>
      <w:r w:rsidR="00000591">
        <w:t xml:space="preserve"> ab. Målsättningen med bolaget </w:t>
      </w:r>
      <w:r w:rsidR="00E558BB">
        <w:t>är</w:t>
      </w:r>
      <w:r>
        <w:t xml:space="preserve"> att påskynda och underlätta kommersiella lösningar</w:t>
      </w:r>
      <w:r w:rsidR="00E558BB">
        <w:t xml:space="preserve"> som </w:t>
      </w:r>
      <w:r w:rsidR="00000591">
        <w:t xml:space="preserve">förhoppningsvis även </w:t>
      </w:r>
      <w:r w:rsidR="00E558BB">
        <w:t>kommer att kunna användas globalt</w:t>
      </w:r>
      <w:r>
        <w:t>.</w:t>
      </w:r>
    </w:p>
    <w:p w:rsidR="00140304" w:rsidRPr="006C30E1" w:rsidRDefault="00140304">
      <w:pPr>
        <w:pStyle w:val="ANormal"/>
        <w:rPr>
          <w:color w:val="FF0000"/>
        </w:rPr>
      </w:pPr>
    </w:p>
    <w:p w:rsidR="008250C3" w:rsidRPr="004B2743" w:rsidRDefault="005B5414">
      <w:pPr>
        <w:pStyle w:val="ANormal"/>
        <w:rPr>
          <w:i/>
        </w:rPr>
      </w:pPr>
      <w:r w:rsidRPr="004B2743">
        <w:rPr>
          <w:i/>
        </w:rPr>
        <w:t>J</w:t>
      </w:r>
      <w:r w:rsidR="00EC7B7B" w:rsidRPr="004B2743">
        <w:rPr>
          <w:i/>
        </w:rPr>
        <w:t>ordbruksproduktionen</w:t>
      </w:r>
    </w:p>
    <w:p w:rsidR="00E114CA" w:rsidRPr="004B2743" w:rsidRDefault="00E114CA" w:rsidP="00D64472">
      <w:pPr>
        <w:pStyle w:val="Rubrikmellanrum"/>
      </w:pPr>
    </w:p>
    <w:p w:rsidR="0045708C" w:rsidRPr="004B2743" w:rsidRDefault="00900F6E" w:rsidP="000225EE">
      <w:pPr>
        <w:pStyle w:val="ANormal"/>
      </w:pPr>
      <w:r w:rsidRPr="004B2743">
        <w:t xml:space="preserve">Utskottet har </w:t>
      </w:r>
      <w:proofErr w:type="gramStart"/>
      <w:r w:rsidRPr="004B2743">
        <w:t>erfarit</w:t>
      </w:r>
      <w:proofErr w:type="gramEnd"/>
      <w:r w:rsidRPr="004B2743">
        <w:t xml:space="preserve"> att </w:t>
      </w:r>
      <w:r w:rsidR="00CA3521" w:rsidRPr="004B2743">
        <w:t xml:space="preserve">fjolårets regn och </w:t>
      </w:r>
      <w:r w:rsidR="00EA7BED" w:rsidRPr="004B2743">
        <w:t>den långa torrperioden under o</w:t>
      </w:r>
      <w:r w:rsidR="00EA7BED" w:rsidRPr="004B2743">
        <w:t>d</w:t>
      </w:r>
      <w:r w:rsidR="00EA7BED" w:rsidRPr="004B2743">
        <w:t xml:space="preserve">lingssäsongen </w:t>
      </w:r>
      <w:r w:rsidR="00410D01" w:rsidRPr="004B2743">
        <w:t>2018</w:t>
      </w:r>
      <w:r w:rsidRPr="004B2743">
        <w:t xml:space="preserve"> har haft mycket drastiska följder för en stor del av lan</w:t>
      </w:r>
      <w:r w:rsidRPr="004B2743">
        <w:t>t</w:t>
      </w:r>
      <w:r w:rsidRPr="004B2743">
        <w:t>brukarkåren. Växtodlarna har fått minskade skördar och djurhållningen l</w:t>
      </w:r>
      <w:r w:rsidRPr="004B2743">
        <w:t>i</w:t>
      </w:r>
      <w:r w:rsidRPr="004B2743">
        <w:t>der av en brist på foder, vilket har lett till att många djurgårdar minskar sina besättningar inför vintern.</w:t>
      </w:r>
      <w:r w:rsidR="00760643" w:rsidRPr="004B2743">
        <w:t xml:space="preserve"> Utskottet konstaterar dock att gårdar med egen tillgång till bevattning har klarat sig bä</w:t>
      </w:r>
      <w:r w:rsidR="00696EF7" w:rsidRPr="004B2743">
        <w:t>ttre</w:t>
      </w:r>
      <w:r w:rsidR="0045708C" w:rsidRPr="004B2743">
        <w:t>.</w:t>
      </w:r>
      <w:r w:rsidR="00CA3521" w:rsidRPr="004B2743">
        <w:t xml:space="preserve"> Utskottet </w:t>
      </w:r>
      <w:proofErr w:type="gramStart"/>
      <w:r w:rsidR="00CA3521" w:rsidRPr="004B2743">
        <w:t>erfar</w:t>
      </w:r>
      <w:proofErr w:type="gramEnd"/>
      <w:r w:rsidR="00CA3521" w:rsidRPr="004B2743">
        <w:t xml:space="preserve"> att som en följd av de låga skördarna har importen av råvaror ökat vilket påverkar handel</w:t>
      </w:r>
      <w:r w:rsidR="00CA3521" w:rsidRPr="004B2743">
        <w:t>s</w:t>
      </w:r>
      <w:r w:rsidR="00CA3521" w:rsidRPr="004B2743">
        <w:t>balansen negativt.</w:t>
      </w:r>
    </w:p>
    <w:p w:rsidR="000576C9" w:rsidRPr="004B2743" w:rsidRDefault="00900F6E" w:rsidP="000225EE">
      <w:pPr>
        <w:pStyle w:val="ANormal"/>
      </w:pPr>
      <w:r w:rsidRPr="004B2743">
        <w:tab/>
        <w:t>För att i viss mån lindra effekterna av de uteblivna intäkterna</w:t>
      </w:r>
      <w:r w:rsidR="00410D01" w:rsidRPr="004B2743">
        <w:t xml:space="preserve"> </w:t>
      </w:r>
      <w:r w:rsidR="00EA7BED" w:rsidRPr="004B2743">
        <w:t>föreslår landskapsregeringen ökade fullmakter för dels räntestödslån för skördesk</w:t>
      </w:r>
      <w:r w:rsidR="00EA7BED" w:rsidRPr="004B2743">
        <w:t>a</w:t>
      </w:r>
      <w:r w:rsidR="00EA7BED" w:rsidRPr="004B2743">
        <w:t>dor</w:t>
      </w:r>
      <w:r w:rsidR="0045708C" w:rsidRPr="004B2743">
        <w:t xml:space="preserve"> och</w:t>
      </w:r>
      <w:r w:rsidR="00EA7BED" w:rsidRPr="004B2743">
        <w:t xml:space="preserve"> dels ökade garantier för likviditetslån. </w:t>
      </w:r>
      <w:r w:rsidR="00410D01" w:rsidRPr="004B2743">
        <w:t>Utskottet noterar att fullma</w:t>
      </w:r>
      <w:r w:rsidR="00410D01" w:rsidRPr="004B2743">
        <w:t>k</w:t>
      </w:r>
      <w:r w:rsidR="00410D01" w:rsidRPr="004B2743">
        <w:t xml:space="preserve">ten för räntestödslån </w:t>
      </w:r>
      <w:r w:rsidR="0045708C" w:rsidRPr="004B2743">
        <w:t xml:space="preserve">föreslås </w:t>
      </w:r>
      <w:r w:rsidR="00410D01" w:rsidRPr="004B2743">
        <w:t xml:space="preserve">öka från 300 000 euro till 1 500 000 euro. </w:t>
      </w:r>
    </w:p>
    <w:p w:rsidR="00CE045C" w:rsidRPr="004B2743" w:rsidRDefault="005B2EC9">
      <w:pPr>
        <w:pStyle w:val="ANormal"/>
      </w:pPr>
      <w:r w:rsidRPr="004B2743">
        <w:tab/>
        <w:t xml:space="preserve">Utskottet </w:t>
      </w:r>
      <w:proofErr w:type="gramStart"/>
      <w:r w:rsidRPr="004B2743">
        <w:t>erfar</w:t>
      </w:r>
      <w:proofErr w:type="gramEnd"/>
      <w:r w:rsidRPr="004B2743">
        <w:t xml:space="preserve"> att landskapsregeringen utreder ett införande av ett direkt stöd för skördeskador</w:t>
      </w:r>
      <w:r w:rsidR="0091045E" w:rsidRPr="004B2743">
        <w:t xml:space="preserve"> och avser att återkomma i en tilläggsbudget</w:t>
      </w:r>
      <w:r w:rsidRPr="004B2743">
        <w:t>.</w:t>
      </w:r>
    </w:p>
    <w:p w:rsidR="004C5C19" w:rsidRPr="004B2743" w:rsidRDefault="004C5C19">
      <w:pPr>
        <w:pStyle w:val="ANormal"/>
      </w:pPr>
      <w:r w:rsidRPr="004B2743">
        <w:tab/>
        <w:t xml:space="preserve">Utskottet </w:t>
      </w:r>
      <w:proofErr w:type="gramStart"/>
      <w:r w:rsidRPr="004B2743">
        <w:t>erfar</w:t>
      </w:r>
      <w:proofErr w:type="gramEnd"/>
      <w:r w:rsidRPr="004B2743">
        <w:t xml:space="preserve"> också att </w:t>
      </w:r>
      <w:r w:rsidR="00760643" w:rsidRPr="004B2743">
        <w:t xml:space="preserve">maxbeloppet för </w:t>
      </w:r>
      <w:r w:rsidRPr="004B2743">
        <w:t>EU:s stöd av mindre bet</w:t>
      </w:r>
      <w:r w:rsidRPr="004B2743">
        <w:t>y</w:t>
      </w:r>
      <w:r w:rsidRPr="004B2743">
        <w:t xml:space="preserve">delse, </w:t>
      </w:r>
      <w:r w:rsidR="00760643" w:rsidRPr="004B2743">
        <w:t xml:space="preserve">det </w:t>
      </w:r>
      <w:r w:rsidRPr="004B2743">
        <w:t xml:space="preserve">s.k. de </w:t>
      </w:r>
      <w:proofErr w:type="spellStart"/>
      <w:r w:rsidRPr="004B2743">
        <w:t>minimis</w:t>
      </w:r>
      <w:proofErr w:type="spellEnd"/>
      <w:r w:rsidRPr="004B2743">
        <w:t>, sannolikt kommer att höjas, vilket gör att eve</w:t>
      </w:r>
      <w:r w:rsidRPr="004B2743">
        <w:t>n</w:t>
      </w:r>
      <w:r w:rsidRPr="004B2743">
        <w:t>tuella stöd kan utnyttjas bättre</w:t>
      </w:r>
      <w:r w:rsidR="00760643" w:rsidRPr="004B2743">
        <w:t xml:space="preserve"> av lantbrukarna</w:t>
      </w:r>
      <w:r w:rsidRPr="004B2743">
        <w:t>.</w:t>
      </w:r>
      <w:r w:rsidR="00866543" w:rsidRPr="004B2743">
        <w:t xml:space="preserve"> Förslaget är att den höjda de </w:t>
      </w:r>
      <w:proofErr w:type="spellStart"/>
      <w:r w:rsidR="00866543" w:rsidRPr="004B2743">
        <w:t>minimis</w:t>
      </w:r>
      <w:proofErr w:type="spellEnd"/>
      <w:r w:rsidR="00866543" w:rsidRPr="004B2743">
        <w:t>-stödnivån ska kunna tillämpas retroaktivt för tre år.</w:t>
      </w:r>
    </w:p>
    <w:p w:rsidR="00CA3521" w:rsidRPr="004B2743" w:rsidRDefault="0073582F">
      <w:pPr>
        <w:pStyle w:val="ANormal"/>
      </w:pPr>
      <w:r w:rsidRPr="004B2743">
        <w:tab/>
        <w:t>Utskottet konstaterar att de stödåtgärder som föreslås i denna tillägg</w:t>
      </w:r>
      <w:r w:rsidRPr="004B2743">
        <w:t>s</w:t>
      </w:r>
      <w:r w:rsidRPr="004B2743">
        <w:t>budget enbart är åtgärder som har en kortsiktig effekt, medan de problem som lantbruket har på den strukturella nivån är av mer l</w:t>
      </w:r>
      <w:r w:rsidR="00952940" w:rsidRPr="004B2743">
        <w:t xml:space="preserve">ångsiktig </w:t>
      </w:r>
      <w:r w:rsidRPr="004B2743">
        <w:t xml:space="preserve">karaktär. Lönsamheten inom lantbruket har varit ansträngd en längre tid </w:t>
      </w:r>
      <w:r w:rsidR="00B6329C" w:rsidRPr="004B2743">
        <w:t>och förstär</w:t>
      </w:r>
      <w:r w:rsidR="00B6329C" w:rsidRPr="004B2743">
        <w:t>k</w:t>
      </w:r>
      <w:r w:rsidR="00B6329C" w:rsidRPr="004B2743">
        <w:t>tes ytterligare efter införandet av</w:t>
      </w:r>
      <w:r w:rsidRPr="004B2743">
        <w:t xml:space="preserve"> sanktioner</w:t>
      </w:r>
      <w:r w:rsidR="00B6329C" w:rsidRPr="004B2743">
        <w:t xml:space="preserve">na </w:t>
      </w:r>
      <w:r w:rsidRPr="004B2743">
        <w:t>mot Ryssland efter annekt</w:t>
      </w:r>
      <w:r w:rsidRPr="004B2743">
        <w:t>e</w:t>
      </w:r>
      <w:r w:rsidRPr="004B2743">
        <w:t>ringen av Krim. Detta innebär att många lantbruksföretag har en svag ek</w:t>
      </w:r>
      <w:r w:rsidRPr="004B2743">
        <w:t>o</w:t>
      </w:r>
      <w:r w:rsidRPr="004B2743">
        <w:t xml:space="preserve">nomisk ställning att </w:t>
      </w:r>
      <w:r w:rsidR="00696EF7" w:rsidRPr="004B2743">
        <w:t xml:space="preserve">kunna </w:t>
      </w:r>
      <w:r w:rsidRPr="004B2743">
        <w:t>möta olika störningar, till exempel i form av e</w:t>
      </w:r>
      <w:r w:rsidRPr="004B2743">
        <w:t>x</w:t>
      </w:r>
      <w:r w:rsidRPr="004B2743">
        <w:t xml:space="preserve">tremt väder. För att stärka lantbruket på lång sikt anser utskottet att </w:t>
      </w:r>
      <w:r w:rsidR="00B6329C" w:rsidRPr="004B2743">
        <w:t>sektorn</w:t>
      </w:r>
      <w:r w:rsidRPr="004B2743">
        <w:t xml:space="preserve"> behöver göra investeringar av strukturell karaktär, </w:t>
      </w:r>
      <w:r w:rsidR="00970AA8" w:rsidRPr="004B2743">
        <w:t>såsom</w:t>
      </w:r>
      <w:r w:rsidRPr="004B2743">
        <w:t xml:space="preserve"> tillgången till b</w:t>
      </w:r>
      <w:r w:rsidRPr="004B2743">
        <w:t>e</w:t>
      </w:r>
      <w:r w:rsidRPr="004B2743">
        <w:t xml:space="preserve">vattningsvatten. </w:t>
      </w:r>
    </w:p>
    <w:p w:rsidR="00952940" w:rsidRPr="0073582F" w:rsidRDefault="00CA3521">
      <w:pPr>
        <w:pStyle w:val="ANormal"/>
      </w:pPr>
      <w:r w:rsidRPr="004B2743">
        <w:tab/>
        <w:t>Näringslivet som helhet drabbas om exporten av jordbruksprodukter minskar eftersom transportkostnaderna för importen ökar. Primärnäringarna och framförallt f</w:t>
      </w:r>
      <w:r w:rsidR="0073582F" w:rsidRPr="004B2743">
        <w:t>örädlingsindustrin lyfter också fram de relativt höga kos</w:t>
      </w:r>
      <w:r w:rsidR="0073582F" w:rsidRPr="004B2743">
        <w:t>t</w:t>
      </w:r>
      <w:r w:rsidR="0073582F" w:rsidRPr="004B2743">
        <w:t>naderna för el- och värmeenergi, vatten och avlopp, samt tillsynsavgifter.</w:t>
      </w:r>
      <w:r w:rsidR="00B6329C" w:rsidRPr="004B2743">
        <w:t xml:space="preserve"> Utskottet konstaterar att det pågår en utredning som ska kartlägga det åländska näringslivets konkurrenskraft.</w:t>
      </w:r>
    </w:p>
    <w:p w:rsidR="00C8676A" w:rsidRPr="00A4222D" w:rsidRDefault="00C8676A" w:rsidP="00C8676A">
      <w:pPr>
        <w:pStyle w:val="ANormal"/>
      </w:pPr>
    </w:p>
    <w:p w:rsidR="00C8676A" w:rsidRDefault="00C8676A" w:rsidP="00C8676A">
      <w:pPr>
        <w:pStyle w:val="ANormal"/>
        <w:rPr>
          <w:i/>
        </w:rPr>
      </w:pPr>
      <w:r>
        <w:rPr>
          <w:i/>
        </w:rPr>
        <w:t>Sjöutbildningarna</w:t>
      </w:r>
    </w:p>
    <w:p w:rsidR="00C8676A" w:rsidRPr="00E114CA" w:rsidRDefault="00C8676A" w:rsidP="00C8676A">
      <w:pPr>
        <w:pStyle w:val="Rubrikmellanrum"/>
      </w:pPr>
    </w:p>
    <w:p w:rsidR="00C8676A" w:rsidRDefault="00C8676A" w:rsidP="00C8676A">
      <w:pPr>
        <w:pStyle w:val="ANormal"/>
      </w:pPr>
      <w:r>
        <w:t>Utskottet ser positivt på Högskolans satsningar på samarbete med andra högskolor som ger utbildning inom sjöfartsbr</w:t>
      </w:r>
      <w:r w:rsidR="00900F6E">
        <w:t xml:space="preserve">anschen i avsikt att ge </w:t>
      </w:r>
      <w:r w:rsidR="00696EF7">
        <w:t>ko</w:t>
      </w:r>
      <w:r w:rsidR="00696EF7">
        <w:t>m</w:t>
      </w:r>
      <w:r w:rsidR="00696EF7">
        <w:t xml:space="preserve">pletterande </w:t>
      </w:r>
      <w:r w:rsidR="00900F6E">
        <w:t xml:space="preserve">utbildningar </w:t>
      </w:r>
      <w:r w:rsidR="00696EF7">
        <w:t>istället f</w:t>
      </w:r>
      <w:r w:rsidR="00900F6E">
        <w:t>ör konkurrera</w:t>
      </w:r>
      <w:r w:rsidR="00696EF7">
        <w:t>nde</w:t>
      </w:r>
      <w:r w:rsidR="00900F6E">
        <w:t xml:space="preserve">, vilket torde stärka det </w:t>
      </w:r>
      <w:r w:rsidR="0091045E">
        <w:t xml:space="preserve">åländska </w:t>
      </w:r>
      <w:r w:rsidR="00900F6E">
        <w:t xml:space="preserve">sjöfartsklustret.  </w:t>
      </w:r>
    </w:p>
    <w:p w:rsidR="005B2EC9" w:rsidRDefault="005B2EC9">
      <w:pPr>
        <w:pStyle w:val="ANormal"/>
      </w:pPr>
    </w:p>
    <w:p w:rsidR="008250C3" w:rsidRDefault="005701BA">
      <w:pPr>
        <w:pStyle w:val="ANormal"/>
        <w:rPr>
          <w:i/>
        </w:rPr>
      </w:pPr>
      <w:r w:rsidRPr="005701BA">
        <w:rPr>
          <w:i/>
        </w:rPr>
        <w:t>Övriga påpekanden</w:t>
      </w:r>
    </w:p>
    <w:p w:rsidR="00CE045C" w:rsidRPr="00CE045C" w:rsidRDefault="00CE045C">
      <w:pPr>
        <w:pStyle w:val="ANormal"/>
        <w:rPr>
          <w:sz w:val="10"/>
        </w:rPr>
      </w:pPr>
    </w:p>
    <w:p w:rsidR="00971CC7" w:rsidRDefault="00CE045C">
      <w:pPr>
        <w:pStyle w:val="ANormal"/>
      </w:pPr>
      <w:r>
        <w:t>Utskottet föreslår, på landskapsregeringens begäran, att anslaget ”46000 Cirkulär ekonomi” i verksamhetsdelen flyttas till avsnittet för överföringar</w:t>
      </w:r>
      <w:r w:rsidR="00A94E69">
        <w:t>.</w:t>
      </w:r>
    </w:p>
    <w:p w:rsidR="00971CC7" w:rsidRDefault="00971CC7">
      <w:pPr>
        <w:pStyle w:val="ANormal"/>
      </w:pPr>
    </w:p>
    <w:p w:rsidR="00971CC7" w:rsidRDefault="00971CC7">
      <w:pPr>
        <w:pStyle w:val="ANormal"/>
        <w:rPr>
          <w:sz w:val="26"/>
          <w:szCs w:val="26"/>
        </w:rPr>
      </w:pPr>
      <w:r w:rsidRPr="00784F8B">
        <w:rPr>
          <w:sz w:val="26"/>
          <w:szCs w:val="26"/>
        </w:rPr>
        <w:t>Detaljmotivering</w:t>
      </w:r>
    </w:p>
    <w:p w:rsidR="00516A04" w:rsidRPr="00A73488" w:rsidRDefault="00516A04" w:rsidP="00A73488">
      <w:pPr>
        <w:pStyle w:val="ANormal"/>
        <w:pBdr>
          <w:bottom w:val="single" w:sz="4" w:space="1" w:color="auto"/>
        </w:pBdr>
        <w:rPr>
          <w:sz w:val="10"/>
          <w:szCs w:val="26"/>
        </w:rPr>
      </w:pPr>
    </w:p>
    <w:p w:rsidR="00A73488" w:rsidRPr="00A73488" w:rsidRDefault="00A73488" w:rsidP="00A73488">
      <w:pPr>
        <w:pStyle w:val="ANormal"/>
        <w:rPr>
          <w:rFonts w:ascii="Arial" w:hAnsi="Arial" w:cs="Arial"/>
          <w:sz w:val="10"/>
          <w:szCs w:val="23"/>
        </w:rPr>
      </w:pPr>
    </w:p>
    <w:p w:rsidR="00516A04" w:rsidRPr="00516A04" w:rsidRDefault="00516A04" w:rsidP="00A73488">
      <w:pPr>
        <w:pStyle w:val="ANormal"/>
        <w:rPr>
          <w:rFonts w:ascii="Arial" w:hAnsi="Arial" w:cs="Arial"/>
          <w:szCs w:val="23"/>
        </w:rPr>
      </w:pPr>
      <w:r w:rsidRPr="00516A04">
        <w:rPr>
          <w:rFonts w:ascii="Arial" w:hAnsi="Arial" w:cs="Arial"/>
          <w:szCs w:val="23"/>
        </w:rPr>
        <w:t>Verksamhet</w:t>
      </w:r>
    </w:p>
    <w:p w:rsidR="00A1720E" w:rsidRPr="00A73488" w:rsidRDefault="00A1720E" w:rsidP="00A73488">
      <w:pPr>
        <w:pStyle w:val="ANormal"/>
        <w:pBdr>
          <w:bottom w:val="single" w:sz="4" w:space="1" w:color="auto"/>
        </w:pBdr>
        <w:rPr>
          <w:sz w:val="10"/>
        </w:rPr>
      </w:pPr>
    </w:p>
    <w:tbl>
      <w:tblPr>
        <w:tblW w:w="5031" w:type="pct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"/>
        <w:gridCol w:w="866"/>
        <w:gridCol w:w="19"/>
        <w:gridCol w:w="5670"/>
        <w:gridCol w:w="165"/>
      </w:tblGrid>
      <w:tr w:rsidR="00A1720E" w:rsidRPr="0079244B" w:rsidTr="003A75A9">
        <w:trPr>
          <w:trHeight w:val="20"/>
        </w:trPr>
        <w:tc>
          <w:tcPr>
            <w:tcW w:w="927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7B7B" w:rsidRPr="00EC7B7B" w:rsidRDefault="00EC7B7B" w:rsidP="00A1720E">
            <w:pPr>
              <w:pStyle w:val="BRubrikB"/>
              <w:rPr>
                <w:sz w:val="10"/>
                <w:szCs w:val="21"/>
              </w:rPr>
            </w:pPr>
          </w:p>
          <w:p w:rsidR="00A1720E" w:rsidRDefault="00A94E69" w:rsidP="00A1720E">
            <w:pPr>
              <w:pStyle w:val="BRubrikB"/>
              <w:rPr>
                <w:b/>
                <w:szCs w:val="21"/>
              </w:rPr>
            </w:pPr>
            <w:r>
              <w:rPr>
                <w:b/>
                <w:szCs w:val="21"/>
              </w:rPr>
              <w:t>46</w:t>
            </w:r>
            <w:r w:rsidR="00A1720E">
              <w:rPr>
                <w:b/>
                <w:szCs w:val="21"/>
              </w:rPr>
              <w:t>0</w:t>
            </w:r>
          </w:p>
          <w:p w:rsidR="00A1720E" w:rsidRDefault="00A94E69" w:rsidP="00A1720E">
            <w:pPr>
              <w:pStyle w:val="BRubrikB"/>
              <w:rPr>
                <w:b/>
                <w:szCs w:val="21"/>
              </w:rPr>
            </w:pPr>
            <w:r>
              <w:rPr>
                <w:b/>
                <w:szCs w:val="21"/>
              </w:rPr>
              <w:t>46</w:t>
            </w:r>
            <w:r w:rsidR="00A1720E">
              <w:rPr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 w:rsidR="00A1720E">
              <w:rPr>
                <w:b/>
                <w:szCs w:val="21"/>
              </w:rPr>
              <w:t>0</w:t>
            </w:r>
          </w:p>
          <w:p w:rsidR="00A1720E" w:rsidRDefault="00A1720E" w:rsidP="00A1720E">
            <w:pPr>
              <w:pStyle w:val="BRubrikB"/>
              <w:rPr>
                <w:b/>
                <w:szCs w:val="21"/>
              </w:rPr>
            </w:pPr>
          </w:p>
          <w:p w:rsidR="00A1720E" w:rsidRDefault="00A1720E" w:rsidP="00A1720E">
            <w:pPr>
              <w:pStyle w:val="BRubrikB"/>
              <w:rPr>
                <w:b/>
                <w:szCs w:val="21"/>
              </w:rPr>
            </w:pPr>
          </w:p>
          <w:p w:rsidR="00A1720E" w:rsidRDefault="00A1720E" w:rsidP="00A1720E">
            <w:pPr>
              <w:pStyle w:val="BRubrikB"/>
              <w:rPr>
                <w:b/>
                <w:szCs w:val="21"/>
              </w:rPr>
            </w:pPr>
          </w:p>
          <w:p w:rsidR="00A1720E" w:rsidRDefault="00A1720E" w:rsidP="00A1720E">
            <w:pPr>
              <w:pStyle w:val="BRubrikB"/>
              <w:rPr>
                <w:b/>
                <w:szCs w:val="21"/>
              </w:rPr>
            </w:pPr>
          </w:p>
          <w:p w:rsidR="00A1720E" w:rsidRDefault="00A1720E" w:rsidP="00A1720E">
            <w:pPr>
              <w:pStyle w:val="BRubrikB"/>
              <w:rPr>
                <w:b/>
                <w:szCs w:val="21"/>
              </w:rPr>
            </w:pPr>
          </w:p>
          <w:p w:rsidR="00A1720E" w:rsidRPr="00443D1B" w:rsidRDefault="00A1720E" w:rsidP="00A1720E">
            <w:pPr>
              <w:pStyle w:val="BRubrikB"/>
              <w:rPr>
                <w:b/>
                <w:szCs w:val="21"/>
              </w:rPr>
            </w:pPr>
          </w:p>
        </w:tc>
        <w:tc>
          <w:tcPr>
            <w:tcW w:w="5835" w:type="dxa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7B7B" w:rsidRPr="00EC7B7B" w:rsidRDefault="00EC7B7B" w:rsidP="00A1720E">
            <w:pPr>
              <w:pStyle w:val="BRubrikB"/>
              <w:rPr>
                <w:sz w:val="10"/>
                <w:szCs w:val="21"/>
              </w:rPr>
            </w:pPr>
          </w:p>
          <w:p w:rsidR="00A1720E" w:rsidRDefault="00A94E69" w:rsidP="00A1720E">
            <w:pPr>
              <w:pStyle w:val="BRubrikB"/>
              <w:rPr>
                <w:b/>
                <w:szCs w:val="21"/>
              </w:rPr>
            </w:pPr>
            <w:r>
              <w:rPr>
                <w:b/>
                <w:szCs w:val="21"/>
              </w:rPr>
              <w:t>CIRKULÄR EKONOMI</w:t>
            </w:r>
          </w:p>
          <w:p w:rsidR="00A1720E" w:rsidRDefault="00A94E69" w:rsidP="00A1720E">
            <w:pPr>
              <w:pStyle w:val="BRubrikB"/>
              <w:rPr>
                <w:b/>
                <w:szCs w:val="21"/>
              </w:rPr>
            </w:pPr>
            <w:r>
              <w:rPr>
                <w:b/>
                <w:szCs w:val="21"/>
              </w:rPr>
              <w:t>Cirkulär ekonomi</w:t>
            </w:r>
          </w:p>
          <w:p w:rsidR="00A94E69" w:rsidRDefault="00117942" w:rsidP="00A1720E">
            <w:pPr>
              <w:pStyle w:val="ANormal"/>
            </w:pPr>
            <w:r>
              <w:t>Föreslås att a</w:t>
            </w:r>
            <w:r w:rsidR="00A94E69">
              <w:t>nslaget flyttas till området för överföringar.</w:t>
            </w:r>
          </w:p>
          <w:p w:rsidR="00C01E41" w:rsidRPr="009E66C9" w:rsidRDefault="00B0319B" w:rsidP="00B0319B">
            <w:pPr>
              <w:pStyle w:val="ANormal"/>
              <w:rPr>
                <w:shd w:val="clear" w:color="auto" w:fill="FFFFFF"/>
              </w:rPr>
            </w:pPr>
            <w:r>
              <w:t xml:space="preserve">    </w:t>
            </w:r>
            <w:r w:rsidR="001B0852">
              <w:t xml:space="preserve">Utskottet föreslår att </w:t>
            </w:r>
            <w:proofErr w:type="spellStart"/>
            <w:r w:rsidR="001B0852">
              <w:t>v</w:t>
            </w:r>
            <w:r w:rsidR="00A94E69">
              <w:t>tm</w:t>
            </w:r>
            <w:proofErr w:type="spellEnd"/>
            <w:r w:rsidR="00A1720E" w:rsidRPr="00334F0A">
              <w:t>.</w:t>
            </w:r>
            <w:r w:rsidR="00A94E69">
              <w:t xml:space="preserve"> Veronica </w:t>
            </w:r>
            <w:proofErr w:type="spellStart"/>
            <w:r w:rsidR="00A94E69">
              <w:t>Thörnoos</w:t>
            </w:r>
            <w:proofErr w:type="spellEnd"/>
            <w:r w:rsidR="00A1720E" w:rsidRPr="00334F0A">
              <w:t xml:space="preserve"> budgetmotion nr 5</w:t>
            </w:r>
            <w:r w:rsidR="00A94E69">
              <w:t>1</w:t>
            </w:r>
            <w:r w:rsidR="00A1720E" w:rsidRPr="00334F0A">
              <w:t>/201</w:t>
            </w:r>
            <w:r w:rsidR="00A1720E">
              <w:t>7</w:t>
            </w:r>
            <w:r w:rsidR="00A1720E" w:rsidRPr="00334F0A">
              <w:t>-201</w:t>
            </w:r>
            <w:r w:rsidR="00A1720E">
              <w:t>8</w:t>
            </w:r>
            <w:r w:rsidR="00A1720E" w:rsidRPr="00334F0A">
              <w:t xml:space="preserve"> </w:t>
            </w:r>
            <w:r w:rsidR="00A94E69">
              <w:t xml:space="preserve">behandlas under </w:t>
            </w:r>
            <w:r w:rsidR="001B0852">
              <w:t xml:space="preserve">moment 46000 inom </w:t>
            </w:r>
            <w:r w:rsidR="00A94E69">
              <w:t>området överföringar.</w:t>
            </w:r>
          </w:p>
        </w:tc>
      </w:tr>
      <w:tr w:rsidR="00A1720E" w:rsidRPr="0079244B" w:rsidTr="003A75A9">
        <w:trPr>
          <w:trHeight w:val="20"/>
        </w:trPr>
        <w:tc>
          <w:tcPr>
            <w:tcW w:w="927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20E" w:rsidRDefault="000A0DCB" w:rsidP="00A1720E">
            <w:pPr>
              <w:pStyle w:val="BRubrikB"/>
              <w:rPr>
                <w:b/>
                <w:szCs w:val="21"/>
              </w:rPr>
            </w:pPr>
            <w:r>
              <w:rPr>
                <w:b/>
                <w:szCs w:val="21"/>
              </w:rPr>
              <w:t>720</w:t>
            </w:r>
          </w:p>
          <w:p w:rsidR="00A1720E" w:rsidRPr="00443D1B" w:rsidRDefault="000A0DCB" w:rsidP="003F6C23">
            <w:pPr>
              <w:pStyle w:val="BRubrikB"/>
              <w:rPr>
                <w:b/>
                <w:szCs w:val="21"/>
              </w:rPr>
            </w:pPr>
            <w:r>
              <w:rPr>
                <w:b/>
                <w:szCs w:val="21"/>
              </w:rPr>
              <w:t>7203</w:t>
            </w:r>
            <w:r w:rsidR="00A1720E" w:rsidRPr="00443D1B">
              <w:rPr>
                <w:b/>
                <w:szCs w:val="21"/>
              </w:rPr>
              <w:t>0</w:t>
            </w:r>
          </w:p>
        </w:tc>
        <w:tc>
          <w:tcPr>
            <w:tcW w:w="5835" w:type="dxa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20E" w:rsidRDefault="000A0DCB" w:rsidP="00A1720E">
            <w:pPr>
              <w:pStyle w:val="BRubrikB"/>
              <w:rPr>
                <w:b/>
                <w:szCs w:val="21"/>
              </w:rPr>
            </w:pPr>
            <w:r>
              <w:rPr>
                <w:b/>
                <w:szCs w:val="21"/>
              </w:rPr>
              <w:t>ELSÄKERHET OCH ENERGI</w:t>
            </w:r>
          </w:p>
          <w:p w:rsidR="00A1720E" w:rsidRPr="00443D1B" w:rsidRDefault="000A0DCB" w:rsidP="000A0DCB">
            <w:pPr>
              <w:pStyle w:val="BRubrikB"/>
              <w:rPr>
                <w:b/>
                <w:szCs w:val="21"/>
              </w:rPr>
            </w:pPr>
            <w:r>
              <w:rPr>
                <w:b/>
                <w:szCs w:val="21"/>
              </w:rPr>
              <w:t>Samhällsteknikutveckling</w:t>
            </w:r>
          </w:p>
        </w:tc>
      </w:tr>
      <w:tr w:rsidR="00A1720E" w:rsidTr="003A75A9">
        <w:trPr>
          <w:trHeight w:val="20"/>
        </w:trPr>
        <w:tc>
          <w:tcPr>
            <w:tcW w:w="927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20E" w:rsidRDefault="00A1720E" w:rsidP="00A1720E">
            <w:pPr>
              <w:pStyle w:val="ANormal"/>
            </w:pPr>
          </w:p>
          <w:p w:rsidR="003F6C23" w:rsidRDefault="003F6C23" w:rsidP="00A1720E">
            <w:pPr>
              <w:pStyle w:val="ANormal"/>
            </w:pPr>
          </w:p>
          <w:p w:rsidR="003F6C23" w:rsidRDefault="003F6C23" w:rsidP="00A1720E">
            <w:pPr>
              <w:pStyle w:val="ANormal"/>
            </w:pPr>
          </w:p>
          <w:p w:rsidR="006470FD" w:rsidRDefault="006470FD" w:rsidP="003F6C23">
            <w:pPr>
              <w:pStyle w:val="BRubrikB"/>
              <w:rPr>
                <w:b/>
              </w:rPr>
            </w:pPr>
          </w:p>
          <w:p w:rsidR="006470FD" w:rsidRDefault="006470FD" w:rsidP="003F6C23">
            <w:pPr>
              <w:pStyle w:val="BRubrikB"/>
              <w:rPr>
                <w:b/>
              </w:rPr>
            </w:pPr>
          </w:p>
          <w:p w:rsidR="006470FD" w:rsidRDefault="006470FD" w:rsidP="003F6C23">
            <w:pPr>
              <w:pStyle w:val="BRubrikB"/>
              <w:rPr>
                <w:b/>
              </w:rPr>
            </w:pPr>
          </w:p>
          <w:p w:rsidR="00140304" w:rsidRDefault="00140304" w:rsidP="003F6C23">
            <w:pPr>
              <w:pStyle w:val="BRubrikB"/>
              <w:rPr>
                <w:b/>
              </w:rPr>
            </w:pPr>
          </w:p>
          <w:p w:rsidR="003F6C23" w:rsidRDefault="00140304" w:rsidP="003F6C23">
            <w:pPr>
              <w:pStyle w:val="BRubrikB"/>
              <w:rPr>
                <w:b/>
              </w:rPr>
            </w:pPr>
            <w:r>
              <w:rPr>
                <w:b/>
              </w:rPr>
              <w:t>8</w:t>
            </w:r>
            <w:r w:rsidR="003F6C23" w:rsidRPr="003F6C23">
              <w:rPr>
                <w:b/>
              </w:rPr>
              <w:t>5</w:t>
            </w:r>
            <w:r w:rsidR="00117942">
              <w:rPr>
                <w:b/>
              </w:rPr>
              <w:t>6</w:t>
            </w:r>
          </w:p>
          <w:p w:rsidR="003F6C23" w:rsidRPr="003F6C23" w:rsidRDefault="003F6C23" w:rsidP="00117942">
            <w:pPr>
              <w:pStyle w:val="BRubrikB"/>
              <w:rPr>
                <w:b/>
              </w:rPr>
            </w:pPr>
            <w:r>
              <w:rPr>
                <w:b/>
              </w:rPr>
              <w:t>85</w:t>
            </w:r>
            <w:r w:rsidR="00117942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  <w:tc>
          <w:tcPr>
            <w:tcW w:w="5835" w:type="dxa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DCB" w:rsidRDefault="000A0DCB" w:rsidP="000A0DCB">
            <w:pPr>
              <w:pStyle w:val="ANormal"/>
              <w:rPr>
                <w:color w:val="000000"/>
              </w:rPr>
            </w:pPr>
            <w:r w:rsidRPr="009559E5">
              <w:rPr>
                <w:color w:val="000000"/>
              </w:rPr>
              <w:t xml:space="preserve">I </w:t>
            </w:r>
            <w:proofErr w:type="spellStart"/>
            <w:r>
              <w:rPr>
                <w:color w:val="000000"/>
              </w:rPr>
              <w:t>ltl</w:t>
            </w:r>
            <w:proofErr w:type="spellEnd"/>
            <w:r w:rsidRPr="009559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Jörgen Petterssons </w:t>
            </w:r>
            <w:r w:rsidRPr="009559E5">
              <w:rPr>
                <w:color w:val="000000"/>
              </w:rPr>
              <w:t xml:space="preserve">budgetmotion nr </w:t>
            </w:r>
            <w:r>
              <w:rPr>
                <w:color w:val="000000"/>
              </w:rPr>
              <w:t>54</w:t>
            </w:r>
            <w:r w:rsidRPr="009559E5">
              <w:rPr>
                <w:color w:val="000000"/>
              </w:rPr>
              <w:t>/201</w:t>
            </w:r>
            <w:r>
              <w:rPr>
                <w:color w:val="000000"/>
              </w:rPr>
              <w:t>7</w:t>
            </w:r>
            <w:r w:rsidRPr="009559E5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559E5">
              <w:rPr>
                <w:color w:val="000000"/>
              </w:rPr>
              <w:t xml:space="preserve"> föreslås att </w:t>
            </w:r>
            <w:r>
              <w:rPr>
                <w:color w:val="000000"/>
              </w:rPr>
              <w:t>anslaget ökas med 140 000 euro och att motiveringens sista mening får tillägget ”Till detta upptas ett anslag om 200 000 euro”.</w:t>
            </w:r>
          </w:p>
          <w:p w:rsidR="000A0DCB" w:rsidRPr="001B0852" w:rsidRDefault="00B0319B" w:rsidP="000A0DCB">
            <w:pPr>
              <w:pStyle w:val="ANormal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    </w:t>
            </w:r>
            <w:r w:rsidR="000A0DCB" w:rsidRPr="00140304">
              <w:t>Utskottet föreslår att budgetmotion nr 54/2017-2018 förkastas.</w:t>
            </w:r>
          </w:p>
          <w:p w:rsidR="00117942" w:rsidRDefault="00117942" w:rsidP="003F6C23">
            <w:pPr>
              <w:pStyle w:val="BRubrikB"/>
              <w:rPr>
                <w:b/>
                <w:szCs w:val="21"/>
              </w:rPr>
            </w:pPr>
          </w:p>
          <w:p w:rsidR="00117942" w:rsidRDefault="003F6C23" w:rsidP="003F6C23">
            <w:pPr>
              <w:pStyle w:val="BRubrikB"/>
              <w:rPr>
                <w:b/>
                <w:szCs w:val="21"/>
              </w:rPr>
            </w:pPr>
            <w:r w:rsidRPr="00443D1B">
              <w:rPr>
                <w:b/>
                <w:szCs w:val="21"/>
              </w:rPr>
              <w:t xml:space="preserve">ÅLANDS </w:t>
            </w:r>
            <w:r w:rsidR="00117942">
              <w:rPr>
                <w:b/>
                <w:szCs w:val="21"/>
              </w:rPr>
              <w:t>SJÖSÄKERHETSCENTRUM</w:t>
            </w:r>
          </w:p>
          <w:p w:rsidR="003F6C23" w:rsidRPr="003F6C23" w:rsidRDefault="003F6C23" w:rsidP="003F6C23">
            <w:pPr>
              <w:pStyle w:val="BRubrikB"/>
              <w:rPr>
                <w:b/>
              </w:rPr>
            </w:pPr>
            <w:r w:rsidRPr="003F6C23">
              <w:rPr>
                <w:b/>
              </w:rPr>
              <w:t xml:space="preserve">Ålands </w:t>
            </w:r>
            <w:r w:rsidR="00117942">
              <w:rPr>
                <w:b/>
              </w:rPr>
              <w:t>sjösäkerhetscentrum, verksamhet</w:t>
            </w:r>
          </w:p>
          <w:p w:rsidR="00117942" w:rsidRDefault="00117942" w:rsidP="00117942">
            <w:pPr>
              <w:pStyle w:val="Klam"/>
              <w:ind w:left="0"/>
              <w:rPr>
                <w:bCs/>
              </w:rPr>
            </w:pPr>
            <w:r w:rsidRPr="009559E5">
              <w:rPr>
                <w:color w:val="000000"/>
              </w:rPr>
              <w:t xml:space="preserve">I </w:t>
            </w:r>
            <w:proofErr w:type="spellStart"/>
            <w:r>
              <w:rPr>
                <w:color w:val="000000"/>
              </w:rPr>
              <w:t>ltl</w:t>
            </w:r>
            <w:proofErr w:type="spellEnd"/>
            <w:r w:rsidRPr="009559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Jörgen Petterssons </w:t>
            </w:r>
            <w:r w:rsidRPr="009559E5">
              <w:rPr>
                <w:color w:val="000000"/>
              </w:rPr>
              <w:t xml:space="preserve">budgetmotion nr </w:t>
            </w:r>
            <w:r>
              <w:rPr>
                <w:color w:val="000000"/>
              </w:rPr>
              <w:t>53</w:t>
            </w:r>
            <w:r w:rsidRPr="009559E5">
              <w:rPr>
                <w:color w:val="000000"/>
              </w:rPr>
              <w:t>/201</w:t>
            </w:r>
            <w:r>
              <w:rPr>
                <w:color w:val="000000"/>
              </w:rPr>
              <w:t>7</w:t>
            </w:r>
            <w:r w:rsidRPr="009559E5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559E5">
              <w:rPr>
                <w:color w:val="000000"/>
              </w:rPr>
              <w:t xml:space="preserve"> föreslås att </w:t>
            </w:r>
            <w:r>
              <w:rPr>
                <w:color w:val="000000"/>
              </w:rPr>
              <w:t xml:space="preserve">anslaget ökas med 54 000 euro till totalt 200 000 euro och att motiveringen får ett nytt första stycke med lydelsen: </w:t>
            </w:r>
            <w:r>
              <w:rPr>
                <w:bCs/>
              </w:rPr>
              <w:t>”Den åländska sjösäkerhetsutbildningen håller mycket hög klass men är också utsatt för hård konkurrens från omvärlden. Det är viktigt att fortsätta satsa på verksamheter som kan generera exportintä</w:t>
            </w:r>
            <w:r>
              <w:rPr>
                <w:bCs/>
              </w:rPr>
              <w:t>k</w:t>
            </w:r>
            <w:r>
              <w:rPr>
                <w:bCs/>
              </w:rPr>
              <w:t>ter, särskilt då marknaden är utmanande.”</w:t>
            </w:r>
          </w:p>
          <w:p w:rsidR="00117942" w:rsidRPr="00117942" w:rsidRDefault="00B0319B" w:rsidP="00117942">
            <w:pPr>
              <w:pStyle w:val="ANormal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   </w:t>
            </w:r>
            <w:r w:rsidR="00117942" w:rsidRPr="00140304">
              <w:t>Utskottet föreslår att budgetmotion nr 53/2017-2018 förkastas.</w:t>
            </w:r>
          </w:p>
          <w:p w:rsidR="006470FD" w:rsidRDefault="006470FD" w:rsidP="00A1720E">
            <w:pPr>
              <w:pStyle w:val="ANormal"/>
              <w:rPr>
                <w:sz w:val="8"/>
              </w:rPr>
            </w:pPr>
          </w:p>
          <w:p w:rsidR="00516A04" w:rsidRDefault="00516A04" w:rsidP="00A1720E">
            <w:pPr>
              <w:pStyle w:val="ANormal"/>
            </w:pPr>
          </w:p>
          <w:p w:rsidR="00A1720E" w:rsidRPr="00C24698" w:rsidRDefault="00A1720E" w:rsidP="00AC14EC">
            <w:pPr>
              <w:pStyle w:val="Rubrikmellanrum"/>
            </w:pPr>
            <w:r w:rsidRPr="00F152E4">
              <w:tab/>
              <w:t xml:space="preserve"> </w:t>
            </w:r>
          </w:p>
        </w:tc>
      </w:tr>
      <w:tr w:rsidR="00A1720E" w:rsidTr="003A75A9">
        <w:trPr>
          <w:gridBefore w:val="1"/>
          <w:gridAfter w:val="1"/>
          <w:wBefore w:w="42" w:type="dxa"/>
          <w:wAfter w:w="165" w:type="dxa"/>
          <w:cantSplit/>
          <w:trHeight w:val="284"/>
          <w:tblHeader/>
        </w:trPr>
        <w:tc>
          <w:tcPr>
            <w:tcW w:w="6555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7942" w:rsidRPr="00117942" w:rsidRDefault="00117942" w:rsidP="00784F8B">
            <w:pPr>
              <w:pStyle w:val="BudgetInkUtg"/>
              <w:jc w:val="left"/>
              <w:rPr>
                <w:b w:val="0"/>
                <w:sz w:val="10"/>
                <w:lang w:val="sv-SE"/>
              </w:rPr>
            </w:pPr>
          </w:p>
          <w:p w:rsidR="00A1720E" w:rsidRPr="00784F8B" w:rsidRDefault="00784F8B" w:rsidP="00784F8B">
            <w:pPr>
              <w:pStyle w:val="BudgetInkUtg"/>
              <w:jc w:val="left"/>
              <w:rPr>
                <w:b w:val="0"/>
                <w:lang w:val="sv-SE"/>
              </w:rPr>
            </w:pPr>
            <w:r w:rsidRPr="00516A04">
              <w:rPr>
                <w:b w:val="0"/>
                <w:sz w:val="22"/>
                <w:lang w:val="sv-SE"/>
              </w:rPr>
              <w:t>Överföringar</w:t>
            </w:r>
          </w:p>
        </w:tc>
      </w:tr>
      <w:tr w:rsidR="00A1720E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20E" w:rsidRDefault="00A1720E" w:rsidP="00A1720E">
            <w:pPr>
              <w:pStyle w:val="ANormal"/>
              <w:rPr>
                <w:sz w:val="10"/>
              </w:rPr>
            </w:pPr>
          </w:p>
        </w:tc>
        <w:tc>
          <w:tcPr>
            <w:tcW w:w="568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20E" w:rsidRDefault="00A1720E" w:rsidP="00A1720E">
            <w:pPr>
              <w:pStyle w:val="ANormal"/>
              <w:rPr>
                <w:sz w:val="10"/>
              </w:rPr>
            </w:pPr>
          </w:p>
        </w:tc>
      </w:tr>
      <w:tr w:rsidR="00A1720E" w:rsidRPr="00BB030B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F8B" w:rsidRDefault="00784F8B" w:rsidP="005603CD">
            <w:pPr>
              <w:pStyle w:val="BRubrikB"/>
              <w:rPr>
                <w:b/>
                <w:color w:val="000000"/>
              </w:rPr>
            </w:pPr>
          </w:p>
          <w:p w:rsidR="00A1720E" w:rsidRPr="00BB030B" w:rsidRDefault="00A94E69" w:rsidP="00A94E69">
            <w:pPr>
              <w:pStyle w:val="BRubrik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  <w:r w:rsidR="00A1720E" w:rsidRPr="00BB030B">
              <w:rPr>
                <w:b/>
                <w:color w:val="000000"/>
              </w:rPr>
              <w:t>0</w:t>
            </w:r>
          </w:p>
        </w:tc>
        <w:tc>
          <w:tcPr>
            <w:tcW w:w="5689" w:type="dxa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F8B" w:rsidRDefault="00784F8B" w:rsidP="003304FE">
            <w:pPr>
              <w:pStyle w:val="BRubrikB"/>
              <w:rPr>
                <w:b/>
                <w:color w:val="000000"/>
              </w:rPr>
            </w:pPr>
          </w:p>
          <w:p w:rsidR="00A1720E" w:rsidRPr="00BB030B" w:rsidRDefault="00A94E69" w:rsidP="00A94E69">
            <w:pPr>
              <w:pStyle w:val="BRubrik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CIRKULÄR EKONOMI</w:t>
            </w:r>
          </w:p>
        </w:tc>
      </w:tr>
      <w:tr w:rsidR="00A1720E" w:rsidRPr="00BB030B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20E" w:rsidRPr="00BB030B" w:rsidRDefault="00A94E69" w:rsidP="005603CD">
            <w:pPr>
              <w:pStyle w:val="BRubrikB"/>
              <w:rPr>
                <w:b/>
                <w:bCs w:val="0"/>
              </w:rPr>
            </w:pPr>
            <w:r>
              <w:rPr>
                <w:b/>
                <w:bCs w:val="0"/>
              </w:rPr>
              <w:t>46</w:t>
            </w:r>
            <w:r w:rsidR="005603CD">
              <w:rPr>
                <w:b/>
                <w:bCs w:val="0"/>
              </w:rPr>
              <w:t>000</w:t>
            </w:r>
          </w:p>
        </w:tc>
        <w:tc>
          <w:tcPr>
            <w:tcW w:w="5689" w:type="dxa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20E" w:rsidRPr="00BB030B" w:rsidRDefault="00A94E69" w:rsidP="00A94E69">
            <w:pPr>
              <w:pStyle w:val="BRubrikB"/>
              <w:rPr>
                <w:b/>
                <w:bCs w:val="0"/>
              </w:rPr>
            </w:pPr>
            <w:r>
              <w:rPr>
                <w:b/>
                <w:bCs w:val="0"/>
              </w:rPr>
              <w:t>Cirkulär ekonomi</w:t>
            </w:r>
          </w:p>
        </w:tc>
      </w:tr>
      <w:tr w:rsidR="00A1720E" w:rsidRPr="00BB030B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20E" w:rsidRPr="00F37B61" w:rsidRDefault="00A1720E" w:rsidP="00A1720E">
            <w:pPr>
              <w:pStyle w:val="BRubrikA"/>
              <w:rPr>
                <w:b w:val="0"/>
                <w:bCs/>
              </w:rPr>
            </w:pPr>
          </w:p>
        </w:tc>
        <w:tc>
          <w:tcPr>
            <w:tcW w:w="5689" w:type="dxa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20E" w:rsidRPr="00F37B61" w:rsidRDefault="00A94E69" w:rsidP="00A1720E">
            <w:pPr>
              <w:pStyle w:val="BRubrikA"/>
              <w:rPr>
                <w:rFonts w:ascii="Times New Roman" w:hAnsi="Times New Roman" w:cs="Times New Roman"/>
                <w:b w:val="0"/>
                <w:bCs/>
              </w:rPr>
            </w:pPr>
            <w:r w:rsidRPr="00F37B61">
              <w:rPr>
                <w:rFonts w:ascii="Times New Roman" w:hAnsi="Times New Roman" w:cs="Times New Roman"/>
                <w:b w:val="0"/>
                <w:bCs/>
                <w:sz w:val="22"/>
              </w:rPr>
              <w:t>Anslaget föreslås flyttat från området verksamhet till överf</w:t>
            </w:r>
            <w:r w:rsidRPr="00F37B61">
              <w:rPr>
                <w:rFonts w:ascii="Times New Roman" w:hAnsi="Times New Roman" w:cs="Times New Roman"/>
                <w:b w:val="0"/>
                <w:bCs/>
                <w:sz w:val="22"/>
              </w:rPr>
              <w:t>ö</w:t>
            </w:r>
            <w:r w:rsidRPr="00F37B61">
              <w:rPr>
                <w:rFonts w:ascii="Times New Roman" w:hAnsi="Times New Roman" w:cs="Times New Roman"/>
                <w:b w:val="0"/>
                <w:bCs/>
                <w:sz w:val="22"/>
              </w:rPr>
              <w:t>ringar.</w:t>
            </w:r>
          </w:p>
        </w:tc>
      </w:tr>
      <w:tr w:rsidR="00A1720E" w:rsidRPr="009559E5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20E" w:rsidRPr="00F37B61" w:rsidRDefault="00A1720E" w:rsidP="00A1720E">
            <w:pPr>
              <w:pStyle w:val="BRubrikB"/>
              <w:rPr>
                <w:color w:val="000000"/>
              </w:rPr>
            </w:pPr>
          </w:p>
        </w:tc>
        <w:tc>
          <w:tcPr>
            <w:tcW w:w="5689" w:type="dxa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626E" w:rsidRPr="00F37B61" w:rsidRDefault="008F626E" w:rsidP="008F626E">
            <w:pPr>
              <w:pStyle w:val="ANormal"/>
              <w:rPr>
                <w:color w:val="000000"/>
              </w:rPr>
            </w:pPr>
            <w:r w:rsidRPr="00F37B61">
              <w:rPr>
                <w:color w:val="000000"/>
              </w:rPr>
              <w:t xml:space="preserve">I </w:t>
            </w:r>
            <w:proofErr w:type="spellStart"/>
            <w:r w:rsidRPr="00F37B61">
              <w:rPr>
                <w:color w:val="000000"/>
              </w:rPr>
              <w:t>vtm</w:t>
            </w:r>
            <w:proofErr w:type="spellEnd"/>
            <w:r w:rsidRPr="00F37B61">
              <w:rPr>
                <w:color w:val="000000"/>
              </w:rPr>
              <w:t xml:space="preserve"> Veronica </w:t>
            </w:r>
            <w:proofErr w:type="spellStart"/>
            <w:r w:rsidRPr="00F37B61">
              <w:rPr>
                <w:color w:val="000000"/>
              </w:rPr>
              <w:t>Thörnroos</w:t>
            </w:r>
            <w:proofErr w:type="spellEnd"/>
            <w:r w:rsidRPr="00F37B61">
              <w:rPr>
                <w:color w:val="000000"/>
              </w:rPr>
              <w:t xml:space="preserve"> budgetmotion nr </w:t>
            </w:r>
            <w:r w:rsidR="00A94E69" w:rsidRPr="00F37B61">
              <w:rPr>
                <w:color w:val="000000"/>
              </w:rPr>
              <w:t>51</w:t>
            </w:r>
            <w:r w:rsidRPr="00F37B61">
              <w:rPr>
                <w:color w:val="000000"/>
              </w:rPr>
              <w:t>/2017-2018 för</w:t>
            </w:r>
            <w:r w:rsidRPr="00F37B61">
              <w:rPr>
                <w:color w:val="000000"/>
              </w:rPr>
              <w:t>e</w:t>
            </w:r>
            <w:r w:rsidRPr="00F37B61">
              <w:rPr>
                <w:color w:val="000000"/>
              </w:rPr>
              <w:t xml:space="preserve">slås att anslaget ökas med </w:t>
            </w:r>
            <w:r w:rsidR="00A94E69" w:rsidRPr="00F37B61">
              <w:rPr>
                <w:color w:val="000000"/>
              </w:rPr>
              <w:t>90</w:t>
            </w:r>
            <w:r w:rsidRPr="00F37B61">
              <w:rPr>
                <w:color w:val="000000"/>
              </w:rPr>
              <w:t xml:space="preserve"> 000 euro</w:t>
            </w:r>
            <w:r w:rsidR="001B0852" w:rsidRPr="00F37B61">
              <w:rPr>
                <w:color w:val="000000"/>
              </w:rPr>
              <w:t xml:space="preserve"> och att motiveringen får tillägget ”Ur anslaget utgår medel för skrotbilspremier”</w:t>
            </w:r>
            <w:r w:rsidRPr="00F37B61">
              <w:rPr>
                <w:color w:val="000000"/>
              </w:rPr>
              <w:t>.</w:t>
            </w:r>
          </w:p>
          <w:p w:rsidR="00F37B61" w:rsidRPr="00F37B61" w:rsidRDefault="008F626E" w:rsidP="00F37B61">
            <w:pPr>
              <w:pStyle w:val="ANormal"/>
              <w:rPr>
                <w:shd w:val="clear" w:color="auto" w:fill="FFFFFF"/>
              </w:rPr>
            </w:pPr>
            <w:r w:rsidRPr="00F37B61">
              <w:rPr>
                <w:color w:val="000000"/>
              </w:rPr>
              <w:tab/>
            </w:r>
            <w:r w:rsidRPr="00F37B61">
              <w:t xml:space="preserve">Utskottet föreslår att budgetmotion nr </w:t>
            </w:r>
            <w:r w:rsidR="001B0852" w:rsidRPr="00F37B61">
              <w:t>51</w:t>
            </w:r>
            <w:r w:rsidRPr="00F37B61">
              <w:t>/2017-2018 förka</w:t>
            </w:r>
            <w:r w:rsidRPr="00F37B61">
              <w:t>s</w:t>
            </w:r>
            <w:r w:rsidRPr="00F37B61">
              <w:t>tas.</w:t>
            </w:r>
            <w:r w:rsidR="00F37B61" w:rsidRPr="00F37B61">
              <w:t xml:space="preserve"> Utskottet </w:t>
            </w:r>
            <w:r w:rsidR="00F37B61" w:rsidRPr="00F37B61">
              <w:rPr>
                <w:shd w:val="clear" w:color="auto" w:fill="FFFFFF"/>
              </w:rPr>
              <w:t>har efter omröstning med rösterna 4-3 beslutat förkasta budgetmotionen, varvid beslutet biträddes av ordföra</w:t>
            </w:r>
            <w:r w:rsidR="00F37B61" w:rsidRPr="00F37B61">
              <w:rPr>
                <w:shd w:val="clear" w:color="auto" w:fill="FFFFFF"/>
              </w:rPr>
              <w:t>n</w:t>
            </w:r>
            <w:r w:rsidR="00F37B61" w:rsidRPr="00F37B61">
              <w:rPr>
                <w:shd w:val="clear" w:color="auto" w:fill="FFFFFF"/>
              </w:rPr>
              <w:t xml:space="preserve">den Petri Carlsson, vice ordföranden Göte </w:t>
            </w:r>
            <w:proofErr w:type="spellStart"/>
            <w:r w:rsidR="00F37B61" w:rsidRPr="00F37B61">
              <w:rPr>
                <w:shd w:val="clear" w:color="auto" w:fill="FFFFFF"/>
              </w:rPr>
              <w:t>Winé</w:t>
            </w:r>
            <w:proofErr w:type="spellEnd"/>
            <w:r w:rsidR="00F37B61" w:rsidRPr="00F37B61">
              <w:rPr>
                <w:shd w:val="clear" w:color="auto" w:fill="FFFFFF"/>
              </w:rPr>
              <w:t xml:space="preserve"> samt ledam</w:t>
            </w:r>
            <w:r w:rsidR="00F37B61" w:rsidRPr="00F37B61">
              <w:rPr>
                <w:shd w:val="clear" w:color="auto" w:fill="FFFFFF"/>
              </w:rPr>
              <w:t>ö</w:t>
            </w:r>
            <w:r w:rsidR="00F37B61" w:rsidRPr="00F37B61">
              <w:rPr>
                <w:shd w:val="clear" w:color="auto" w:fill="FFFFFF"/>
              </w:rPr>
              <w:t>terna John Holmberg och Ingrid Johansson.</w:t>
            </w:r>
          </w:p>
          <w:p w:rsidR="00A1720E" w:rsidRPr="00F37B61" w:rsidRDefault="00A1720E" w:rsidP="00F37B61">
            <w:pPr>
              <w:pStyle w:val="ANormal"/>
            </w:pPr>
          </w:p>
        </w:tc>
      </w:tr>
      <w:tr w:rsidR="00A1720E" w:rsidRPr="009559E5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20E" w:rsidRPr="009559E5" w:rsidRDefault="00A1720E" w:rsidP="00A1720E">
            <w:pPr>
              <w:pStyle w:val="BRubrikB"/>
              <w:rPr>
                <w:color w:val="000000"/>
              </w:rPr>
            </w:pPr>
          </w:p>
        </w:tc>
        <w:tc>
          <w:tcPr>
            <w:tcW w:w="5689" w:type="dxa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720E" w:rsidRPr="009559E5" w:rsidRDefault="00A1720E" w:rsidP="00A1720E">
            <w:pPr>
              <w:pStyle w:val="ANormal"/>
              <w:rPr>
                <w:color w:val="000000"/>
              </w:rPr>
            </w:pPr>
          </w:p>
        </w:tc>
      </w:tr>
      <w:tr w:rsidR="003A75A9" w:rsidRPr="00BB030B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5A9" w:rsidRPr="00BB030B" w:rsidRDefault="003A75A9" w:rsidP="003A75A9">
            <w:pPr>
              <w:pStyle w:val="BRubrik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615</w:t>
            </w:r>
          </w:p>
        </w:tc>
        <w:tc>
          <w:tcPr>
            <w:tcW w:w="5689" w:type="dxa"/>
            <w:gridSpan w:val="2"/>
          </w:tcPr>
          <w:p w:rsidR="003A75A9" w:rsidRPr="00BB030B" w:rsidRDefault="003A75A9" w:rsidP="003A75A9">
            <w:pPr>
              <w:pStyle w:val="BRubrik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FRÄMJANDE AV LIVSMEDELSPRODUKTION</w:t>
            </w:r>
          </w:p>
        </w:tc>
      </w:tr>
      <w:tr w:rsidR="003A75A9" w:rsidRPr="00BB030B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5A9" w:rsidRPr="00BB030B" w:rsidRDefault="003A75A9" w:rsidP="003A75A9">
            <w:pPr>
              <w:pStyle w:val="BRubrikB"/>
              <w:rPr>
                <w:b/>
                <w:bCs w:val="0"/>
              </w:rPr>
            </w:pPr>
            <w:r>
              <w:rPr>
                <w:b/>
                <w:bCs w:val="0"/>
              </w:rPr>
              <w:t>61500</w:t>
            </w:r>
          </w:p>
        </w:tc>
        <w:tc>
          <w:tcPr>
            <w:tcW w:w="5689" w:type="dxa"/>
            <w:gridSpan w:val="2"/>
          </w:tcPr>
          <w:p w:rsidR="003A75A9" w:rsidRPr="00BB030B" w:rsidRDefault="003A75A9" w:rsidP="003A75A9">
            <w:pPr>
              <w:pStyle w:val="BRubrikB"/>
              <w:rPr>
                <w:b/>
                <w:bCs w:val="0"/>
              </w:rPr>
            </w:pPr>
            <w:r>
              <w:rPr>
                <w:b/>
                <w:bCs w:val="0"/>
              </w:rPr>
              <w:t>Främjande av livsmedelsproduktion</w:t>
            </w:r>
          </w:p>
        </w:tc>
      </w:tr>
      <w:tr w:rsidR="003A75A9" w:rsidRPr="00BB030B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5A9" w:rsidRPr="00F37B61" w:rsidRDefault="003A75A9" w:rsidP="003A75A9">
            <w:pPr>
              <w:pStyle w:val="BRubrikB"/>
              <w:rPr>
                <w:rFonts w:ascii="Times New Roman" w:hAnsi="Times New Roman" w:cs="Times New Roman"/>
                <w:b/>
                <w:bCs w:val="0"/>
                <w:sz w:val="22"/>
              </w:rPr>
            </w:pPr>
          </w:p>
        </w:tc>
        <w:tc>
          <w:tcPr>
            <w:tcW w:w="5689" w:type="dxa"/>
            <w:gridSpan w:val="2"/>
          </w:tcPr>
          <w:p w:rsidR="003A75A9" w:rsidRPr="00F37B61" w:rsidRDefault="003A75A9" w:rsidP="003A75A9">
            <w:pPr>
              <w:pStyle w:val="Klam"/>
              <w:ind w:left="0"/>
              <w:rPr>
                <w:bCs/>
              </w:rPr>
            </w:pPr>
            <w:r w:rsidRPr="00F37B61">
              <w:rPr>
                <w:color w:val="000000"/>
              </w:rPr>
              <w:t xml:space="preserve">I </w:t>
            </w:r>
            <w:proofErr w:type="spellStart"/>
            <w:r w:rsidRPr="00F37B61">
              <w:rPr>
                <w:color w:val="000000"/>
              </w:rPr>
              <w:t>vtm</w:t>
            </w:r>
            <w:proofErr w:type="spellEnd"/>
            <w:r w:rsidRPr="00F37B61">
              <w:rPr>
                <w:color w:val="000000"/>
              </w:rPr>
              <w:t xml:space="preserve"> Veronica </w:t>
            </w:r>
            <w:proofErr w:type="spellStart"/>
            <w:r w:rsidRPr="00F37B61">
              <w:rPr>
                <w:color w:val="000000"/>
              </w:rPr>
              <w:t>Thörnroos</w:t>
            </w:r>
            <w:proofErr w:type="spellEnd"/>
            <w:r w:rsidRPr="00F37B61">
              <w:rPr>
                <w:color w:val="000000"/>
              </w:rPr>
              <w:t xml:space="preserve"> budgetmotion nr 52/2017-2018 för</w:t>
            </w:r>
            <w:r w:rsidRPr="00F37B61">
              <w:rPr>
                <w:color w:val="000000"/>
              </w:rPr>
              <w:t>e</w:t>
            </w:r>
            <w:r w:rsidRPr="00F37B61">
              <w:rPr>
                <w:color w:val="000000"/>
              </w:rPr>
              <w:t xml:space="preserve">slås att anslaget ökas med 500 000 euro och att motiveringen får ett tillägg med lydelsen: </w:t>
            </w:r>
            <w:r w:rsidRPr="00F37B61">
              <w:rPr>
                <w:bCs/>
              </w:rPr>
              <w:t xml:space="preserve">”Ur anslaget utgår ersättning om </w:t>
            </w:r>
            <w:proofErr w:type="gramStart"/>
            <w:r w:rsidRPr="00F37B61">
              <w:rPr>
                <w:bCs/>
              </w:rPr>
              <w:t>500.000</w:t>
            </w:r>
            <w:proofErr w:type="gramEnd"/>
            <w:r w:rsidRPr="00F37B61">
              <w:rPr>
                <w:bCs/>
              </w:rPr>
              <w:t xml:space="preserve"> euro för skördeskador förorsakade av sommarens e</w:t>
            </w:r>
            <w:r w:rsidRPr="00F37B61">
              <w:rPr>
                <w:bCs/>
              </w:rPr>
              <w:t>x</w:t>
            </w:r>
            <w:r w:rsidRPr="00F37B61">
              <w:rPr>
                <w:bCs/>
              </w:rPr>
              <w:t>trema torka.”</w:t>
            </w:r>
          </w:p>
          <w:p w:rsidR="003A75A9" w:rsidRPr="00F37B61" w:rsidRDefault="003A75A9" w:rsidP="00F37B61">
            <w:pPr>
              <w:pStyle w:val="ANormal"/>
            </w:pPr>
            <w:r w:rsidRPr="00F37B61">
              <w:rPr>
                <w:color w:val="000000"/>
              </w:rPr>
              <w:tab/>
            </w:r>
            <w:r w:rsidRPr="00F37B61">
              <w:t xml:space="preserve">Utskottet </w:t>
            </w:r>
            <w:r w:rsidR="00F37B61" w:rsidRPr="00F37B61">
              <w:t>hänvisar till den allmänna motiveringen i betä</w:t>
            </w:r>
            <w:r w:rsidR="00F37B61" w:rsidRPr="00F37B61">
              <w:t>n</w:t>
            </w:r>
            <w:r w:rsidR="00F37B61" w:rsidRPr="00F37B61">
              <w:t xml:space="preserve">kandet och </w:t>
            </w:r>
            <w:r w:rsidRPr="00F37B61">
              <w:t>föreslår att budgetmotion nr 52/2017-2018 förkastas.</w:t>
            </w:r>
          </w:p>
        </w:tc>
      </w:tr>
      <w:tr w:rsidR="003A75A9" w:rsidRPr="00BB030B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5A9" w:rsidRPr="00F37B61" w:rsidRDefault="003A75A9" w:rsidP="003A75A9">
            <w:pPr>
              <w:pStyle w:val="BRubrikB"/>
              <w:rPr>
                <w:rFonts w:ascii="Times New Roman" w:hAnsi="Times New Roman" w:cs="Times New Roman"/>
                <w:b/>
                <w:bCs w:val="0"/>
                <w:sz w:val="22"/>
              </w:rPr>
            </w:pPr>
          </w:p>
        </w:tc>
        <w:tc>
          <w:tcPr>
            <w:tcW w:w="5689" w:type="dxa"/>
            <w:gridSpan w:val="2"/>
          </w:tcPr>
          <w:p w:rsidR="003A75A9" w:rsidRPr="00F37B61" w:rsidRDefault="00F37B61" w:rsidP="003A75A9">
            <w:pPr>
              <w:pStyle w:val="ANormal"/>
              <w:rPr>
                <w:bCs/>
              </w:rPr>
            </w:pPr>
            <w:r>
              <w:t xml:space="preserve">     </w:t>
            </w:r>
            <w:r w:rsidR="003A75A9" w:rsidRPr="00F37B61">
              <w:t xml:space="preserve">I </w:t>
            </w:r>
            <w:proofErr w:type="spellStart"/>
            <w:r w:rsidR="003A75A9" w:rsidRPr="00F37B61">
              <w:t>ltl</w:t>
            </w:r>
            <w:proofErr w:type="spellEnd"/>
            <w:r w:rsidR="003A75A9" w:rsidRPr="00F37B61">
              <w:t xml:space="preserve"> Brage Eklunds budgetmotion nr 56/2017-2018 föreslås att anslaget ökas med 1 000 000</w:t>
            </w:r>
            <w:r w:rsidR="0091045E" w:rsidRPr="00F37B61">
              <w:rPr>
                <w:bCs/>
              </w:rPr>
              <w:t>.</w:t>
            </w:r>
          </w:p>
          <w:p w:rsidR="003A75A9" w:rsidRPr="00F37B61" w:rsidRDefault="003A75A9" w:rsidP="003A75A9">
            <w:pPr>
              <w:pStyle w:val="ANormal"/>
            </w:pPr>
            <w:r w:rsidRPr="00F37B61">
              <w:rPr>
                <w:color w:val="000000"/>
              </w:rPr>
              <w:tab/>
            </w:r>
            <w:r w:rsidRPr="00F37B61">
              <w:t xml:space="preserve">Utskottet </w:t>
            </w:r>
            <w:r w:rsidR="00F37B61" w:rsidRPr="00F37B61">
              <w:t>hänvisar till den allmänna motiveringen i betä</w:t>
            </w:r>
            <w:r w:rsidR="00F37B61" w:rsidRPr="00F37B61">
              <w:t>n</w:t>
            </w:r>
            <w:r w:rsidR="00F37B61" w:rsidRPr="00F37B61">
              <w:t xml:space="preserve">kandet </w:t>
            </w:r>
            <w:r w:rsidRPr="00F37B61">
              <w:t>föreslår att budgetmotion nr 56/2017-2018 förkastas.</w:t>
            </w:r>
          </w:p>
          <w:p w:rsidR="003A75A9" w:rsidRPr="00F37B61" w:rsidRDefault="003A75A9" w:rsidP="003A75A9">
            <w:pPr>
              <w:pStyle w:val="ANormal"/>
            </w:pPr>
            <w:r w:rsidRPr="00F37B61">
              <w:rPr>
                <w:color w:val="A6A6A6" w:themeColor="background1" w:themeShade="A6"/>
              </w:rPr>
              <w:tab/>
            </w:r>
          </w:p>
        </w:tc>
      </w:tr>
      <w:tr w:rsidR="003A75A9" w:rsidRPr="00BB030B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5A9" w:rsidRPr="00BB030B" w:rsidRDefault="00090E03" w:rsidP="00090E03">
            <w:pPr>
              <w:pStyle w:val="BRubrik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</w:p>
        </w:tc>
        <w:tc>
          <w:tcPr>
            <w:tcW w:w="5689" w:type="dxa"/>
            <w:gridSpan w:val="2"/>
          </w:tcPr>
          <w:p w:rsidR="003A75A9" w:rsidRPr="00090E03" w:rsidRDefault="00090E03" w:rsidP="00090E03">
            <w:pPr>
              <w:pStyle w:val="BRubrikB"/>
              <w:rPr>
                <w:b/>
                <w:color w:val="000000"/>
              </w:rPr>
            </w:pPr>
            <w:r w:rsidRPr="00090E03">
              <w:rPr>
                <w:b/>
                <w:color w:val="000000"/>
              </w:rPr>
              <w:t>ELSÄKERHET OCH ENERGI</w:t>
            </w:r>
          </w:p>
        </w:tc>
      </w:tr>
      <w:tr w:rsidR="003A75A9" w:rsidRPr="00BB030B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5A9" w:rsidRPr="00F37B61" w:rsidRDefault="00090E03" w:rsidP="003A75A9">
            <w:pPr>
              <w:pStyle w:val="BRubrikB"/>
              <w:rPr>
                <w:b/>
                <w:bCs w:val="0"/>
              </w:rPr>
            </w:pPr>
            <w:r w:rsidRPr="00F37B61">
              <w:rPr>
                <w:b/>
                <w:bCs w:val="0"/>
              </w:rPr>
              <w:t>72</w:t>
            </w:r>
            <w:r w:rsidR="003A75A9" w:rsidRPr="00F37B61">
              <w:rPr>
                <w:b/>
                <w:bCs w:val="0"/>
              </w:rPr>
              <w:t>0</w:t>
            </w:r>
            <w:r w:rsidRPr="00F37B61">
              <w:rPr>
                <w:b/>
                <w:bCs w:val="0"/>
              </w:rPr>
              <w:t>1</w:t>
            </w:r>
            <w:r w:rsidR="003A75A9" w:rsidRPr="00F37B61">
              <w:rPr>
                <w:b/>
                <w:bCs w:val="0"/>
              </w:rPr>
              <w:t>0</w:t>
            </w:r>
          </w:p>
        </w:tc>
        <w:tc>
          <w:tcPr>
            <w:tcW w:w="5689" w:type="dxa"/>
            <w:gridSpan w:val="2"/>
          </w:tcPr>
          <w:p w:rsidR="003A75A9" w:rsidRPr="00F37B61" w:rsidRDefault="00090E03" w:rsidP="00090E03">
            <w:pPr>
              <w:pStyle w:val="BRubrikB"/>
              <w:rPr>
                <w:b/>
                <w:color w:val="000000"/>
              </w:rPr>
            </w:pPr>
            <w:r w:rsidRPr="00F37B61">
              <w:rPr>
                <w:b/>
                <w:color w:val="000000"/>
              </w:rPr>
              <w:t>Främjande av hållbar energiomställning (RF)</w:t>
            </w:r>
          </w:p>
          <w:p w:rsidR="00766FC9" w:rsidRPr="00F37B61" w:rsidRDefault="00090E03" w:rsidP="00766FC9">
            <w:pPr>
              <w:rPr>
                <w:sz w:val="22"/>
                <w:szCs w:val="20"/>
              </w:rPr>
            </w:pPr>
            <w:r w:rsidRPr="00F37B61">
              <w:rPr>
                <w:color w:val="000000"/>
                <w:sz w:val="22"/>
              </w:rPr>
              <w:t xml:space="preserve">I </w:t>
            </w:r>
            <w:proofErr w:type="spellStart"/>
            <w:r w:rsidRPr="00F37B61">
              <w:rPr>
                <w:color w:val="000000"/>
                <w:sz w:val="22"/>
              </w:rPr>
              <w:t>ltl</w:t>
            </w:r>
            <w:proofErr w:type="spellEnd"/>
            <w:r w:rsidRPr="00F37B61">
              <w:rPr>
                <w:color w:val="000000"/>
                <w:sz w:val="22"/>
              </w:rPr>
              <w:t xml:space="preserve"> Jörgen Petterssons budgetmotion nr 55/2017-2018 föreslås att anslaget ökas med 35 000 euro och att motiveringen ändras till följande lydelse:</w:t>
            </w:r>
            <w:r w:rsidR="00766FC9" w:rsidRPr="00F37B61">
              <w:rPr>
                <w:color w:val="000000"/>
                <w:sz w:val="22"/>
              </w:rPr>
              <w:t xml:space="preserve"> </w:t>
            </w:r>
            <w:r w:rsidR="00766FC9" w:rsidRPr="00F37B61">
              <w:rPr>
                <w:sz w:val="22"/>
                <w:szCs w:val="20"/>
              </w:rPr>
              <w:t xml:space="preserve">”Föreslås att av anslaget kan maximalt </w:t>
            </w:r>
            <w:proofErr w:type="gramStart"/>
            <w:r w:rsidR="00766FC9" w:rsidRPr="00F37B61">
              <w:rPr>
                <w:sz w:val="22"/>
                <w:szCs w:val="20"/>
              </w:rPr>
              <w:t>50.000</w:t>
            </w:r>
            <w:proofErr w:type="gramEnd"/>
            <w:r w:rsidR="00766FC9" w:rsidRPr="00F37B61">
              <w:rPr>
                <w:sz w:val="22"/>
                <w:szCs w:val="20"/>
              </w:rPr>
              <w:t xml:space="preserve"> euro användas till att stödja övergång till förnyelsebart bränsle inom den av landskapet understödda kollektivtrafiken.”</w:t>
            </w:r>
          </w:p>
          <w:p w:rsidR="00766FC9" w:rsidRPr="00F37B61" w:rsidRDefault="00766FC9" w:rsidP="00766FC9">
            <w:pPr>
              <w:pStyle w:val="ANormal"/>
            </w:pPr>
            <w:r w:rsidRPr="00F37B61">
              <w:rPr>
                <w:color w:val="000000"/>
              </w:rPr>
              <w:tab/>
            </w:r>
            <w:r w:rsidRPr="00F37B61">
              <w:t>Utskottet föreslår att budgetmotion nr 5</w:t>
            </w:r>
            <w:r w:rsidR="0091045E" w:rsidRPr="00F37B61">
              <w:t>5</w:t>
            </w:r>
            <w:r w:rsidRPr="00F37B61">
              <w:t>/2017-2018 förka</w:t>
            </w:r>
            <w:r w:rsidRPr="00F37B61">
              <w:t>s</w:t>
            </w:r>
            <w:r w:rsidRPr="00F37B61">
              <w:t>tas.</w:t>
            </w:r>
          </w:p>
          <w:p w:rsidR="00090E03" w:rsidRPr="00F37B61" w:rsidRDefault="00766FC9" w:rsidP="00140304">
            <w:pPr>
              <w:pStyle w:val="ANormal"/>
              <w:rPr>
                <w:b/>
                <w:color w:val="000000"/>
              </w:rPr>
            </w:pPr>
            <w:r w:rsidRPr="00F37B61">
              <w:rPr>
                <w:color w:val="A6A6A6" w:themeColor="background1" w:themeShade="A6"/>
              </w:rPr>
              <w:tab/>
            </w:r>
          </w:p>
        </w:tc>
      </w:tr>
      <w:tr w:rsidR="00766FC9" w:rsidRPr="00BB030B" w:rsidTr="003A75A9">
        <w:trPr>
          <w:gridBefore w:val="1"/>
          <w:gridAfter w:val="1"/>
          <w:wBefore w:w="42" w:type="dxa"/>
          <w:wAfter w:w="165" w:type="dxa"/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6FC9" w:rsidRDefault="00766FC9" w:rsidP="003A75A9">
            <w:pPr>
              <w:pStyle w:val="BRubrikB"/>
              <w:rPr>
                <w:b/>
                <w:bCs w:val="0"/>
              </w:rPr>
            </w:pPr>
          </w:p>
        </w:tc>
        <w:tc>
          <w:tcPr>
            <w:tcW w:w="5689" w:type="dxa"/>
            <w:gridSpan w:val="2"/>
          </w:tcPr>
          <w:p w:rsidR="00766FC9" w:rsidRDefault="00766FC9" w:rsidP="00090E03">
            <w:pPr>
              <w:pStyle w:val="BRubrikB"/>
              <w:rPr>
                <w:b/>
                <w:color w:val="000000"/>
              </w:rPr>
            </w:pPr>
          </w:p>
        </w:tc>
      </w:tr>
    </w:tbl>
    <w:p w:rsidR="002401D0" w:rsidRDefault="002401D0">
      <w:pPr>
        <w:pStyle w:val="RubrikA"/>
      </w:pPr>
      <w:bookmarkStart w:id="10" w:name="_Toc529800936"/>
      <w:bookmarkStart w:id="11" w:name="_Toc530468636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535A9F" w:rsidRDefault="00535A9F" w:rsidP="00535A9F">
      <w:pPr>
        <w:pStyle w:val="ANormal"/>
      </w:pPr>
      <w:r>
        <w:t xml:space="preserve">Lagtinget har den </w:t>
      </w:r>
      <w:r w:rsidR="00D67B9E">
        <w:t>19</w:t>
      </w:r>
      <w:r w:rsidR="00C70F59">
        <w:t xml:space="preserve"> </w:t>
      </w:r>
      <w:r w:rsidR="00D67B9E">
        <w:t>september</w:t>
      </w:r>
      <w:r>
        <w:t xml:space="preserve"> 201</w:t>
      </w:r>
      <w:r w:rsidR="00FE2D9E">
        <w:t>8</w:t>
      </w:r>
      <w:r>
        <w:t xml:space="preserve"> begärt </w:t>
      </w:r>
      <w:r w:rsidR="003A3793">
        <w:t xml:space="preserve">in </w:t>
      </w:r>
      <w:r>
        <w:t>finans- och näringsutsko</w:t>
      </w:r>
      <w:r>
        <w:t>t</w:t>
      </w:r>
      <w:r>
        <w:t>tets yttrande över budgetförslaget och budgetmotionerna.</w:t>
      </w:r>
    </w:p>
    <w:p w:rsidR="002A42A9" w:rsidRDefault="00535A9F" w:rsidP="00535A9F">
      <w:pPr>
        <w:pStyle w:val="ANormal"/>
      </w:pPr>
      <w:r>
        <w:tab/>
        <w:t>Utskottet har i ärendet hört</w:t>
      </w:r>
      <w:r w:rsidR="00F53EF6">
        <w:t xml:space="preserve"> </w:t>
      </w:r>
      <w:r w:rsidR="00B71D51">
        <w:t>minister</w:t>
      </w:r>
      <w:r w:rsidR="003E60EC">
        <w:t>n</w:t>
      </w:r>
      <w:r w:rsidR="00B71D51">
        <w:t xml:space="preserve"> Mats </w:t>
      </w:r>
      <w:proofErr w:type="spellStart"/>
      <w:r w:rsidR="00B71D51">
        <w:t>Perämaa</w:t>
      </w:r>
      <w:proofErr w:type="spellEnd"/>
      <w:r w:rsidR="007512DF">
        <w:t xml:space="preserve">, </w:t>
      </w:r>
      <w:r w:rsidR="00D67B9E">
        <w:t>vice lantrådet</w:t>
      </w:r>
      <w:r w:rsidR="004232EA">
        <w:t xml:space="preserve"> </w:t>
      </w:r>
      <w:r w:rsidR="00D67B9E">
        <w:t>C</w:t>
      </w:r>
      <w:r w:rsidR="00D67B9E">
        <w:t>a</w:t>
      </w:r>
      <w:r w:rsidR="00D67B9E">
        <w:t>milla Gunell</w:t>
      </w:r>
      <w:r w:rsidR="004232EA">
        <w:t xml:space="preserve">, finanschefen Conny Nyholm, </w:t>
      </w:r>
      <w:r w:rsidR="003E60EC">
        <w:t>budgetplaneraren Robert Lin</w:t>
      </w:r>
      <w:r w:rsidR="003E60EC">
        <w:t>d</w:t>
      </w:r>
      <w:r w:rsidR="00FE2D9E">
        <w:t>blom</w:t>
      </w:r>
      <w:r w:rsidR="004232EA">
        <w:t xml:space="preserve">, byråchefen </w:t>
      </w:r>
      <w:r w:rsidR="00D67B9E">
        <w:t>Sölve Högman</w:t>
      </w:r>
      <w:r w:rsidR="004232EA">
        <w:t>,</w:t>
      </w:r>
      <w:r w:rsidR="002A42A9">
        <w:t xml:space="preserve"> verkställande direktören Henry Lin</w:t>
      </w:r>
      <w:r w:rsidR="002A42A9">
        <w:t>d</w:t>
      </w:r>
      <w:r w:rsidR="002A42A9">
        <w:t>ström vid Ålands producentförbund</w:t>
      </w:r>
      <w:r w:rsidR="00582795">
        <w:t xml:space="preserve"> r.f.</w:t>
      </w:r>
      <w:r w:rsidR="002A42A9">
        <w:t xml:space="preserve">, </w:t>
      </w:r>
      <w:r w:rsidR="00A134F8">
        <w:t>bär- och fruktodlingsrådgivare P</w:t>
      </w:r>
      <w:r w:rsidR="001E007A">
        <w:t xml:space="preserve">ernilla Gabrielsson och </w:t>
      </w:r>
      <w:r w:rsidR="002A42A9">
        <w:t xml:space="preserve">husdjursrådgivaren Kerstin Lundberg vid Ålands hushållningssällskap r.f., </w:t>
      </w:r>
      <w:r w:rsidR="00770E53">
        <w:t xml:space="preserve">verksamhetsledaren </w:t>
      </w:r>
      <w:r w:rsidR="00EE0645">
        <w:t xml:space="preserve">Torbjörn Björkman vid Ålands skogsvårdsförening r.f., köttbonden Henrik Sundberg, mjölkbonden Carina Eriksson, växtodlaren Johan Holmqvist, verkställande direktören Johannes Dahlman från Dahlmans ab, verkställande direktören Tord </w:t>
      </w:r>
      <w:proofErr w:type="spellStart"/>
      <w:r w:rsidR="00EE0645">
        <w:t>Sa</w:t>
      </w:r>
      <w:r w:rsidR="00EE0645">
        <w:t>r</w:t>
      </w:r>
      <w:r w:rsidR="00EE0645">
        <w:t>ling</w:t>
      </w:r>
      <w:proofErr w:type="spellEnd"/>
      <w:r w:rsidR="00EE0645">
        <w:t xml:space="preserve"> från Ålands trädgårds</w:t>
      </w:r>
      <w:r w:rsidR="001E007A">
        <w:t xml:space="preserve">hall ab, styrelseordföranden Bernt Schalin från </w:t>
      </w:r>
      <w:proofErr w:type="spellStart"/>
      <w:r w:rsidR="001E007A">
        <w:t>Flexens</w:t>
      </w:r>
      <w:proofErr w:type="spellEnd"/>
      <w:r w:rsidR="001E007A">
        <w:t xml:space="preserve"> ab, verkställande direktören Per Eriksson från Mariehamns Elnät ab, verkställande direktören Christian Augustsson från Kraftnät Åland ab, </w:t>
      </w:r>
      <w:r w:rsidR="00EC77D0">
        <w:t>chefen Ulf Fellman vid Ålands sjösäkerhetscentrum och rektorn Jonas Wa</w:t>
      </w:r>
      <w:r w:rsidR="00EC77D0">
        <w:t>l</w:t>
      </w:r>
      <w:r w:rsidR="00EC77D0">
        <w:t>ler (per telefon) vid Högskolan på Åland.</w:t>
      </w:r>
    </w:p>
    <w:p w:rsidR="00535A9F" w:rsidRPr="00DB5ECA" w:rsidRDefault="00535A9F" w:rsidP="00535A9F">
      <w:pPr>
        <w:pStyle w:val="ANormal"/>
      </w:pPr>
      <w:r>
        <w:tab/>
      </w:r>
      <w:r w:rsidRPr="00D12568">
        <w:t xml:space="preserve">I ärendets avgörande behandling deltog ordföranden </w:t>
      </w:r>
      <w:r w:rsidR="008369C5">
        <w:t>Petri Carlsson</w:t>
      </w:r>
      <w:r w:rsidRPr="00D12568">
        <w:t xml:space="preserve">, vice ordföranden Göte </w:t>
      </w:r>
      <w:proofErr w:type="spellStart"/>
      <w:r w:rsidRPr="00D12568">
        <w:t>Winé</w:t>
      </w:r>
      <w:proofErr w:type="spellEnd"/>
      <w:r w:rsidRPr="00D12568">
        <w:t xml:space="preserve"> och ledamöterna John Holmberg</w:t>
      </w:r>
      <w:r w:rsidR="00A303A1" w:rsidRPr="00D12568">
        <w:t xml:space="preserve">, </w:t>
      </w:r>
      <w:r w:rsidR="008369C5">
        <w:t xml:space="preserve">Lars Häggblom, </w:t>
      </w:r>
      <w:r w:rsidR="00A303A1" w:rsidRPr="00D12568">
        <w:t>Ingrid Johansson</w:t>
      </w:r>
      <w:r w:rsidR="00D67B9E">
        <w:t>,</w:t>
      </w:r>
      <w:r w:rsidR="00A303A1" w:rsidRPr="00D12568">
        <w:t xml:space="preserve"> </w:t>
      </w:r>
      <w:proofErr w:type="spellStart"/>
      <w:r w:rsidRPr="00D12568">
        <w:t>vtm</w:t>
      </w:r>
      <w:proofErr w:type="spellEnd"/>
      <w:r w:rsidRPr="00D12568">
        <w:t xml:space="preserve"> Veronica </w:t>
      </w:r>
      <w:proofErr w:type="spellStart"/>
      <w:r w:rsidRPr="00D12568">
        <w:t>Thörnroos</w:t>
      </w:r>
      <w:proofErr w:type="spellEnd"/>
      <w:r w:rsidR="00D67B9E">
        <w:t xml:space="preserve"> och ledamot Stephan Toivonen</w:t>
      </w:r>
      <w:r w:rsidRPr="00D12568">
        <w:t>.</w:t>
      </w:r>
    </w:p>
    <w:p w:rsidR="00535A9F" w:rsidRDefault="00535A9F" w:rsidP="00535A9F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530468637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4232EA" w:rsidRDefault="002401D0" w:rsidP="00A1720E">
      <w:pPr>
        <w:pStyle w:val="Klam"/>
      </w:pPr>
      <w:r>
        <w:t>att lagtinget</w:t>
      </w:r>
      <w:r w:rsidR="00FA31FA">
        <w:t xml:space="preserve"> antar </w:t>
      </w:r>
      <w:r w:rsidR="004232EA">
        <w:t xml:space="preserve">landskapsregeringens förslag till </w:t>
      </w:r>
      <w:r w:rsidR="00D67B9E">
        <w:t>andra</w:t>
      </w:r>
      <w:r w:rsidR="004232EA">
        <w:t xml:space="preserve"> </w:t>
      </w:r>
      <w:r w:rsidR="00FA31FA">
        <w:t>tilläg</w:t>
      </w:r>
      <w:r w:rsidR="004232EA">
        <w:t>g till bu</w:t>
      </w:r>
      <w:r w:rsidR="00FA31FA">
        <w:t>dget</w:t>
      </w:r>
      <w:r w:rsidR="004232EA">
        <w:t xml:space="preserve">en </w:t>
      </w:r>
      <w:r w:rsidR="00FA31FA">
        <w:t>i</w:t>
      </w:r>
      <w:r w:rsidR="004232EA">
        <w:t xml:space="preserve"> nedanstående</w:t>
      </w:r>
      <w:r w:rsidR="00FA31FA">
        <w:t xml:space="preserve"> ly</w:t>
      </w:r>
      <w:r w:rsidR="004232EA">
        <w:t>delse</w:t>
      </w:r>
      <w:r w:rsidR="00A1720E">
        <w:t>,</w:t>
      </w:r>
      <w:r w:rsidR="004232EA">
        <w:t xml:space="preserve"> </w:t>
      </w:r>
    </w:p>
    <w:p w:rsidR="00A1720E" w:rsidRPr="00A1720E" w:rsidRDefault="00A1720E" w:rsidP="00A1720E">
      <w:pPr>
        <w:pStyle w:val="ANormal"/>
      </w:pPr>
    </w:p>
    <w:p w:rsidR="004232EA" w:rsidRDefault="004232EA" w:rsidP="004232EA">
      <w:pPr>
        <w:pStyle w:val="Klam"/>
      </w:pPr>
      <w:r>
        <w:t xml:space="preserve">att lagtinget förskastar budgetmotionerna </w:t>
      </w:r>
      <w:r w:rsidR="00D67B9E">
        <w:t>51</w:t>
      </w:r>
      <w:r>
        <w:t>-5</w:t>
      </w:r>
      <w:r w:rsidR="00D67B9E">
        <w:t>6</w:t>
      </w:r>
      <w:r>
        <w:t>/2017-2018</w:t>
      </w:r>
      <w:r w:rsidR="00A1720E">
        <w:t xml:space="preserve"> samt</w:t>
      </w:r>
    </w:p>
    <w:p w:rsidR="00A1720E" w:rsidRDefault="00A1720E" w:rsidP="00A1720E">
      <w:pPr>
        <w:pStyle w:val="ANormal"/>
      </w:pPr>
    </w:p>
    <w:p w:rsidR="00A1720E" w:rsidRPr="00A1720E" w:rsidRDefault="00A1720E" w:rsidP="00A1720E">
      <w:pPr>
        <w:pStyle w:val="Klam"/>
      </w:pPr>
      <w:r>
        <w:lastRenderedPageBreak/>
        <w:t xml:space="preserve">att lagtinget beslutar att </w:t>
      </w:r>
      <w:r w:rsidR="00D67B9E">
        <w:t>andra</w:t>
      </w:r>
      <w:r w:rsidR="00C47706">
        <w:t xml:space="preserve"> tillägget till budgeten för å</w:t>
      </w:r>
      <w:r>
        <w:t xml:space="preserve">r 2018 ska tillämpas omedelbart i den lydelse den har i lagtingets beslut. </w:t>
      </w:r>
    </w:p>
    <w:p w:rsidR="002401D0" w:rsidRDefault="00CE14F7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582795">
            <w:pPr>
              <w:pStyle w:val="ANormal"/>
              <w:keepNext/>
            </w:pPr>
            <w:r>
              <w:t xml:space="preserve">Mariehamn den </w:t>
            </w:r>
            <w:r w:rsidR="00582795">
              <w:t>20</w:t>
            </w:r>
            <w:r w:rsidR="006138E3">
              <w:t xml:space="preserve"> </w:t>
            </w:r>
            <w:r w:rsidR="00D67B9E">
              <w:t>november</w:t>
            </w:r>
            <w:r w:rsidR="006138E3">
              <w:t xml:space="preserve"> 201</w:t>
            </w:r>
            <w:r w:rsidR="00A303A1">
              <w:t>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E70E3C" w:rsidP="00E70E3C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A303A1" w:rsidRDefault="00A303A1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A303A1">
            <w:pPr>
              <w:pStyle w:val="ANormal"/>
              <w:keepNext/>
            </w:pPr>
            <w:r>
              <w:t>Sten Eriksson</w:t>
            </w:r>
          </w:p>
        </w:tc>
      </w:tr>
      <w:tr w:rsidR="00A303A1">
        <w:tc>
          <w:tcPr>
            <w:tcW w:w="4454" w:type="dxa"/>
            <w:vAlign w:val="bottom"/>
          </w:tcPr>
          <w:p w:rsidR="00A303A1" w:rsidRDefault="00A303A1">
            <w:pPr>
              <w:pStyle w:val="ANormal"/>
              <w:keepNext/>
            </w:pPr>
          </w:p>
        </w:tc>
        <w:tc>
          <w:tcPr>
            <w:tcW w:w="3477" w:type="dxa"/>
            <w:vAlign w:val="bottom"/>
          </w:tcPr>
          <w:p w:rsidR="00A303A1" w:rsidRDefault="00A303A1">
            <w:pPr>
              <w:pStyle w:val="ANormal"/>
              <w:keepNext/>
            </w:pP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5E" w:rsidRDefault="0091045E">
      <w:r>
        <w:separator/>
      </w:r>
    </w:p>
  </w:endnote>
  <w:endnote w:type="continuationSeparator" w:id="0">
    <w:p w:rsidR="0091045E" w:rsidRDefault="0091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5E" w:rsidRDefault="0091045E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5E" w:rsidRDefault="0091045E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31577">
      <w:rPr>
        <w:noProof/>
        <w:lang w:val="fi-FI"/>
      </w:rPr>
      <w:t>FNU0220182019.docx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5E" w:rsidRDefault="0091045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5E" w:rsidRDefault="0091045E">
      <w:r>
        <w:separator/>
      </w:r>
    </w:p>
  </w:footnote>
  <w:footnote w:type="continuationSeparator" w:id="0">
    <w:p w:rsidR="0091045E" w:rsidRDefault="0091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5E" w:rsidRDefault="0091045E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E14F7">
      <w:rPr>
        <w:rStyle w:val="Sidnummer"/>
        <w:noProof/>
      </w:rPr>
      <w:t>4</w:t>
    </w:r>
    <w:r>
      <w:rPr>
        <w:rStyle w:val="Sidnummer"/>
      </w:rPr>
      <w:fldChar w:fldCharType="end"/>
    </w:r>
  </w:p>
  <w:p w:rsidR="0091045E" w:rsidRDefault="0091045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5E" w:rsidRDefault="0091045E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E14F7">
      <w:rPr>
        <w:rStyle w:val="Sidnummer"/>
        <w:noProof/>
      </w:rPr>
      <w:t>5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57"/>
    <w:rsid w:val="00000591"/>
    <w:rsid w:val="00011E50"/>
    <w:rsid w:val="00015E9C"/>
    <w:rsid w:val="000225EE"/>
    <w:rsid w:val="00051556"/>
    <w:rsid w:val="000576C9"/>
    <w:rsid w:val="00090E03"/>
    <w:rsid w:val="000959C5"/>
    <w:rsid w:val="00096782"/>
    <w:rsid w:val="000A0DCB"/>
    <w:rsid w:val="000B2DC9"/>
    <w:rsid w:val="000B30F4"/>
    <w:rsid w:val="000D1903"/>
    <w:rsid w:val="000F7417"/>
    <w:rsid w:val="00117942"/>
    <w:rsid w:val="001212B6"/>
    <w:rsid w:val="00124B87"/>
    <w:rsid w:val="00140304"/>
    <w:rsid w:val="00150358"/>
    <w:rsid w:val="0015337C"/>
    <w:rsid w:val="001543D1"/>
    <w:rsid w:val="001621C0"/>
    <w:rsid w:val="001B0852"/>
    <w:rsid w:val="001B21BE"/>
    <w:rsid w:val="001D5B0F"/>
    <w:rsid w:val="001E007A"/>
    <w:rsid w:val="001F21AA"/>
    <w:rsid w:val="00200C3B"/>
    <w:rsid w:val="00206FE0"/>
    <w:rsid w:val="002107D3"/>
    <w:rsid w:val="00227FFA"/>
    <w:rsid w:val="002401D0"/>
    <w:rsid w:val="002438E0"/>
    <w:rsid w:val="002452FE"/>
    <w:rsid w:val="002569EA"/>
    <w:rsid w:val="002A42A9"/>
    <w:rsid w:val="002A639D"/>
    <w:rsid w:val="002B07EE"/>
    <w:rsid w:val="002D7506"/>
    <w:rsid w:val="002E4176"/>
    <w:rsid w:val="00300AD1"/>
    <w:rsid w:val="003304FE"/>
    <w:rsid w:val="00331577"/>
    <w:rsid w:val="00351393"/>
    <w:rsid w:val="0036359C"/>
    <w:rsid w:val="00394C28"/>
    <w:rsid w:val="00395FD5"/>
    <w:rsid w:val="003A3793"/>
    <w:rsid w:val="003A5D9B"/>
    <w:rsid w:val="003A75A9"/>
    <w:rsid w:val="003B5C3A"/>
    <w:rsid w:val="003C441B"/>
    <w:rsid w:val="003C45F5"/>
    <w:rsid w:val="003E60EC"/>
    <w:rsid w:val="003F028D"/>
    <w:rsid w:val="003F6C23"/>
    <w:rsid w:val="00406C44"/>
    <w:rsid w:val="00410D01"/>
    <w:rsid w:val="004232EA"/>
    <w:rsid w:val="0044380C"/>
    <w:rsid w:val="00453FDF"/>
    <w:rsid w:val="0045708C"/>
    <w:rsid w:val="00463965"/>
    <w:rsid w:val="00472F90"/>
    <w:rsid w:val="004B2743"/>
    <w:rsid w:val="004B3DC1"/>
    <w:rsid w:val="004C5C19"/>
    <w:rsid w:val="004D5588"/>
    <w:rsid w:val="004F218B"/>
    <w:rsid w:val="00512DBB"/>
    <w:rsid w:val="00515314"/>
    <w:rsid w:val="00516A04"/>
    <w:rsid w:val="00535A9F"/>
    <w:rsid w:val="00553322"/>
    <w:rsid w:val="005551C4"/>
    <w:rsid w:val="005603CD"/>
    <w:rsid w:val="005701BA"/>
    <w:rsid w:val="0058276E"/>
    <w:rsid w:val="00582795"/>
    <w:rsid w:val="00582E5C"/>
    <w:rsid w:val="00585544"/>
    <w:rsid w:val="005A6A7C"/>
    <w:rsid w:val="005B0E9B"/>
    <w:rsid w:val="005B2EC9"/>
    <w:rsid w:val="005B5414"/>
    <w:rsid w:val="005E7598"/>
    <w:rsid w:val="005F6B53"/>
    <w:rsid w:val="00600AE7"/>
    <w:rsid w:val="00602A34"/>
    <w:rsid w:val="00612A24"/>
    <w:rsid w:val="006138E3"/>
    <w:rsid w:val="00636644"/>
    <w:rsid w:val="00643968"/>
    <w:rsid w:val="006470FD"/>
    <w:rsid w:val="0066234B"/>
    <w:rsid w:val="006869B3"/>
    <w:rsid w:val="00693AD0"/>
    <w:rsid w:val="00696EF7"/>
    <w:rsid w:val="006A4022"/>
    <w:rsid w:val="006A51CA"/>
    <w:rsid w:val="006B2E9E"/>
    <w:rsid w:val="006B434D"/>
    <w:rsid w:val="006C30E1"/>
    <w:rsid w:val="006C35BA"/>
    <w:rsid w:val="006F76FA"/>
    <w:rsid w:val="00710507"/>
    <w:rsid w:val="00716088"/>
    <w:rsid w:val="00723B93"/>
    <w:rsid w:val="0073582F"/>
    <w:rsid w:val="00736D50"/>
    <w:rsid w:val="007512DF"/>
    <w:rsid w:val="00760643"/>
    <w:rsid w:val="00766FC9"/>
    <w:rsid w:val="00770E53"/>
    <w:rsid w:val="007819D9"/>
    <w:rsid w:val="00784F8B"/>
    <w:rsid w:val="007A0657"/>
    <w:rsid w:val="007D4E05"/>
    <w:rsid w:val="007E7360"/>
    <w:rsid w:val="00811D50"/>
    <w:rsid w:val="00814F12"/>
    <w:rsid w:val="00815B50"/>
    <w:rsid w:val="00817B04"/>
    <w:rsid w:val="008250C3"/>
    <w:rsid w:val="00827B3B"/>
    <w:rsid w:val="008369C5"/>
    <w:rsid w:val="00866543"/>
    <w:rsid w:val="008A720F"/>
    <w:rsid w:val="008C2638"/>
    <w:rsid w:val="008F626E"/>
    <w:rsid w:val="00900F6E"/>
    <w:rsid w:val="00902EC4"/>
    <w:rsid w:val="0091045E"/>
    <w:rsid w:val="00911196"/>
    <w:rsid w:val="00952940"/>
    <w:rsid w:val="00955F18"/>
    <w:rsid w:val="0095620F"/>
    <w:rsid w:val="00957C36"/>
    <w:rsid w:val="00970AA8"/>
    <w:rsid w:val="00971CC7"/>
    <w:rsid w:val="009860F0"/>
    <w:rsid w:val="009B6495"/>
    <w:rsid w:val="009B7F79"/>
    <w:rsid w:val="009C7EE9"/>
    <w:rsid w:val="009D73B2"/>
    <w:rsid w:val="009E5E06"/>
    <w:rsid w:val="009F591B"/>
    <w:rsid w:val="009F7CE2"/>
    <w:rsid w:val="00A113FF"/>
    <w:rsid w:val="00A134F8"/>
    <w:rsid w:val="00A1720E"/>
    <w:rsid w:val="00A22921"/>
    <w:rsid w:val="00A303A1"/>
    <w:rsid w:val="00A33296"/>
    <w:rsid w:val="00A4222D"/>
    <w:rsid w:val="00A60043"/>
    <w:rsid w:val="00A71E5A"/>
    <w:rsid w:val="00A73488"/>
    <w:rsid w:val="00A94E69"/>
    <w:rsid w:val="00AB09B9"/>
    <w:rsid w:val="00AC14EC"/>
    <w:rsid w:val="00AD5BF9"/>
    <w:rsid w:val="00AF11E0"/>
    <w:rsid w:val="00AF4403"/>
    <w:rsid w:val="00B00D98"/>
    <w:rsid w:val="00B0319B"/>
    <w:rsid w:val="00B06485"/>
    <w:rsid w:val="00B2470E"/>
    <w:rsid w:val="00B302B0"/>
    <w:rsid w:val="00B32E91"/>
    <w:rsid w:val="00B36A8F"/>
    <w:rsid w:val="00B41A92"/>
    <w:rsid w:val="00B6329C"/>
    <w:rsid w:val="00B71032"/>
    <w:rsid w:val="00B71D51"/>
    <w:rsid w:val="00B9064F"/>
    <w:rsid w:val="00B90DEC"/>
    <w:rsid w:val="00BA04CC"/>
    <w:rsid w:val="00BB5E04"/>
    <w:rsid w:val="00BB7908"/>
    <w:rsid w:val="00C01E41"/>
    <w:rsid w:val="00C45758"/>
    <w:rsid w:val="00C47706"/>
    <w:rsid w:val="00C70F59"/>
    <w:rsid w:val="00C8508D"/>
    <w:rsid w:val="00C8676A"/>
    <w:rsid w:val="00CA12B0"/>
    <w:rsid w:val="00CA3521"/>
    <w:rsid w:val="00CB087E"/>
    <w:rsid w:val="00CE045C"/>
    <w:rsid w:val="00CE14F7"/>
    <w:rsid w:val="00CF0F02"/>
    <w:rsid w:val="00CF392F"/>
    <w:rsid w:val="00CF700E"/>
    <w:rsid w:val="00D01159"/>
    <w:rsid w:val="00D12568"/>
    <w:rsid w:val="00D442E8"/>
    <w:rsid w:val="00D6296E"/>
    <w:rsid w:val="00D64472"/>
    <w:rsid w:val="00D67B9E"/>
    <w:rsid w:val="00D80232"/>
    <w:rsid w:val="00D80BA5"/>
    <w:rsid w:val="00D873B1"/>
    <w:rsid w:val="00D9400E"/>
    <w:rsid w:val="00DB5CC4"/>
    <w:rsid w:val="00DC45B2"/>
    <w:rsid w:val="00DF7480"/>
    <w:rsid w:val="00E114CA"/>
    <w:rsid w:val="00E33353"/>
    <w:rsid w:val="00E43344"/>
    <w:rsid w:val="00E5333D"/>
    <w:rsid w:val="00E558BB"/>
    <w:rsid w:val="00E66D0A"/>
    <w:rsid w:val="00E70E3C"/>
    <w:rsid w:val="00E70FDC"/>
    <w:rsid w:val="00EA7BED"/>
    <w:rsid w:val="00EC77D0"/>
    <w:rsid w:val="00EC7B7B"/>
    <w:rsid w:val="00EE0645"/>
    <w:rsid w:val="00F03455"/>
    <w:rsid w:val="00F0462D"/>
    <w:rsid w:val="00F37B61"/>
    <w:rsid w:val="00F53EF6"/>
    <w:rsid w:val="00F70D63"/>
    <w:rsid w:val="00F72B5D"/>
    <w:rsid w:val="00FA31FA"/>
    <w:rsid w:val="00FE2D9E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 webb"/>
    <w:qFormat/>
    <w:rsid w:val="00A1720E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0">
    <w:name w:val="anormal"/>
    <w:basedOn w:val="Normal"/>
    <w:rsid w:val="00AD5BF9"/>
    <w:pPr>
      <w:spacing w:after="165"/>
    </w:pPr>
    <w:rPr>
      <w:color w:val="555555"/>
    </w:rPr>
  </w:style>
  <w:style w:type="paragraph" w:styleId="Normalwebb">
    <w:name w:val="Normal (Web)"/>
    <w:basedOn w:val="Normal"/>
    <w:uiPriority w:val="99"/>
    <w:unhideWhenUsed/>
    <w:rsid w:val="00600AE7"/>
    <w:pPr>
      <w:spacing w:before="100" w:beforeAutospacing="1" w:after="100" w:afterAutospacing="1"/>
    </w:pPr>
    <w:rPr>
      <w:lang w:val="sv-FI" w:eastAsia="sv-FI"/>
    </w:rPr>
  </w:style>
  <w:style w:type="paragraph" w:customStyle="1" w:styleId="BudgetInkUtg">
    <w:name w:val="BudgetInkUtg"/>
    <w:basedOn w:val="ANormal"/>
    <w:rsid w:val="00A1720E"/>
    <w:pPr>
      <w:tabs>
        <w:tab w:val="clear" w:pos="283"/>
        <w:tab w:val="left" w:pos="284"/>
      </w:tabs>
      <w:jc w:val="center"/>
    </w:pPr>
    <w:rPr>
      <w:rFonts w:ascii="Arial" w:hAnsi="Arial" w:cs="Arial"/>
      <w:b/>
      <w:bCs/>
      <w:sz w:val="21"/>
      <w:szCs w:val="22"/>
      <w:lang w:val="de-DE"/>
    </w:rPr>
  </w:style>
  <w:style w:type="paragraph" w:customStyle="1" w:styleId="BRubrikA">
    <w:name w:val="B Rubrik A"/>
    <w:basedOn w:val="Normal"/>
    <w:rsid w:val="00A1720E"/>
    <w:rPr>
      <w:rFonts w:ascii="Arial" w:eastAsia="Arial Unicode MS" w:hAnsi="Arial" w:cs="Arial"/>
      <w:b/>
      <w:sz w:val="17"/>
      <w:szCs w:val="17"/>
    </w:rPr>
  </w:style>
  <w:style w:type="paragraph" w:customStyle="1" w:styleId="BRubrikB">
    <w:name w:val="B Rubrik B"/>
    <w:basedOn w:val="BRubrikA"/>
    <w:rsid w:val="00A1720E"/>
    <w:rPr>
      <w:b w:val="0"/>
      <w:bCs/>
    </w:rPr>
  </w:style>
  <w:style w:type="paragraph" w:styleId="Ballongtext">
    <w:name w:val="Balloon Text"/>
    <w:basedOn w:val="Normal"/>
    <w:link w:val="BallongtextChar"/>
    <w:rsid w:val="001D5B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D5B0F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 webb"/>
    <w:qFormat/>
    <w:rsid w:val="00A1720E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0">
    <w:name w:val="anormal"/>
    <w:basedOn w:val="Normal"/>
    <w:rsid w:val="00AD5BF9"/>
    <w:pPr>
      <w:spacing w:after="165"/>
    </w:pPr>
    <w:rPr>
      <w:color w:val="555555"/>
    </w:rPr>
  </w:style>
  <w:style w:type="paragraph" w:styleId="Normalwebb">
    <w:name w:val="Normal (Web)"/>
    <w:basedOn w:val="Normal"/>
    <w:uiPriority w:val="99"/>
    <w:unhideWhenUsed/>
    <w:rsid w:val="00600AE7"/>
    <w:pPr>
      <w:spacing w:before="100" w:beforeAutospacing="1" w:after="100" w:afterAutospacing="1"/>
    </w:pPr>
    <w:rPr>
      <w:lang w:val="sv-FI" w:eastAsia="sv-FI"/>
    </w:rPr>
  </w:style>
  <w:style w:type="paragraph" w:customStyle="1" w:styleId="BudgetInkUtg">
    <w:name w:val="BudgetInkUtg"/>
    <w:basedOn w:val="ANormal"/>
    <w:rsid w:val="00A1720E"/>
    <w:pPr>
      <w:tabs>
        <w:tab w:val="clear" w:pos="283"/>
        <w:tab w:val="left" w:pos="284"/>
      </w:tabs>
      <w:jc w:val="center"/>
    </w:pPr>
    <w:rPr>
      <w:rFonts w:ascii="Arial" w:hAnsi="Arial" w:cs="Arial"/>
      <w:b/>
      <w:bCs/>
      <w:sz w:val="21"/>
      <w:szCs w:val="22"/>
      <w:lang w:val="de-DE"/>
    </w:rPr>
  </w:style>
  <w:style w:type="paragraph" w:customStyle="1" w:styleId="BRubrikA">
    <w:name w:val="B Rubrik A"/>
    <w:basedOn w:val="Normal"/>
    <w:rsid w:val="00A1720E"/>
    <w:rPr>
      <w:rFonts w:ascii="Arial" w:eastAsia="Arial Unicode MS" w:hAnsi="Arial" w:cs="Arial"/>
      <w:b/>
      <w:sz w:val="17"/>
      <w:szCs w:val="17"/>
    </w:rPr>
  </w:style>
  <w:style w:type="paragraph" w:customStyle="1" w:styleId="BRubrikB">
    <w:name w:val="B Rubrik B"/>
    <w:basedOn w:val="BRubrikA"/>
    <w:rsid w:val="00A1720E"/>
    <w:rPr>
      <w:b w:val="0"/>
      <w:bCs/>
    </w:rPr>
  </w:style>
  <w:style w:type="paragraph" w:styleId="Ballongtext">
    <w:name w:val="Balloon Text"/>
    <w:basedOn w:val="Normal"/>
    <w:link w:val="BallongtextChar"/>
    <w:rsid w:val="001D5B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D5B0F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9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17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1" w:color="C0C0C0"/>
                                    <w:left w:val="single" w:sz="6" w:space="31" w:color="C0C0C0"/>
                                    <w:bottom w:val="single" w:sz="6" w:space="31" w:color="C0C0C0"/>
                                    <w:right w:val="single" w:sz="6" w:space="31" w:color="C0C0C0"/>
                                  </w:divBdr>
                                  <w:divsChild>
                                    <w:div w:id="16275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D22BAA2.dotm</Template>
  <TotalTime>8</TotalTime>
  <Pages>5</Pages>
  <Words>1370</Words>
  <Characters>9894</Characters>
  <Application>Microsoft Office Word</Application>
  <DocSecurity>0</DocSecurity>
  <Lines>82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 och näringsutskottets betänkande nr 8/2016-2017</vt:lpstr>
    </vt:vector>
  </TitlesOfParts>
  <Company>Ålands lagting</Company>
  <LinksUpToDate>false</LinksUpToDate>
  <CharactersWithSpaces>11242</CharactersWithSpaces>
  <SharedDoc>false</SharedDoc>
  <HLinks>
    <vt:vector size="42" baseType="variant"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_Toc513119893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_Toc513119892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_Toc513119891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_Toc513119890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_Toc513119889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_Toc513119888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 och näringsutskottets betänkande nr 8/2016-2017</dc:title>
  <dc:creator>Jessica Laaksonen</dc:creator>
  <cp:lastModifiedBy>Jessica Laaksonen</cp:lastModifiedBy>
  <cp:revision>8</cp:revision>
  <cp:lastPrinted>2018-11-20T10:41:00Z</cp:lastPrinted>
  <dcterms:created xsi:type="dcterms:W3CDTF">2018-11-20T10:41:00Z</dcterms:created>
  <dcterms:modified xsi:type="dcterms:W3CDTF">2018-11-30T08:48:00Z</dcterms:modified>
</cp:coreProperties>
</file>