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375F90">
            <w:pPr>
              <w:pStyle w:val="xLedtext"/>
              <w:rPr>
                <w:noProof/>
              </w:rPr>
            </w:pPr>
            <w:bookmarkStart w:id="0" w:name="_top"/>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5.75pt;mso-wrap-edited:f" wrapcoords="-408 0 -408 21316 21600 21316 21600 0 -408 0" o:allowoverlap="f">
                  <v:imagedata r:id="rId8" o:title="LSvapen"/>
                </v:shape>
              </w:pict>
            </w:r>
          </w:p>
        </w:tc>
        <w:tc>
          <w:tcPr>
            <w:tcW w:w="8736" w:type="dxa"/>
            <w:gridSpan w:val="3"/>
            <w:vAlign w:val="bottom"/>
          </w:tcPr>
          <w:p w:rsidR="002401D0" w:rsidRDefault="00375F90">
            <w:pPr>
              <w:pStyle w:val="xMellanrum"/>
            </w:pPr>
            <w:r>
              <w:pict>
                <v:shape id="_x0000_i1026" type="#_x0000_t75" style="width:3.25pt;height:3.25pt">
                  <v:imagedata r:id="rId9" o:title="5x5px"/>
                </v:shape>
              </w:pict>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196400">
            <w:pPr>
              <w:pStyle w:val="xDokTypNr"/>
            </w:pPr>
            <w:r>
              <w:t xml:space="preserve">BETÄNKANDE nr </w:t>
            </w:r>
            <w:r w:rsidR="00196400">
              <w:t>2</w:t>
            </w:r>
            <w:r>
              <w:t>/20</w:t>
            </w:r>
            <w:r w:rsidR="00723B93">
              <w:t>1</w:t>
            </w:r>
            <w:r w:rsidR="00EC46F2">
              <w:t>7</w:t>
            </w:r>
            <w:r w:rsidR="0015337C">
              <w:t>-20</w:t>
            </w:r>
            <w:r w:rsidR="009F7CE2">
              <w:t>1</w:t>
            </w:r>
            <w:r w:rsidR="00EC46F2">
              <w:t>8</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EC46F2">
            <w:pPr>
              <w:pStyle w:val="xAvsandare2"/>
            </w:pPr>
            <w:r>
              <w:t>Social- och miljö</w:t>
            </w:r>
            <w:r w:rsidR="002401D0">
              <w:t>utskottet</w:t>
            </w:r>
          </w:p>
        </w:tc>
        <w:tc>
          <w:tcPr>
            <w:tcW w:w="1725" w:type="dxa"/>
            <w:vAlign w:val="center"/>
          </w:tcPr>
          <w:p w:rsidR="002401D0" w:rsidRDefault="002401D0" w:rsidP="00196400">
            <w:pPr>
              <w:pStyle w:val="xDatum1"/>
            </w:pPr>
            <w:r>
              <w:t>20</w:t>
            </w:r>
            <w:r w:rsidR="00B32E91">
              <w:t>1</w:t>
            </w:r>
            <w:r w:rsidR="00C5231C">
              <w:t>8</w:t>
            </w:r>
            <w:r w:rsidR="00EC46F2">
              <w:t>-</w:t>
            </w:r>
            <w:r w:rsidR="00C5231C">
              <w:t>0</w:t>
            </w:r>
            <w:r w:rsidR="00EC46F2">
              <w:t>1-</w:t>
            </w:r>
            <w:r w:rsidR="00196400">
              <w:t>09</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EC46F2">
      <w:pPr>
        <w:pStyle w:val="ArendeOverRubrik"/>
      </w:pPr>
      <w:r>
        <w:lastRenderedPageBreak/>
        <w:t>Social- och miljö</w:t>
      </w:r>
      <w:r w:rsidR="002401D0">
        <w:t>utskottets betänkande</w:t>
      </w:r>
    </w:p>
    <w:p w:rsidR="002401D0" w:rsidRDefault="00EC46F2">
      <w:pPr>
        <w:pStyle w:val="ArendeRubrik"/>
      </w:pPr>
      <w:bookmarkStart w:id="2" w:name="_Toc491090813"/>
      <w:r w:rsidRPr="00176652">
        <w:t>Meddelande angående Energi- och klimatstrategi för Åland till år 2030</w:t>
      </w:r>
      <w:bookmarkEnd w:id="2"/>
    </w:p>
    <w:p w:rsidR="002401D0" w:rsidRDefault="00EC46F2">
      <w:pPr>
        <w:pStyle w:val="ArendeUnderRubrik"/>
      </w:pPr>
      <w:r>
        <w:t>Landskapsregeringens meddelande nr 6/2016-2017</w:t>
      </w:r>
    </w:p>
    <w:p w:rsidR="002401D0" w:rsidRDefault="002401D0">
      <w:pPr>
        <w:pStyle w:val="ANormal"/>
      </w:pPr>
    </w:p>
    <w:p w:rsidR="002401D0" w:rsidRDefault="002401D0">
      <w:pPr>
        <w:pStyle w:val="Innehll1"/>
      </w:pPr>
      <w:r>
        <w:t>INNEHÅLL</w:t>
      </w:r>
    </w:p>
    <w:p w:rsidR="001D28AF" w:rsidRPr="004C19C2" w:rsidRDefault="002401D0">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499117012" w:history="1">
        <w:r w:rsidR="001D28AF" w:rsidRPr="002C24A1">
          <w:rPr>
            <w:rStyle w:val="Hyperlnk"/>
          </w:rPr>
          <w:t>Sammanfattning</w:t>
        </w:r>
        <w:r w:rsidR="001D28AF">
          <w:rPr>
            <w:webHidden/>
          </w:rPr>
          <w:tab/>
        </w:r>
        <w:r w:rsidR="001D28AF">
          <w:rPr>
            <w:webHidden/>
          </w:rPr>
          <w:fldChar w:fldCharType="begin"/>
        </w:r>
        <w:r w:rsidR="001D28AF">
          <w:rPr>
            <w:webHidden/>
          </w:rPr>
          <w:instrText xml:space="preserve"> PAGEREF _Toc499117012 \h </w:instrText>
        </w:r>
        <w:r w:rsidR="001D28AF">
          <w:rPr>
            <w:webHidden/>
          </w:rPr>
        </w:r>
        <w:r w:rsidR="001D28AF">
          <w:rPr>
            <w:webHidden/>
          </w:rPr>
          <w:fldChar w:fldCharType="separate"/>
        </w:r>
        <w:r w:rsidR="00375F90">
          <w:rPr>
            <w:webHidden/>
          </w:rPr>
          <w:t>1</w:t>
        </w:r>
        <w:r w:rsidR="001D28AF">
          <w:rPr>
            <w:webHidden/>
          </w:rPr>
          <w:fldChar w:fldCharType="end"/>
        </w:r>
      </w:hyperlink>
    </w:p>
    <w:p w:rsidR="001D28AF" w:rsidRPr="004C19C2" w:rsidRDefault="00375F90">
      <w:pPr>
        <w:pStyle w:val="Innehll2"/>
        <w:rPr>
          <w:rFonts w:ascii="Calibri" w:hAnsi="Calibri"/>
          <w:sz w:val="22"/>
          <w:szCs w:val="22"/>
          <w:lang w:val="sv-FI" w:eastAsia="sv-FI"/>
        </w:rPr>
      </w:pPr>
      <w:hyperlink w:anchor="_Toc499117013" w:history="1">
        <w:r w:rsidR="001D28AF" w:rsidRPr="002C24A1">
          <w:rPr>
            <w:rStyle w:val="Hyperlnk"/>
          </w:rPr>
          <w:t>Landskapsregeringens förslag</w:t>
        </w:r>
        <w:r w:rsidR="001D28AF">
          <w:rPr>
            <w:webHidden/>
          </w:rPr>
          <w:tab/>
        </w:r>
        <w:r w:rsidR="001D28AF">
          <w:rPr>
            <w:webHidden/>
          </w:rPr>
          <w:fldChar w:fldCharType="begin"/>
        </w:r>
        <w:r w:rsidR="001D28AF">
          <w:rPr>
            <w:webHidden/>
          </w:rPr>
          <w:instrText xml:space="preserve"> PAGEREF _Toc499117013 \h </w:instrText>
        </w:r>
        <w:r w:rsidR="001D28AF">
          <w:rPr>
            <w:webHidden/>
          </w:rPr>
        </w:r>
        <w:r w:rsidR="001D28AF">
          <w:rPr>
            <w:webHidden/>
          </w:rPr>
          <w:fldChar w:fldCharType="separate"/>
        </w:r>
        <w:r>
          <w:rPr>
            <w:webHidden/>
          </w:rPr>
          <w:t>1</w:t>
        </w:r>
        <w:r w:rsidR="001D28AF">
          <w:rPr>
            <w:webHidden/>
          </w:rPr>
          <w:fldChar w:fldCharType="end"/>
        </w:r>
      </w:hyperlink>
    </w:p>
    <w:p w:rsidR="001D28AF" w:rsidRPr="004C19C2" w:rsidRDefault="00375F90">
      <w:pPr>
        <w:pStyle w:val="Innehll2"/>
        <w:rPr>
          <w:rFonts w:ascii="Calibri" w:hAnsi="Calibri"/>
          <w:sz w:val="22"/>
          <w:szCs w:val="22"/>
          <w:lang w:val="sv-FI" w:eastAsia="sv-FI"/>
        </w:rPr>
      </w:pPr>
      <w:hyperlink w:anchor="_Toc499117014" w:history="1">
        <w:r w:rsidR="001D28AF" w:rsidRPr="002C24A1">
          <w:rPr>
            <w:rStyle w:val="Hyperlnk"/>
          </w:rPr>
          <w:t>Utskottets förslag</w:t>
        </w:r>
        <w:r w:rsidR="001D28AF">
          <w:rPr>
            <w:webHidden/>
          </w:rPr>
          <w:tab/>
        </w:r>
        <w:r w:rsidR="001D28AF">
          <w:rPr>
            <w:webHidden/>
          </w:rPr>
          <w:fldChar w:fldCharType="begin"/>
        </w:r>
        <w:r w:rsidR="001D28AF">
          <w:rPr>
            <w:webHidden/>
          </w:rPr>
          <w:instrText xml:space="preserve"> PAGEREF _Toc499117014 \h </w:instrText>
        </w:r>
        <w:r w:rsidR="001D28AF">
          <w:rPr>
            <w:webHidden/>
          </w:rPr>
        </w:r>
        <w:r w:rsidR="001D28AF">
          <w:rPr>
            <w:webHidden/>
          </w:rPr>
          <w:fldChar w:fldCharType="separate"/>
        </w:r>
        <w:r>
          <w:rPr>
            <w:webHidden/>
          </w:rPr>
          <w:t>1</w:t>
        </w:r>
        <w:r w:rsidR="001D28AF">
          <w:rPr>
            <w:webHidden/>
          </w:rPr>
          <w:fldChar w:fldCharType="end"/>
        </w:r>
      </w:hyperlink>
    </w:p>
    <w:p w:rsidR="001D28AF" w:rsidRPr="004C19C2" w:rsidRDefault="00375F90">
      <w:pPr>
        <w:pStyle w:val="Innehll1"/>
        <w:rPr>
          <w:rFonts w:ascii="Calibri" w:hAnsi="Calibri"/>
          <w:sz w:val="22"/>
          <w:szCs w:val="22"/>
          <w:lang w:val="sv-FI" w:eastAsia="sv-FI"/>
        </w:rPr>
      </w:pPr>
      <w:hyperlink w:anchor="_Toc499117015" w:history="1">
        <w:r w:rsidR="001D28AF" w:rsidRPr="002C24A1">
          <w:rPr>
            <w:rStyle w:val="Hyperlnk"/>
          </w:rPr>
          <w:t>Utskottets synpunkter</w:t>
        </w:r>
        <w:r w:rsidR="001D28AF">
          <w:rPr>
            <w:webHidden/>
          </w:rPr>
          <w:tab/>
        </w:r>
        <w:r w:rsidR="001D28AF">
          <w:rPr>
            <w:webHidden/>
          </w:rPr>
          <w:fldChar w:fldCharType="begin"/>
        </w:r>
        <w:r w:rsidR="001D28AF">
          <w:rPr>
            <w:webHidden/>
          </w:rPr>
          <w:instrText xml:space="preserve"> PAGEREF _Toc499117015 \h </w:instrText>
        </w:r>
        <w:r w:rsidR="001D28AF">
          <w:rPr>
            <w:webHidden/>
          </w:rPr>
        </w:r>
        <w:r w:rsidR="001D28AF">
          <w:rPr>
            <w:webHidden/>
          </w:rPr>
          <w:fldChar w:fldCharType="separate"/>
        </w:r>
        <w:r>
          <w:rPr>
            <w:webHidden/>
          </w:rPr>
          <w:t>1</w:t>
        </w:r>
        <w:r w:rsidR="001D28AF">
          <w:rPr>
            <w:webHidden/>
          </w:rPr>
          <w:fldChar w:fldCharType="end"/>
        </w:r>
      </w:hyperlink>
    </w:p>
    <w:p w:rsidR="001D28AF" w:rsidRPr="004C19C2" w:rsidRDefault="00375F90">
      <w:pPr>
        <w:pStyle w:val="Innehll1"/>
        <w:rPr>
          <w:rFonts w:ascii="Calibri" w:hAnsi="Calibri"/>
          <w:sz w:val="22"/>
          <w:szCs w:val="22"/>
          <w:lang w:val="sv-FI" w:eastAsia="sv-FI"/>
        </w:rPr>
      </w:pPr>
      <w:hyperlink w:anchor="_Toc499117016" w:history="1">
        <w:r w:rsidR="001D28AF" w:rsidRPr="002C24A1">
          <w:rPr>
            <w:rStyle w:val="Hyperlnk"/>
          </w:rPr>
          <w:t>Ärendets behandling</w:t>
        </w:r>
        <w:r w:rsidR="001D28AF">
          <w:rPr>
            <w:webHidden/>
          </w:rPr>
          <w:tab/>
        </w:r>
        <w:r w:rsidR="001D28AF">
          <w:rPr>
            <w:webHidden/>
          </w:rPr>
          <w:fldChar w:fldCharType="begin"/>
        </w:r>
        <w:r w:rsidR="001D28AF">
          <w:rPr>
            <w:webHidden/>
          </w:rPr>
          <w:instrText xml:space="preserve"> PAGEREF _Toc499117016 \h </w:instrText>
        </w:r>
        <w:r w:rsidR="001D28AF">
          <w:rPr>
            <w:webHidden/>
          </w:rPr>
        </w:r>
        <w:r w:rsidR="001D28AF">
          <w:rPr>
            <w:webHidden/>
          </w:rPr>
          <w:fldChar w:fldCharType="separate"/>
        </w:r>
        <w:r>
          <w:rPr>
            <w:webHidden/>
          </w:rPr>
          <w:t>4</w:t>
        </w:r>
        <w:r w:rsidR="001D28AF">
          <w:rPr>
            <w:webHidden/>
          </w:rPr>
          <w:fldChar w:fldCharType="end"/>
        </w:r>
      </w:hyperlink>
    </w:p>
    <w:p w:rsidR="001D28AF" w:rsidRPr="004C19C2" w:rsidRDefault="00375F90">
      <w:pPr>
        <w:pStyle w:val="Innehll1"/>
        <w:rPr>
          <w:rFonts w:ascii="Calibri" w:hAnsi="Calibri"/>
          <w:sz w:val="22"/>
          <w:szCs w:val="22"/>
          <w:lang w:val="sv-FI" w:eastAsia="sv-FI"/>
        </w:rPr>
      </w:pPr>
      <w:hyperlink w:anchor="_Toc499117017" w:history="1">
        <w:r w:rsidR="001D28AF" w:rsidRPr="002C24A1">
          <w:rPr>
            <w:rStyle w:val="Hyperlnk"/>
          </w:rPr>
          <w:t>Utskottets förslag</w:t>
        </w:r>
        <w:r w:rsidR="001D28AF">
          <w:rPr>
            <w:webHidden/>
          </w:rPr>
          <w:tab/>
        </w:r>
        <w:r w:rsidR="001D28AF">
          <w:rPr>
            <w:webHidden/>
          </w:rPr>
          <w:fldChar w:fldCharType="begin"/>
        </w:r>
        <w:r w:rsidR="001D28AF">
          <w:rPr>
            <w:webHidden/>
          </w:rPr>
          <w:instrText xml:space="preserve"> PAGEREF _Toc499117017 \h </w:instrText>
        </w:r>
        <w:r w:rsidR="001D28AF">
          <w:rPr>
            <w:webHidden/>
          </w:rPr>
        </w:r>
        <w:r w:rsidR="001D28AF">
          <w:rPr>
            <w:webHidden/>
          </w:rPr>
          <w:fldChar w:fldCharType="separate"/>
        </w:r>
        <w:r>
          <w:rPr>
            <w:webHidden/>
          </w:rPr>
          <w:t>4</w:t>
        </w:r>
        <w:r w:rsidR="001D28AF">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3" w:name="_Toc529800932"/>
      <w:bookmarkStart w:id="4" w:name="_Toc499117012"/>
      <w:r>
        <w:t>Sammanfattning</w:t>
      </w:r>
      <w:bookmarkEnd w:id="3"/>
      <w:bookmarkEnd w:id="4"/>
    </w:p>
    <w:p w:rsidR="002401D0" w:rsidRDefault="002401D0">
      <w:pPr>
        <w:pStyle w:val="Rubrikmellanrum"/>
      </w:pPr>
    </w:p>
    <w:p w:rsidR="002401D0" w:rsidRDefault="00EC46F2">
      <w:pPr>
        <w:pStyle w:val="RubrikB"/>
      </w:pPr>
      <w:bookmarkStart w:id="5" w:name="_Toc529800933"/>
      <w:bookmarkStart w:id="6" w:name="_Toc499117013"/>
      <w:r>
        <w:t>Landskapsregeringens</w:t>
      </w:r>
      <w:r w:rsidR="002401D0">
        <w:t xml:space="preserve"> förslag</w:t>
      </w:r>
      <w:bookmarkEnd w:id="5"/>
      <w:bookmarkEnd w:id="6"/>
    </w:p>
    <w:p w:rsidR="002401D0" w:rsidRDefault="002401D0">
      <w:pPr>
        <w:pStyle w:val="Rubrikmellanrum"/>
      </w:pPr>
    </w:p>
    <w:p w:rsidR="00EC46F2" w:rsidRPr="004371C0" w:rsidRDefault="00EC46F2" w:rsidP="00EC46F2">
      <w:pPr>
        <w:pStyle w:val="ANormal"/>
      </w:pPr>
      <w:r w:rsidRPr="004371C0">
        <w:t>Regeringen har i sitt handlingsprogram fastställt att en energi- och klima</w:t>
      </w:r>
      <w:r w:rsidRPr="004371C0">
        <w:t>t</w:t>
      </w:r>
      <w:r w:rsidRPr="004371C0">
        <w:t>strategi ska utarbetas. Den övergripande målsättningen i strategin är att minska fossilbränsleberoendet samt att medverka till att bekämpa klima</w:t>
      </w:r>
      <w:r w:rsidRPr="004371C0">
        <w:t>t</w:t>
      </w:r>
      <w:r w:rsidRPr="004371C0">
        <w:t>förändringarna. För att fastställa förutsättningarna har en omvärlds- och n</w:t>
      </w:r>
      <w:r w:rsidRPr="004371C0">
        <w:t>u</w:t>
      </w:r>
      <w:r w:rsidRPr="004371C0">
        <w:t>lägesanalys genomförts. I strategin finns även målsättningar och åtgärdfö</w:t>
      </w:r>
      <w:r w:rsidRPr="004371C0">
        <w:t>r</w:t>
      </w:r>
      <w:r w:rsidRPr="004371C0">
        <w:t xml:space="preserve">slag för att konkretisera arbetet till 2030. </w:t>
      </w:r>
    </w:p>
    <w:p w:rsidR="002401D0" w:rsidRDefault="002401D0">
      <w:pPr>
        <w:pStyle w:val="ANormal"/>
      </w:pPr>
    </w:p>
    <w:p w:rsidR="002401D0" w:rsidRDefault="002401D0">
      <w:pPr>
        <w:pStyle w:val="RubrikB"/>
      </w:pPr>
      <w:bookmarkStart w:id="7" w:name="_Toc529800934"/>
      <w:bookmarkStart w:id="8" w:name="_Toc499117014"/>
      <w:r>
        <w:t>Utskottets förslag</w:t>
      </w:r>
      <w:bookmarkEnd w:id="7"/>
      <w:bookmarkEnd w:id="8"/>
    </w:p>
    <w:p w:rsidR="002401D0" w:rsidRDefault="002401D0">
      <w:pPr>
        <w:pStyle w:val="Rubrikmellanrum"/>
      </w:pPr>
    </w:p>
    <w:p w:rsidR="002401D0" w:rsidRDefault="001F734A">
      <w:pPr>
        <w:pStyle w:val="ANormal"/>
      </w:pPr>
      <w:r>
        <w:t>Utskottet föreslår att lagtinget antecknar sig landskapsregeringens me</w:t>
      </w:r>
      <w:r>
        <w:t>d</w:t>
      </w:r>
      <w:r>
        <w:t>delande för kännedom och bringar betänkandets motivering till landskap</w:t>
      </w:r>
      <w:r>
        <w:t>s</w:t>
      </w:r>
      <w:r>
        <w:t>regeringens kännedom.</w:t>
      </w:r>
    </w:p>
    <w:p w:rsidR="002401D0" w:rsidRDefault="002401D0">
      <w:pPr>
        <w:pStyle w:val="ANormal"/>
      </w:pPr>
    </w:p>
    <w:p w:rsidR="002401D0" w:rsidRDefault="002401D0">
      <w:pPr>
        <w:pStyle w:val="RubrikA"/>
      </w:pPr>
      <w:bookmarkStart w:id="9" w:name="_Toc529800935"/>
      <w:bookmarkStart w:id="10" w:name="_Toc499117015"/>
      <w:r>
        <w:t>Utskottets synpunkter</w:t>
      </w:r>
      <w:bookmarkEnd w:id="9"/>
      <w:bookmarkEnd w:id="10"/>
    </w:p>
    <w:p w:rsidR="002401D0" w:rsidRDefault="002401D0">
      <w:pPr>
        <w:pStyle w:val="Rubrikmellanrum"/>
      </w:pPr>
    </w:p>
    <w:p w:rsidR="002401D0" w:rsidRDefault="007418F7">
      <w:pPr>
        <w:pStyle w:val="ANormal"/>
        <w:rPr>
          <w:i/>
        </w:rPr>
      </w:pPr>
      <w:r>
        <w:rPr>
          <w:i/>
        </w:rPr>
        <w:t>Allmänt</w:t>
      </w:r>
    </w:p>
    <w:p w:rsidR="00605EA2" w:rsidRDefault="00605EA2">
      <w:pPr>
        <w:pStyle w:val="ANormal"/>
        <w:rPr>
          <w:i/>
          <w:sz w:val="10"/>
          <w:szCs w:val="10"/>
        </w:rPr>
      </w:pPr>
    </w:p>
    <w:p w:rsidR="00295713" w:rsidRDefault="00B17268" w:rsidP="006056EB">
      <w:pPr>
        <w:pStyle w:val="ANormal"/>
        <w:rPr>
          <w:szCs w:val="22"/>
        </w:rPr>
      </w:pPr>
      <w:r>
        <w:rPr>
          <w:szCs w:val="22"/>
        </w:rPr>
        <w:t xml:space="preserve">De övergripande målsättningarna i </w:t>
      </w:r>
      <w:r w:rsidR="005644B2">
        <w:rPr>
          <w:szCs w:val="22"/>
        </w:rPr>
        <w:t>e</w:t>
      </w:r>
      <w:r>
        <w:rPr>
          <w:szCs w:val="22"/>
        </w:rPr>
        <w:t xml:space="preserve">nergi- och klimatstrategin är att Åland </w:t>
      </w:r>
      <w:r w:rsidR="000E6645">
        <w:rPr>
          <w:szCs w:val="22"/>
        </w:rPr>
        <w:t>senast t</w:t>
      </w:r>
      <w:r>
        <w:rPr>
          <w:szCs w:val="22"/>
        </w:rPr>
        <w:t>ill år 2030 ska ha 60 procent lägre växthusgasutsläpp jämfört med år 2005, 60 procent förnyelsebar energi och 60 procent lokalproducerad fö</w:t>
      </w:r>
      <w:r>
        <w:rPr>
          <w:szCs w:val="22"/>
        </w:rPr>
        <w:t>r</w:t>
      </w:r>
      <w:r>
        <w:rPr>
          <w:szCs w:val="22"/>
        </w:rPr>
        <w:t xml:space="preserve">nyelsebar el. </w:t>
      </w:r>
      <w:r w:rsidR="001D0FDC">
        <w:rPr>
          <w:szCs w:val="22"/>
        </w:rPr>
        <w:t>Målsättningarna ska förverkligas genom strategiska åtgärder som stöder ökad lokalproduktion av förnyelsebar el, ökad användning av lokala och förnyelsebara</w:t>
      </w:r>
      <w:r w:rsidR="006056EB">
        <w:rPr>
          <w:szCs w:val="22"/>
        </w:rPr>
        <w:t xml:space="preserve"> källor för uppvärmning, ökad distribution av andra drivmedel än fossila inom transportsektorn, ökad energiprestanda i byggn</w:t>
      </w:r>
      <w:r w:rsidR="006056EB">
        <w:rPr>
          <w:szCs w:val="22"/>
        </w:rPr>
        <w:t>a</w:t>
      </w:r>
      <w:r w:rsidR="006056EB">
        <w:rPr>
          <w:szCs w:val="22"/>
        </w:rPr>
        <w:t xml:space="preserve">der, hållbar upphandling, ökad oberoende information och rådgivning om energi och klimat till privatpersoner och företag, att underlätta innovationer och etablering av innovativa företag, ett hållbart skogsbruk där produkter från skogen används i större utsträckning samt ökad cirkulär ekonomi. </w:t>
      </w:r>
      <w:r w:rsidR="001D0FDC">
        <w:rPr>
          <w:szCs w:val="22"/>
        </w:rPr>
        <w:t xml:space="preserve"> </w:t>
      </w:r>
    </w:p>
    <w:p w:rsidR="00CB0476" w:rsidRPr="00295713" w:rsidRDefault="00CB0476" w:rsidP="006056EB">
      <w:pPr>
        <w:pStyle w:val="ANormal"/>
        <w:rPr>
          <w:szCs w:val="22"/>
        </w:rPr>
      </w:pPr>
      <w:r>
        <w:rPr>
          <w:szCs w:val="22"/>
        </w:rPr>
        <w:tab/>
      </w:r>
      <w:r w:rsidR="00B03FFA">
        <w:rPr>
          <w:szCs w:val="22"/>
        </w:rPr>
        <w:t xml:space="preserve">Fokus ligger på de områden där Åland </w:t>
      </w:r>
      <w:r w:rsidR="00C92D10">
        <w:rPr>
          <w:szCs w:val="22"/>
        </w:rPr>
        <w:t xml:space="preserve">har </w:t>
      </w:r>
      <w:r w:rsidR="00B03FFA">
        <w:rPr>
          <w:szCs w:val="22"/>
        </w:rPr>
        <w:t>behörighet och faktisk mö</w:t>
      </w:r>
      <w:r w:rsidR="00B03FFA">
        <w:rPr>
          <w:szCs w:val="22"/>
        </w:rPr>
        <w:t>j</w:t>
      </w:r>
      <w:r w:rsidR="00B03FFA">
        <w:rPr>
          <w:szCs w:val="22"/>
        </w:rPr>
        <w:t xml:space="preserve">lighet att agera. </w:t>
      </w:r>
      <w:r>
        <w:rPr>
          <w:szCs w:val="22"/>
        </w:rPr>
        <w:t xml:space="preserve">Landskapsregeringens </w:t>
      </w:r>
      <w:r w:rsidR="00785D50">
        <w:rPr>
          <w:szCs w:val="22"/>
        </w:rPr>
        <w:t xml:space="preserve">huvudsakliga uppgifter </w:t>
      </w:r>
      <w:r w:rsidR="00B64997">
        <w:rPr>
          <w:szCs w:val="22"/>
        </w:rPr>
        <w:t>avseende</w:t>
      </w:r>
      <w:r w:rsidR="00785D50">
        <w:rPr>
          <w:szCs w:val="22"/>
        </w:rPr>
        <w:t xml:space="preserve"> förverkligandet av strategin </w:t>
      </w:r>
      <w:r>
        <w:rPr>
          <w:szCs w:val="22"/>
        </w:rPr>
        <w:t>är att se till att lagstiftning, regelverk och sty</w:t>
      </w:r>
      <w:r>
        <w:rPr>
          <w:szCs w:val="22"/>
        </w:rPr>
        <w:t>r</w:t>
      </w:r>
      <w:r>
        <w:rPr>
          <w:szCs w:val="22"/>
        </w:rPr>
        <w:t>dokument är i överensstämmelse med och stöder energi- och klimatstrat</w:t>
      </w:r>
      <w:r>
        <w:rPr>
          <w:szCs w:val="22"/>
        </w:rPr>
        <w:t>e</w:t>
      </w:r>
      <w:r>
        <w:rPr>
          <w:szCs w:val="22"/>
        </w:rPr>
        <w:t xml:space="preserve">gins målsättningar samt att genom information, rådgivning och ekonomiska stöd få till stånd förändringar. </w:t>
      </w:r>
    </w:p>
    <w:p w:rsidR="006056EB" w:rsidRDefault="006056EB" w:rsidP="002C27C8">
      <w:pPr>
        <w:pStyle w:val="ANormal"/>
        <w:rPr>
          <w:i/>
        </w:rPr>
      </w:pPr>
    </w:p>
    <w:p w:rsidR="002C27C8" w:rsidRDefault="006056EB" w:rsidP="002C27C8">
      <w:pPr>
        <w:pStyle w:val="ANormal"/>
        <w:rPr>
          <w:i/>
        </w:rPr>
      </w:pPr>
      <w:r>
        <w:rPr>
          <w:i/>
        </w:rPr>
        <w:t>Strategins förverkligande</w:t>
      </w:r>
    </w:p>
    <w:p w:rsidR="00286903" w:rsidRDefault="00286903">
      <w:pPr>
        <w:pStyle w:val="ANormal"/>
        <w:rPr>
          <w:sz w:val="10"/>
          <w:szCs w:val="10"/>
        </w:rPr>
      </w:pPr>
    </w:p>
    <w:p w:rsidR="00CB0476" w:rsidRDefault="006056EB" w:rsidP="00CB0476">
      <w:pPr>
        <w:pStyle w:val="ANormal"/>
        <w:rPr>
          <w:szCs w:val="22"/>
        </w:rPr>
      </w:pPr>
      <w:r>
        <w:rPr>
          <w:szCs w:val="22"/>
        </w:rPr>
        <w:t>I strategin redogörs för vilka åtgärder som bör vidta</w:t>
      </w:r>
      <w:r w:rsidR="00CB0476">
        <w:rPr>
          <w:szCs w:val="22"/>
        </w:rPr>
        <w:t>s</w:t>
      </w:r>
      <w:r w:rsidR="00A62287">
        <w:rPr>
          <w:szCs w:val="22"/>
        </w:rPr>
        <w:t xml:space="preserve"> för </w:t>
      </w:r>
      <w:r>
        <w:rPr>
          <w:szCs w:val="22"/>
        </w:rPr>
        <w:t xml:space="preserve">att målsättningarna </w:t>
      </w:r>
      <w:r w:rsidR="00D62F43">
        <w:rPr>
          <w:szCs w:val="22"/>
        </w:rPr>
        <w:t xml:space="preserve">i energi- och klimatstrategin </w:t>
      </w:r>
      <w:r>
        <w:rPr>
          <w:szCs w:val="22"/>
        </w:rPr>
        <w:t>ska kunna nås.</w:t>
      </w:r>
      <w:r w:rsidR="00A62287">
        <w:rPr>
          <w:szCs w:val="22"/>
        </w:rPr>
        <w:t xml:space="preserve"> </w:t>
      </w:r>
      <w:r w:rsidR="00304401">
        <w:rPr>
          <w:szCs w:val="22"/>
        </w:rPr>
        <w:t xml:space="preserve">I strategin understryks vikten </w:t>
      </w:r>
      <w:r w:rsidR="00B64997">
        <w:rPr>
          <w:szCs w:val="22"/>
        </w:rPr>
        <w:t xml:space="preserve">av att </w:t>
      </w:r>
      <w:r w:rsidR="00CB0476">
        <w:rPr>
          <w:szCs w:val="22"/>
        </w:rPr>
        <w:t xml:space="preserve">alla aktörer i det åländska samhället </w:t>
      </w:r>
      <w:r w:rsidR="00D62F43">
        <w:rPr>
          <w:szCs w:val="22"/>
        </w:rPr>
        <w:t>involveras i implementeringsa</w:t>
      </w:r>
      <w:r w:rsidR="00D62F43">
        <w:rPr>
          <w:szCs w:val="22"/>
        </w:rPr>
        <w:t>r</w:t>
      </w:r>
      <w:r w:rsidR="00D62F43">
        <w:rPr>
          <w:szCs w:val="22"/>
        </w:rPr>
        <w:t xml:space="preserve">betet för att på så sätt uppnå samförstånd och samarbete. </w:t>
      </w:r>
      <w:r w:rsidR="00D97A83">
        <w:rPr>
          <w:szCs w:val="22"/>
        </w:rPr>
        <w:t>Ytterligare</w:t>
      </w:r>
      <w:r w:rsidR="00CB0476">
        <w:rPr>
          <w:szCs w:val="22"/>
        </w:rPr>
        <w:t xml:space="preserve"> </w:t>
      </w:r>
      <w:r w:rsidR="00D62F43">
        <w:rPr>
          <w:szCs w:val="22"/>
        </w:rPr>
        <w:t>konst</w:t>
      </w:r>
      <w:r w:rsidR="00D62F43">
        <w:rPr>
          <w:szCs w:val="22"/>
        </w:rPr>
        <w:t>a</w:t>
      </w:r>
      <w:r w:rsidR="00D62F43">
        <w:rPr>
          <w:szCs w:val="22"/>
        </w:rPr>
        <w:t xml:space="preserve">teras </w:t>
      </w:r>
      <w:r w:rsidR="00CB0476">
        <w:rPr>
          <w:szCs w:val="22"/>
        </w:rPr>
        <w:t>att ekonomiska insatser behövs från både landskapsregeringen, n</w:t>
      </w:r>
      <w:r w:rsidR="00CB0476">
        <w:rPr>
          <w:szCs w:val="22"/>
        </w:rPr>
        <w:t>ä</w:t>
      </w:r>
      <w:r w:rsidR="00CB0476">
        <w:rPr>
          <w:szCs w:val="22"/>
        </w:rPr>
        <w:t xml:space="preserve">ringslivet och privatpersoner för att åtgärderna ska kunna genomföras och målsättningarna nås.      </w:t>
      </w:r>
    </w:p>
    <w:p w:rsidR="00D62F43" w:rsidRDefault="006056EB" w:rsidP="006056EB">
      <w:pPr>
        <w:pStyle w:val="ANormal"/>
        <w:rPr>
          <w:szCs w:val="22"/>
        </w:rPr>
      </w:pPr>
      <w:r>
        <w:rPr>
          <w:szCs w:val="22"/>
        </w:rPr>
        <w:tab/>
        <w:t xml:space="preserve">Utskottet välkomnar </w:t>
      </w:r>
      <w:r w:rsidR="00D62F43">
        <w:rPr>
          <w:szCs w:val="22"/>
        </w:rPr>
        <w:t xml:space="preserve">och stöder </w:t>
      </w:r>
      <w:r>
        <w:rPr>
          <w:szCs w:val="22"/>
        </w:rPr>
        <w:t>energi- och klimatstrategins ambitiösa målsättningar</w:t>
      </w:r>
      <w:r w:rsidR="00D62F43">
        <w:rPr>
          <w:szCs w:val="22"/>
        </w:rPr>
        <w:t xml:space="preserve"> och åtgärdsför</w:t>
      </w:r>
      <w:r w:rsidR="00844EC2">
        <w:rPr>
          <w:szCs w:val="22"/>
        </w:rPr>
        <w:t>slag</w:t>
      </w:r>
      <w:r w:rsidR="00D62F43">
        <w:rPr>
          <w:szCs w:val="22"/>
        </w:rPr>
        <w:t xml:space="preserve">. Utskottet delar </w:t>
      </w:r>
      <w:r w:rsidR="00844EC2">
        <w:rPr>
          <w:szCs w:val="22"/>
        </w:rPr>
        <w:t xml:space="preserve">också </w:t>
      </w:r>
      <w:r w:rsidR="00D62F43">
        <w:rPr>
          <w:szCs w:val="22"/>
        </w:rPr>
        <w:t>landskapsregerin</w:t>
      </w:r>
      <w:r w:rsidR="00D62F43">
        <w:rPr>
          <w:szCs w:val="22"/>
        </w:rPr>
        <w:t>g</w:t>
      </w:r>
      <w:r w:rsidR="00D62F43">
        <w:rPr>
          <w:szCs w:val="22"/>
        </w:rPr>
        <w:t xml:space="preserve">ens uppfattning om att det är viktigt att </w:t>
      </w:r>
      <w:r w:rsidR="00844EC2">
        <w:rPr>
          <w:szCs w:val="22"/>
        </w:rPr>
        <w:t>de aktörer som förväntas delta i fö</w:t>
      </w:r>
      <w:r w:rsidR="00844EC2">
        <w:rPr>
          <w:szCs w:val="22"/>
        </w:rPr>
        <w:t>r</w:t>
      </w:r>
      <w:r w:rsidR="00844EC2">
        <w:rPr>
          <w:szCs w:val="22"/>
        </w:rPr>
        <w:t xml:space="preserve">verkligandet av strategin involveras i arbetet. Enligt utskottet vore det dock viktigt att förutom </w:t>
      </w:r>
      <w:r w:rsidR="00D97A83">
        <w:rPr>
          <w:szCs w:val="22"/>
        </w:rPr>
        <w:t xml:space="preserve">de </w:t>
      </w:r>
      <w:r w:rsidR="00844EC2">
        <w:rPr>
          <w:szCs w:val="22"/>
        </w:rPr>
        <w:t xml:space="preserve">konkreta mål och åtgärder </w:t>
      </w:r>
      <w:r w:rsidR="00D97A83">
        <w:rPr>
          <w:szCs w:val="22"/>
        </w:rPr>
        <w:t xml:space="preserve">som ingår i strategin </w:t>
      </w:r>
      <w:r w:rsidR="00844EC2">
        <w:rPr>
          <w:szCs w:val="22"/>
        </w:rPr>
        <w:t xml:space="preserve">även göra upp en handlingsplan som innehåller en tidsplan och en beskrivning av vem som finansierar och ansvarar för vad. </w:t>
      </w:r>
      <w:r w:rsidR="0003063E">
        <w:rPr>
          <w:szCs w:val="22"/>
        </w:rPr>
        <w:t>Enligt utskottet är det även viktigt att kontinuerlig uppföljning av strategins målsättningar görs.</w:t>
      </w:r>
      <w:r w:rsidR="00D62F43">
        <w:rPr>
          <w:szCs w:val="22"/>
        </w:rPr>
        <w:t xml:space="preserve"> </w:t>
      </w:r>
      <w:r>
        <w:rPr>
          <w:szCs w:val="22"/>
        </w:rPr>
        <w:t xml:space="preserve"> </w:t>
      </w:r>
    </w:p>
    <w:p w:rsidR="006056EB" w:rsidRDefault="00D97A83" w:rsidP="006056EB">
      <w:pPr>
        <w:pStyle w:val="ANormal"/>
        <w:rPr>
          <w:szCs w:val="22"/>
        </w:rPr>
      </w:pPr>
      <w:r>
        <w:rPr>
          <w:szCs w:val="22"/>
        </w:rPr>
        <w:tab/>
        <w:t xml:space="preserve">Utskottet </w:t>
      </w:r>
      <w:r w:rsidR="006056EB">
        <w:rPr>
          <w:szCs w:val="22"/>
        </w:rPr>
        <w:t xml:space="preserve">bedömer </w:t>
      </w:r>
      <w:r>
        <w:rPr>
          <w:szCs w:val="22"/>
        </w:rPr>
        <w:t xml:space="preserve">även </w:t>
      </w:r>
      <w:r w:rsidR="006056EB">
        <w:rPr>
          <w:szCs w:val="22"/>
        </w:rPr>
        <w:t xml:space="preserve">i likhet med landskapsregeringen att avgörande för om </w:t>
      </w:r>
      <w:r w:rsidR="005C0D4D">
        <w:rPr>
          <w:szCs w:val="22"/>
        </w:rPr>
        <w:t xml:space="preserve">de </w:t>
      </w:r>
      <w:r w:rsidR="006056EB">
        <w:rPr>
          <w:szCs w:val="22"/>
        </w:rPr>
        <w:t xml:space="preserve">föreslagna åtgärder kan vidtas i den omfattning som förutsätts i strategin är såväl den ekonomiska och tekniska utvecklingen som i vilken utsträckning samhällets och </w:t>
      </w:r>
      <w:r>
        <w:rPr>
          <w:szCs w:val="22"/>
        </w:rPr>
        <w:t xml:space="preserve">medborgarnas </w:t>
      </w:r>
      <w:r w:rsidR="006056EB">
        <w:rPr>
          <w:szCs w:val="22"/>
        </w:rPr>
        <w:t xml:space="preserve">beteende kommer att ändras i en mer hållbar riktning. </w:t>
      </w:r>
    </w:p>
    <w:p w:rsidR="0062669D" w:rsidRDefault="0062669D" w:rsidP="006056EB">
      <w:pPr>
        <w:pStyle w:val="ANormal"/>
        <w:rPr>
          <w:szCs w:val="22"/>
        </w:rPr>
      </w:pPr>
    </w:p>
    <w:p w:rsidR="0062669D" w:rsidRDefault="0062669D" w:rsidP="0062669D">
      <w:pPr>
        <w:pStyle w:val="ANormal"/>
        <w:rPr>
          <w:i/>
        </w:rPr>
      </w:pPr>
      <w:r>
        <w:rPr>
          <w:i/>
        </w:rPr>
        <w:t>Ekonomiska stöd</w:t>
      </w:r>
      <w:r w:rsidR="000379E9">
        <w:rPr>
          <w:i/>
        </w:rPr>
        <w:t xml:space="preserve"> och landskapsborgen</w:t>
      </w:r>
    </w:p>
    <w:p w:rsidR="002F7564" w:rsidRDefault="002F7564" w:rsidP="0062669D">
      <w:pPr>
        <w:pStyle w:val="ANormal"/>
        <w:rPr>
          <w:i/>
          <w:sz w:val="10"/>
          <w:szCs w:val="10"/>
        </w:rPr>
      </w:pPr>
    </w:p>
    <w:p w:rsidR="002F7564" w:rsidRDefault="003D3843" w:rsidP="0062669D">
      <w:pPr>
        <w:pStyle w:val="ANormal"/>
        <w:rPr>
          <w:szCs w:val="22"/>
        </w:rPr>
      </w:pPr>
      <w:r>
        <w:rPr>
          <w:szCs w:val="22"/>
        </w:rPr>
        <w:t>Åtgärder som bland andra föreslås i strategin är att</w:t>
      </w:r>
      <w:r w:rsidR="002E701D">
        <w:rPr>
          <w:szCs w:val="22"/>
        </w:rPr>
        <w:t xml:space="preserve"> stöda ökad åländsk pr</w:t>
      </w:r>
      <w:r w:rsidR="002E701D">
        <w:rPr>
          <w:szCs w:val="22"/>
        </w:rPr>
        <w:t>o</w:t>
      </w:r>
      <w:r w:rsidR="002E701D">
        <w:rPr>
          <w:szCs w:val="22"/>
        </w:rPr>
        <w:t xml:space="preserve">duktion av förnyelsebar och hållbar el från vind, sol och biobränsle samt </w:t>
      </w:r>
      <w:r w:rsidR="00335348">
        <w:rPr>
          <w:szCs w:val="22"/>
        </w:rPr>
        <w:t xml:space="preserve">att </w:t>
      </w:r>
      <w:r w:rsidR="002E701D">
        <w:rPr>
          <w:szCs w:val="22"/>
        </w:rPr>
        <w:t>stimulera till utbyggnad av solvärme och biobränslepannor för att öka and</w:t>
      </w:r>
      <w:r w:rsidR="002E701D">
        <w:rPr>
          <w:szCs w:val="22"/>
        </w:rPr>
        <w:t>e</w:t>
      </w:r>
      <w:r w:rsidR="002E701D">
        <w:rPr>
          <w:szCs w:val="22"/>
        </w:rPr>
        <w:t>len förnyelsebar uppvärmning</w:t>
      </w:r>
      <w:r>
        <w:rPr>
          <w:szCs w:val="22"/>
        </w:rPr>
        <w:t xml:space="preserve">. </w:t>
      </w:r>
      <w:r w:rsidR="002E701D">
        <w:rPr>
          <w:szCs w:val="22"/>
        </w:rPr>
        <w:t xml:space="preserve">Utskottet </w:t>
      </w:r>
      <w:r>
        <w:rPr>
          <w:szCs w:val="22"/>
        </w:rPr>
        <w:t>har erfarit att f</w:t>
      </w:r>
      <w:r w:rsidR="00B03FFA">
        <w:rPr>
          <w:szCs w:val="22"/>
        </w:rPr>
        <w:t>rån år 2018 återi</w:t>
      </w:r>
      <w:r w:rsidR="00B03FFA">
        <w:rPr>
          <w:szCs w:val="22"/>
        </w:rPr>
        <w:t>n</w:t>
      </w:r>
      <w:r w:rsidR="00B03FFA">
        <w:rPr>
          <w:szCs w:val="22"/>
        </w:rPr>
        <w:t xml:space="preserve">förs stödet för konvertering av värmesystem för privata hushåll och stödet för små solenergilösningar utvecklas </w:t>
      </w:r>
      <w:r w:rsidR="002E701D">
        <w:rPr>
          <w:szCs w:val="22"/>
        </w:rPr>
        <w:t>till a</w:t>
      </w:r>
      <w:r w:rsidR="00B03FFA">
        <w:rPr>
          <w:szCs w:val="22"/>
        </w:rPr>
        <w:t>tt omfatta även företag</w:t>
      </w:r>
      <w:r>
        <w:rPr>
          <w:szCs w:val="22"/>
        </w:rPr>
        <w:t>, vilket u</w:t>
      </w:r>
      <w:r>
        <w:rPr>
          <w:szCs w:val="22"/>
        </w:rPr>
        <w:t>t</w:t>
      </w:r>
      <w:r>
        <w:rPr>
          <w:szCs w:val="22"/>
        </w:rPr>
        <w:t>skottet finner positivt</w:t>
      </w:r>
      <w:r w:rsidR="00B03FFA">
        <w:rPr>
          <w:szCs w:val="22"/>
        </w:rPr>
        <w:t>.</w:t>
      </w:r>
      <w:r>
        <w:rPr>
          <w:szCs w:val="22"/>
        </w:rPr>
        <w:t xml:space="preserve"> </w:t>
      </w:r>
      <w:r w:rsidR="00335348">
        <w:rPr>
          <w:szCs w:val="22"/>
        </w:rPr>
        <w:t xml:space="preserve">I syfte att ytterligare påskynda övergången till </w:t>
      </w:r>
      <w:r w:rsidR="00F678C0">
        <w:rPr>
          <w:szCs w:val="22"/>
        </w:rPr>
        <w:t>a</w:t>
      </w:r>
      <w:r w:rsidR="00F678C0">
        <w:rPr>
          <w:szCs w:val="22"/>
        </w:rPr>
        <w:t>n</w:t>
      </w:r>
      <w:r w:rsidR="00F678C0">
        <w:rPr>
          <w:szCs w:val="22"/>
        </w:rPr>
        <w:t xml:space="preserve">vändning av förnybar energi ber utskottet landskapsregeringen </w:t>
      </w:r>
      <w:r w:rsidR="00B51D35">
        <w:rPr>
          <w:szCs w:val="22"/>
        </w:rPr>
        <w:t xml:space="preserve">även </w:t>
      </w:r>
      <w:r w:rsidR="00F678C0">
        <w:rPr>
          <w:szCs w:val="22"/>
        </w:rPr>
        <w:t>öve</w:t>
      </w:r>
      <w:r w:rsidR="00F678C0">
        <w:rPr>
          <w:szCs w:val="22"/>
        </w:rPr>
        <w:t>r</w:t>
      </w:r>
      <w:r w:rsidR="00F678C0">
        <w:rPr>
          <w:szCs w:val="22"/>
        </w:rPr>
        <w:t xml:space="preserve">väga </w:t>
      </w:r>
      <w:r w:rsidR="00B51D35">
        <w:rPr>
          <w:szCs w:val="22"/>
        </w:rPr>
        <w:t xml:space="preserve">möjligheten </w:t>
      </w:r>
      <w:r w:rsidR="00F678C0">
        <w:rPr>
          <w:szCs w:val="22"/>
        </w:rPr>
        <w:t xml:space="preserve">att </w:t>
      </w:r>
      <w:r w:rsidR="00B51D35">
        <w:rPr>
          <w:szCs w:val="22"/>
        </w:rPr>
        <w:t xml:space="preserve">bevilja </w:t>
      </w:r>
      <w:r w:rsidR="00E610CC">
        <w:rPr>
          <w:szCs w:val="22"/>
        </w:rPr>
        <w:t>l</w:t>
      </w:r>
      <w:r w:rsidR="00335348">
        <w:rPr>
          <w:szCs w:val="22"/>
        </w:rPr>
        <w:t xml:space="preserve">andskapsborgen för så kallade </w:t>
      </w:r>
      <w:r w:rsidR="00F678C0">
        <w:rPr>
          <w:szCs w:val="22"/>
        </w:rPr>
        <w:t>”</w:t>
      </w:r>
      <w:r w:rsidR="00335348">
        <w:rPr>
          <w:szCs w:val="22"/>
        </w:rPr>
        <w:t>gröna lån</w:t>
      </w:r>
      <w:r w:rsidR="00F678C0">
        <w:rPr>
          <w:szCs w:val="22"/>
        </w:rPr>
        <w:t>”</w:t>
      </w:r>
      <w:r w:rsidR="00335348">
        <w:rPr>
          <w:szCs w:val="22"/>
        </w:rPr>
        <w:t xml:space="preserve">, </w:t>
      </w:r>
      <w:r w:rsidR="00B51D35">
        <w:rPr>
          <w:szCs w:val="22"/>
        </w:rPr>
        <w:t xml:space="preserve">dvs lån </w:t>
      </w:r>
      <w:r w:rsidR="00335348">
        <w:rPr>
          <w:szCs w:val="22"/>
        </w:rPr>
        <w:t xml:space="preserve">som beviljas </w:t>
      </w:r>
      <w:r w:rsidR="00F678C0">
        <w:rPr>
          <w:szCs w:val="22"/>
        </w:rPr>
        <w:t xml:space="preserve">för </w:t>
      </w:r>
      <w:r w:rsidR="00C92D10">
        <w:rPr>
          <w:szCs w:val="22"/>
        </w:rPr>
        <w:t xml:space="preserve">gröna investeringar som exempelvis </w:t>
      </w:r>
      <w:r w:rsidR="00335348">
        <w:rPr>
          <w:szCs w:val="22"/>
        </w:rPr>
        <w:t xml:space="preserve">konvertering </w:t>
      </w:r>
      <w:r w:rsidR="00F678C0">
        <w:rPr>
          <w:szCs w:val="22"/>
        </w:rPr>
        <w:t>till fossilfria uppvärmningss</w:t>
      </w:r>
      <w:r w:rsidR="00335348">
        <w:rPr>
          <w:szCs w:val="22"/>
        </w:rPr>
        <w:t xml:space="preserve">ystem eller </w:t>
      </w:r>
      <w:r w:rsidR="00F678C0">
        <w:rPr>
          <w:szCs w:val="22"/>
        </w:rPr>
        <w:t xml:space="preserve">för </w:t>
      </w:r>
      <w:r w:rsidR="00C92D10">
        <w:rPr>
          <w:szCs w:val="22"/>
        </w:rPr>
        <w:t xml:space="preserve">vidtagande av </w:t>
      </w:r>
      <w:r w:rsidR="00335348">
        <w:rPr>
          <w:szCs w:val="22"/>
        </w:rPr>
        <w:t>energieffektiv</w:t>
      </w:r>
      <w:r w:rsidR="00F678C0">
        <w:rPr>
          <w:szCs w:val="22"/>
        </w:rPr>
        <w:t>e</w:t>
      </w:r>
      <w:r w:rsidR="00F678C0">
        <w:rPr>
          <w:szCs w:val="22"/>
        </w:rPr>
        <w:t>r</w:t>
      </w:r>
      <w:r w:rsidR="00F678C0">
        <w:rPr>
          <w:szCs w:val="22"/>
        </w:rPr>
        <w:t>ande</w:t>
      </w:r>
      <w:r w:rsidR="00335348">
        <w:rPr>
          <w:szCs w:val="22"/>
        </w:rPr>
        <w:t xml:space="preserve"> åtgärder.</w:t>
      </w:r>
      <w:r>
        <w:rPr>
          <w:szCs w:val="22"/>
        </w:rPr>
        <w:t xml:space="preserve"> </w:t>
      </w:r>
      <w:r w:rsidR="00B03FFA">
        <w:rPr>
          <w:szCs w:val="22"/>
        </w:rPr>
        <w:t xml:space="preserve"> </w:t>
      </w:r>
    </w:p>
    <w:p w:rsidR="00AD61D2" w:rsidRDefault="00AD61D2" w:rsidP="0062669D">
      <w:pPr>
        <w:pStyle w:val="ANormal"/>
        <w:rPr>
          <w:szCs w:val="22"/>
        </w:rPr>
      </w:pPr>
    </w:p>
    <w:p w:rsidR="00AD61D2" w:rsidRDefault="00AD61D2" w:rsidP="00AD61D2">
      <w:pPr>
        <w:pStyle w:val="ANormal"/>
        <w:rPr>
          <w:i/>
        </w:rPr>
      </w:pPr>
      <w:r>
        <w:rPr>
          <w:i/>
        </w:rPr>
        <w:t>Rådgivning och information</w:t>
      </w:r>
    </w:p>
    <w:p w:rsidR="00AD61D2" w:rsidRDefault="00AD61D2" w:rsidP="00AD61D2">
      <w:pPr>
        <w:pStyle w:val="ANormal"/>
        <w:rPr>
          <w:sz w:val="10"/>
          <w:szCs w:val="10"/>
        </w:rPr>
      </w:pPr>
    </w:p>
    <w:p w:rsidR="00AD61D2" w:rsidRDefault="00AD61D2" w:rsidP="00AD61D2">
      <w:pPr>
        <w:pStyle w:val="ANormal"/>
        <w:rPr>
          <w:szCs w:val="22"/>
        </w:rPr>
      </w:pPr>
      <w:r>
        <w:rPr>
          <w:szCs w:val="22"/>
        </w:rPr>
        <w:t>I strategin konstateras att en beteendeförändring krävs hos allmänheten för att målen i strategin ska kunna uppnås samt att klimat- och energiaspekte</w:t>
      </w:r>
      <w:r>
        <w:rPr>
          <w:szCs w:val="22"/>
        </w:rPr>
        <w:t>r</w:t>
      </w:r>
      <w:r>
        <w:rPr>
          <w:szCs w:val="22"/>
        </w:rPr>
        <w:t>na behöver beaktas i alla beslut som tas inte bara på samhällsnivå utan även av konsumenterna. Utskottet är av samma åsikt. För att förbättra kunskapen och medvetenheten om vikten av energieffektivering, energibesparing och användningen av förnyelsebar energi är det enligt utskottet viktigt att såväl konsumenter som kommuner och företag har tillgång till kontinuerlig ob</w:t>
      </w:r>
      <w:r>
        <w:rPr>
          <w:szCs w:val="22"/>
        </w:rPr>
        <w:t>e</w:t>
      </w:r>
      <w:r>
        <w:rPr>
          <w:szCs w:val="22"/>
        </w:rPr>
        <w:t>roende rådgivning och information på området. Utskottet ber därför lan</w:t>
      </w:r>
      <w:r>
        <w:rPr>
          <w:szCs w:val="22"/>
        </w:rPr>
        <w:t>d</w:t>
      </w:r>
      <w:r>
        <w:rPr>
          <w:szCs w:val="22"/>
        </w:rPr>
        <w:t xml:space="preserve">skapsregeringen överväga </w:t>
      </w:r>
      <w:r w:rsidR="00E610CC">
        <w:rPr>
          <w:szCs w:val="22"/>
        </w:rPr>
        <w:t xml:space="preserve">om </w:t>
      </w:r>
      <w:r>
        <w:rPr>
          <w:szCs w:val="22"/>
        </w:rPr>
        <w:t xml:space="preserve">resurserna för rådgivning och information </w:t>
      </w:r>
      <w:r w:rsidR="00E610CC">
        <w:rPr>
          <w:szCs w:val="22"/>
        </w:rPr>
        <w:t xml:space="preserve">behöver förstärkas </w:t>
      </w:r>
      <w:r>
        <w:rPr>
          <w:szCs w:val="22"/>
        </w:rPr>
        <w:t xml:space="preserve">genom etablering av ett oberoende energikontor som förutom rådgivning </w:t>
      </w:r>
      <w:r w:rsidR="00841962">
        <w:rPr>
          <w:szCs w:val="22"/>
        </w:rPr>
        <w:t xml:space="preserve">och information </w:t>
      </w:r>
      <w:r>
        <w:rPr>
          <w:szCs w:val="22"/>
        </w:rPr>
        <w:t xml:space="preserve">kan arrangera, ensam eller i samverkan med andra aktörer, </w:t>
      </w:r>
      <w:r w:rsidR="00016391">
        <w:rPr>
          <w:szCs w:val="22"/>
        </w:rPr>
        <w:t xml:space="preserve">nödvändiga </w:t>
      </w:r>
      <w:r>
        <w:rPr>
          <w:szCs w:val="22"/>
        </w:rPr>
        <w:t>utbildningsinsatser</w:t>
      </w:r>
      <w:r w:rsidR="00841962">
        <w:rPr>
          <w:szCs w:val="22"/>
        </w:rPr>
        <w:t xml:space="preserve"> och s</w:t>
      </w:r>
      <w:r>
        <w:rPr>
          <w:szCs w:val="22"/>
        </w:rPr>
        <w:t>eminarier</w:t>
      </w:r>
      <w:r w:rsidR="00841962">
        <w:rPr>
          <w:szCs w:val="22"/>
        </w:rPr>
        <w:t xml:space="preserve">. </w:t>
      </w:r>
      <w:r>
        <w:rPr>
          <w:szCs w:val="22"/>
        </w:rPr>
        <w:t xml:space="preserve">  </w:t>
      </w:r>
    </w:p>
    <w:p w:rsidR="00AD61D2" w:rsidRDefault="00AD61D2" w:rsidP="0062669D">
      <w:pPr>
        <w:pStyle w:val="ANormal"/>
        <w:rPr>
          <w:szCs w:val="22"/>
        </w:rPr>
      </w:pPr>
    </w:p>
    <w:p w:rsidR="00C251B3" w:rsidRDefault="001A795B" w:rsidP="00C251B3">
      <w:pPr>
        <w:pStyle w:val="ANormal"/>
        <w:rPr>
          <w:i/>
        </w:rPr>
      </w:pPr>
      <w:r>
        <w:rPr>
          <w:i/>
        </w:rPr>
        <w:t>Fastighetsverkets roll</w:t>
      </w:r>
    </w:p>
    <w:p w:rsidR="00C251B3" w:rsidRDefault="00C251B3" w:rsidP="0062669D">
      <w:pPr>
        <w:pStyle w:val="ANormal"/>
        <w:rPr>
          <w:sz w:val="10"/>
          <w:szCs w:val="10"/>
        </w:rPr>
      </w:pPr>
    </w:p>
    <w:p w:rsidR="00AD61D2" w:rsidRDefault="00CB2143" w:rsidP="0062669D">
      <w:pPr>
        <w:pStyle w:val="ANormal"/>
        <w:rPr>
          <w:szCs w:val="22"/>
        </w:rPr>
      </w:pPr>
      <w:r>
        <w:rPr>
          <w:szCs w:val="22"/>
        </w:rPr>
        <w:t>Enligt utskottet är det viktigt att landskapsregeringen inte bara tar ett öve</w:t>
      </w:r>
      <w:r>
        <w:rPr>
          <w:szCs w:val="22"/>
        </w:rPr>
        <w:t>r</w:t>
      </w:r>
      <w:r>
        <w:rPr>
          <w:szCs w:val="22"/>
        </w:rPr>
        <w:t>gripande ansvar för förverkligandet av energi- och klimatstrategin utan även agerar förebild genom att implementera strategin i den egna verksa</w:t>
      </w:r>
      <w:r>
        <w:rPr>
          <w:szCs w:val="22"/>
        </w:rPr>
        <w:t>m</w:t>
      </w:r>
      <w:r>
        <w:rPr>
          <w:szCs w:val="22"/>
        </w:rPr>
        <w:t xml:space="preserve">heten. I strategins finns ett antal åtgärder med som rör landskapets egen </w:t>
      </w:r>
      <w:r>
        <w:rPr>
          <w:szCs w:val="22"/>
        </w:rPr>
        <w:lastRenderedPageBreak/>
        <w:t>verksamhet. Enligt strategin ska landskapets fastighetsverk vid planering av nybyggnadsprojekt se till att de får en mycket hög energiprestanda och b</w:t>
      </w:r>
      <w:r>
        <w:rPr>
          <w:szCs w:val="22"/>
        </w:rPr>
        <w:t>e</w:t>
      </w:r>
      <w:r>
        <w:rPr>
          <w:szCs w:val="22"/>
        </w:rPr>
        <w:t>fintliga byggnader energieffektiveras speciellt i samband med större ren</w:t>
      </w:r>
      <w:r>
        <w:rPr>
          <w:szCs w:val="22"/>
        </w:rPr>
        <w:t>o</w:t>
      </w:r>
      <w:r>
        <w:rPr>
          <w:szCs w:val="22"/>
        </w:rPr>
        <w:t>veringsåtgär</w:t>
      </w:r>
      <w:r w:rsidR="007F17C7">
        <w:rPr>
          <w:szCs w:val="22"/>
        </w:rPr>
        <w:t xml:space="preserve">der. </w:t>
      </w:r>
      <w:r w:rsidR="00AD61D2">
        <w:rPr>
          <w:szCs w:val="22"/>
        </w:rPr>
        <w:t xml:space="preserve">Solpaneler </w:t>
      </w:r>
      <w:r w:rsidR="00C97B3E">
        <w:rPr>
          <w:szCs w:val="22"/>
        </w:rPr>
        <w:t>s</w:t>
      </w:r>
      <w:r w:rsidR="00AD61D2">
        <w:rPr>
          <w:szCs w:val="22"/>
        </w:rPr>
        <w:t xml:space="preserve">ka </w:t>
      </w:r>
      <w:r w:rsidR="007F17C7">
        <w:rPr>
          <w:szCs w:val="22"/>
        </w:rPr>
        <w:t>installeras på fastighetsverkets byggnader med lämpliga takytor och där elbehovet är stort under vår-höst. Även a</w:t>
      </w:r>
      <w:r w:rsidR="007F17C7">
        <w:rPr>
          <w:szCs w:val="22"/>
        </w:rPr>
        <w:t>n</w:t>
      </w:r>
      <w:r w:rsidR="007F17C7">
        <w:rPr>
          <w:szCs w:val="22"/>
        </w:rPr>
        <w:t>vändningen av biobränslen ska befrämjas inom det landskapsägda fasti</w:t>
      </w:r>
      <w:r w:rsidR="007F17C7">
        <w:rPr>
          <w:szCs w:val="22"/>
        </w:rPr>
        <w:t>g</w:t>
      </w:r>
      <w:r w:rsidR="007F17C7">
        <w:rPr>
          <w:szCs w:val="22"/>
        </w:rPr>
        <w:t>hetsbeståndet.</w:t>
      </w:r>
      <w:r w:rsidR="001A795B">
        <w:rPr>
          <w:szCs w:val="22"/>
        </w:rPr>
        <w:t xml:space="preserve"> </w:t>
      </w:r>
    </w:p>
    <w:p w:rsidR="00C251B3" w:rsidRPr="00C251B3" w:rsidRDefault="00AD61D2" w:rsidP="0062669D">
      <w:pPr>
        <w:pStyle w:val="ANormal"/>
        <w:rPr>
          <w:szCs w:val="22"/>
        </w:rPr>
      </w:pPr>
      <w:r>
        <w:rPr>
          <w:szCs w:val="22"/>
        </w:rPr>
        <w:tab/>
      </w:r>
      <w:r w:rsidR="001A795B">
        <w:rPr>
          <w:szCs w:val="22"/>
        </w:rPr>
        <w:t xml:space="preserve">Utskottet har erfarit att fastighetsverket </w:t>
      </w:r>
      <w:r w:rsidR="00C97B3E">
        <w:rPr>
          <w:szCs w:val="22"/>
        </w:rPr>
        <w:t xml:space="preserve">förtjänstfullt </w:t>
      </w:r>
      <w:r w:rsidR="001A795B">
        <w:rPr>
          <w:szCs w:val="22"/>
        </w:rPr>
        <w:t>har utarbetat en plan för hur de avser att arbeta med förverkligandet av strategin. En nul</w:t>
      </w:r>
      <w:r w:rsidR="001A795B">
        <w:rPr>
          <w:szCs w:val="22"/>
        </w:rPr>
        <w:t>ä</w:t>
      </w:r>
      <w:r w:rsidR="001A795B">
        <w:rPr>
          <w:szCs w:val="22"/>
        </w:rPr>
        <w:t>gesanalys har gjorts av hur förbrukningen av energi och koldioxid</w:t>
      </w:r>
      <w:r w:rsidR="00D8459B">
        <w:rPr>
          <w:szCs w:val="22"/>
        </w:rPr>
        <w:t>utsläppen</w:t>
      </w:r>
      <w:r w:rsidR="001A795B">
        <w:rPr>
          <w:szCs w:val="22"/>
        </w:rPr>
        <w:t xml:space="preserve"> ser ut </w:t>
      </w:r>
      <w:r>
        <w:rPr>
          <w:szCs w:val="22"/>
        </w:rPr>
        <w:t xml:space="preserve">för tillfället. </w:t>
      </w:r>
      <w:r w:rsidR="00E7579F">
        <w:rPr>
          <w:szCs w:val="22"/>
        </w:rPr>
        <w:t xml:space="preserve">Utgående från nulägesanalysen </w:t>
      </w:r>
      <w:r w:rsidR="00FB1A55">
        <w:rPr>
          <w:szCs w:val="22"/>
        </w:rPr>
        <w:t xml:space="preserve">och målsättningarna i energi- och klimatstrategin </w:t>
      </w:r>
      <w:r w:rsidR="00F9613A">
        <w:rPr>
          <w:szCs w:val="22"/>
        </w:rPr>
        <w:t xml:space="preserve">avser fastighetsverket att uppgöra </w:t>
      </w:r>
      <w:r w:rsidR="003B13D5">
        <w:rPr>
          <w:szCs w:val="22"/>
        </w:rPr>
        <w:t xml:space="preserve">en </w:t>
      </w:r>
      <w:r w:rsidR="00FB1A55">
        <w:rPr>
          <w:szCs w:val="22"/>
        </w:rPr>
        <w:t xml:space="preserve">konkret </w:t>
      </w:r>
      <w:r w:rsidR="00E7579F">
        <w:rPr>
          <w:szCs w:val="22"/>
        </w:rPr>
        <w:t xml:space="preserve">handlingsplan </w:t>
      </w:r>
      <w:r w:rsidR="00FB1A55">
        <w:rPr>
          <w:szCs w:val="22"/>
        </w:rPr>
        <w:t xml:space="preserve">för att </w:t>
      </w:r>
      <w:r w:rsidR="00E7579F">
        <w:rPr>
          <w:szCs w:val="22"/>
        </w:rPr>
        <w:t>minska energiförbrukning</w:t>
      </w:r>
      <w:r w:rsidR="00226149">
        <w:rPr>
          <w:szCs w:val="22"/>
        </w:rPr>
        <w:t>en</w:t>
      </w:r>
      <w:r w:rsidR="00E7579F">
        <w:rPr>
          <w:szCs w:val="22"/>
        </w:rPr>
        <w:t xml:space="preserve"> och </w:t>
      </w:r>
      <w:r w:rsidR="00FB1A55">
        <w:rPr>
          <w:szCs w:val="22"/>
        </w:rPr>
        <w:t xml:space="preserve">få till stånd en </w:t>
      </w:r>
      <w:r w:rsidR="00E7579F">
        <w:rPr>
          <w:szCs w:val="22"/>
        </w:rPr>
        <w:t xml:space="preserve">renare energiproduktion. </w:t>
      </w:r>
      <w:r w:rsidR="001A795B">
        <w:rPr>
          <w:szCs w:val="22"/>
        </w:rPr>
        <w:t xml:space="preserve"> </w:t>
      </w:r>
      <w:r w:rsidR="007F17C7">
        <w:rPr>
          <w:szCs w:val="22"/>
        </w:rPr>
        <w:t xml:space="preserve"> </w:t>
      </w:r>
      <w:r w:rsidR="00CB2143">
        <w:rPr>
          <w:szCs w:val="22"/>
        </w:rPr>
        <w:t xml:space="preserve">   </w:t>
      </w:r>
    </w:p>
    <w:p w:rsidR="002F7564" w:rsidRDefault="002F7564" w:rsidP="0062669D">
      <w:pPr>
        <w:pStyle w:val="ANormal"/>
        <w:rPr>
          <w:i/>
        </w:rPr>
      </w:pPr>
    </w:p>
    <w:p w:rsidR="007418F7" w:rsidRDefault="007418F7">
      <w:pPr>
        <w:pStyle w:val="ANormal"/>
        <w:rPr>
          <w:i/>
        </w:rPr>
      </w:pPr>
      <w:r>
        <w:rPr>
          <w:i/>
        </w:rPr>
        <w:t>Solel</w:t>
      </w:r>
    </w:p>
    <w:p w:rsidR="003D5C2B" w:rsidRDefault="003D5C2B">
      <w:pPr>
        <w:pStyle w:val="ANormal"/>
        <w:rPr>
          <w:i/>
          <w:sz w:val="10"/>
          <w:szCs w:val="10"/>
        </w:rPr>
      </w:pPr>
    </w:p>
    <w:p w:rsidR="003D5C2B" w:rsidRPr="003D5C2B" w:rsidRDefault="00F76D45">
      <w:pPr>
        <w:pStyle w:val="ANormal"/>
        <w:rPr>
          <w:szCs w:val="22"/>
        </w:rPr>
      </w:pPr>
      <w:r>
        <w:rPr>
          <w:szCs w:val="22"/>
        </w:rPr>
        <w:t xml:space="preserve">I strategin konstateras att </w:t>
      </w:r>
      <w:r w:rsidR="007D7247">
        <w:rPr>
          <w:szCs w:val="22"/>
        </w:rPr>
        <w:t>sol och vind är energikällor som har en stor ou</w:t>
      </w:r>
      <w:r w:rsidR="007D7247">
        <w:rPr>
          <w:szCs w:val="22"/>
        </w:rPr>
        <w:t>t</w:t>
      </w:r>
      <w:r w:rsidR="007D7247">
        <w:rPr>
          <w:szCs w:val="22"/>
        </w:rPr>
        <w:t xml:space="preserve">nyttjad potential på Åland. </w:t>
      </w:r>
      <w:r w:rsidR="00E04124">
        <w:rPr>
          <w:szCs w:val="22"/>
        </w:rPr>
        <w:t>En utökad elproduktion från vind och sol berä</w:t>
      </w:r>
      <w:r w:rsidR="00E04124">
        <w:rPr>
          <w:szCs w:val="22"/>
        </w:rPr>
        <w:t>k</w:t>
      </w:r>
      <w:r w:rsidR="00E04124">
        <w:rPr>
          <w:szCs w:val="22"/>
        </w:rPr>
        <w:t xml:space="preserve">nas </w:t>
      </w:r>
      <w:r w:rsidR="00553D5A">
        <w:rPr>
          <w:szCs w:val="22"/>
        </w:rPr>
        <w:t xml:space="preserve">enligt strategin </w:t>
      </w:r>
      <w:r w:rsidR="00E04124">
        <w:rPr>
          <w:szCs w:val="22"/>
        </w:rPr>
        <w:t xml:space="preserve">i framtiden tillgodose hela Ålands elförbrukning. </w:t>
      </w:r>
      <w:r w:rsidR="00DC09CF">
        <w:rPr>
          <w:szCs w:val="22"/>
        </w:rPr>
        <w:t>Må</w:t>
      </w:r>
      <w:r w:rsidR="00DC09CF">
        <w:rPr>
          <w:szCs w:val="22"/>
        </w:rPr>
        <w:t>l</w:t>
      </w:r>
      <w:r w:rsidR="00DC09CF">
        <w:rPr>
          <w:szCs w:val="22"/>
        </w:rPr>
        <w:t xml:space="preserve">sättningen </w:t>
      </w:r>
      <w:r w:rsidR="00DA4DC7">
        <w:rPr>
          <w:szCs w:val="22"/>
        </w:rPr>
        <w:t xml:space="preserve">för solens del </w:t>
      </w:r>
      <w:r w:rsidR="00DC09CF">
        <w:rPr>
          <w:szCs w:val="22"/>
        </w:rPr>
        <w:t xml:space="preserve">är att eleffekten från solelproduktion ska utgöra sammanlagt minst 17 MW, vilket </w:t>
      </w:r>
      <w:r w:rsidR="00553D5A">
        <w:rPr>
          <w:szCs w:val="22"/>
        </w:rPr>
        <w:t xml:space="preserve">skulle </w:t>
      </w:r>
      <w:r w:rsidR="00DC09CF">
        <w:rPr>
          <w:szCs w:val="22"/>
        </w:rPr>
        <w:t>utgör</w:t>
      </w:r>
      <w:r w:rsidR="00553D5A">
        <w:rPr>
          <w:szCs w:val="22"/>
        </w:rPr>
        <w:t>a</w:t>
      </w:r>
      <w:r w:rsidR="00DC09CF">
        <w:rPr>
          <w:szCs w:val="22"/>
        </w:rPr>
        <w:t xml:space="preserve"> cirka fem procent av den t</w:t>
      </w:r>
      <w:r w:rsidR="00DC09CF">
        <w:rPr>
          <w:szCs w:val="22"/>
        </w:rPr>
        <w:t>o</w:t>
      </w:r>
      <w:r w:rsidR="00DC09CF">
        <w:rPr>
          <w:szCs w:val="22"/>
        </w:rPr>
        <w:t>tala elförbrukningen</w:t>
      </w:r>
      <w:r w:rsidR="00E011B6">
        <w:rPr>
          <w:szCs w:val="22"/>
        </w:rPr>
        <w:t xml:space="preserve"> i landskapet</w:t>
      </w:r>
      <w:r w:rsidR="00DC09CF">
        <w:rPr>
          <w:szCs w:val="22"/>
        </w:rPr>
        <w:t xml:space="preserve">. </w:t>
      </w:r>
      <w:r w:rsidR="00AD61D2">
        <w:rPr>
          <w:szCs w:val="22"/>
        </w:rPr>
        <w:t xml:space="preserve">Utskottet har erfarit att </w:t>
      </w:r>
      <w:r w:rsidR="00DA4DC7">
        <w:rPr>
          <w:szCs w:val="22"/>
        </w:rPr>
        <w:t>den genomsnit</w:t>
      </w:r>
      <w:r w:rsidR="00DA4DC7">
        <w:rPr>
          <w:szCs w:val="22"/>
        </w:rPr>
        <w:t>t</w:t>
      </w:r>
      <w:r w:rsidR="00DA4DC7">
        <w:rPr>
          <w:szCs w:val="22"/>
        </w:rPr>
        <w:t xml:space="preserve">liga andelen solenergi av all producerad energi </w:t>
      </w:r>
      <w:r w:rsidR="0003063E">
        <w:rPr>
          <w:szCs w:val="22"/>
        </w:rPr>
        <w:t xml:space="preserve">för tillfället </w:t>
      </w:r>
      <w:r w:rsidR="00DA4DC7">
        <w:rPr>
          <w:szCs w:val="22"/>
        </w:rPr>
        <w:t xml:space="preserve">är 4 procent i EU, 0,1 procent i Finland, 0,2 procent i Sverige, 7 procent i Tyskland och 0,001 procent på Åland. </w:t>
      </w:r>
      <w:r w:rsidR="00553D5A">
        <w:rPr>
          <w:szCs w:val="22"/>
        </w:rPr>
        <w:t xml:space="preserve">Utskottet har </w:t>
      </w:r>
      <w:r w:rsidR="00AD61D2">
        <w:rPr>
          <w:szCs w:val="22"/>
        </w:rPr>
        <w:t xml:space="preserve">vidare </w:t>
      </w:r>
      <w:r w:rsidR="00553D5A">
        <w:rPr>
          <w:szCs w:val="22"/>
        </w:rPr>
        <w:t xml:space="preserve">erfarit att </w:t>
      </w:r>
      <w:r w:rsidR="003E5E28">
        <w:rPr>
          <w:szCs w:val="22"/>
        </w:rPr>
        <w:t xml:space="preserve">företagens </w:t>
      </w:r>
      <w:r w:rsidR="00553D5A">
        <w:rPr>
          <w:szCs w:val="22"/>
        </w:rPr>
        <w:t>lönsa</w:t>
      </w:r>
      <w:r w:rsidR="00553D5A">
        <w:rPr>
          <w:szCs w:val="22"/>
        </w:rPr>
        <w:t>m</w:t>
      </w:r>
      <w:r w:rsidR="00553D5A">
        <w:rPr>
          <w:szCs w:val="22"/>
        </w:rPr>
        <w:t>het att invester</w:t>
      </w:r>
      <w:r w:rsidR="00E011B6">
        <w:rPr>
          <w:szCs w:val="22"/>
        </w:rPr>
        <w:t>a i soplaneler är god. F</w:t>
      </w:r>
      <w:r w:rsidR="00553D5A">
        <w:rPr>
          <w:szCs w:val="22"/>
        </w:rPr>
        <w:t xml:space="preserve">öretagens långsamma investeringstakt </w:t>
      </w:r>
      <w:r w:rsidR="00E011B6">
        <w:rPr>
          <w:szCs w:val="22"/>
        </w:rPr>
        <w:t xml:space="preserve">tros </w:t>
      </w:r>
      <w:r w:rsidR="00553D5A">
        <w:rPr>
          <w:szCs w:val="22"/>
        </w:rPr>
        <w:t xml:space="preserve">bero </w:t>
      </w:r>
      <w:r w:rsidR="00E011B6">
        <w:rPr>
          <w:szCs w:val="22"/>
        </w:rPr>
        <w:t>på e</w:t>
      </w:r>
      <w:r w:rsidR="00553D5A">
        <w:rPr>
          <w:szCs w:val="22"/>
        </w:rPr>
        <w:t xml:space="preserve">n uppfattning </w:t>
      </w:r>
      <w:r w:rsidR="003E5E28">
        <w:rPr>
          <w:szCs w:val="22"/>
        </w:rPr>
        <w:t xml:space="preserve">om </w:t>
      </w:r>
      <w:r w:rsidR="00E011B6">
        <w:rPr>
          <w:szCs w:val="22"/>
        </w:rPr>
        <w:t xml:space="preserve">dels </w:t>
      </w:r>
      <w:r w:rsidR="00553D5A">
        <w:rPr>
          <w:szCs w:val="22"/>
        </w:rPr>
        <w:t xml:space="preserve">att prissänkningar kommer att göra </w:t>
      </w:r>
      <w:r w:rsidR="00E011B6">
        <w:rPr>
          <w:szCs w:val="22"/>
        </w:rPr>
        <w:t>i</w:t>
      </w:r>
      <w:r w:rsidR="00E011B6">
        <w:rPr>
          <w:szCs w:val="22"/>
        </w:rPr>
        <w:t>n</w:t>
      </w:r>
      <w:r w:rsidR="00E011B6">
        <w:rPr>
          <w:szCs w:val="22"/>
        </w:rPr>
        <w:t>vesteringen mer lönsam om man väntar dels att en investering i solel inte lönar sig ekonomiskt.</w:t>
      </w:r>
      <w:r w:rsidR="003E5E28">
        <w:rPr>
          <w:szCs w:val="22"/>
        </w:rPr>
        <w:t xml:space="preserve"> För att landskapsregeringen ska nå sitt mål avseende den framtida andelen solenergi behöver landskapsregeringen </w:t>
      </w:r>
      <w:r w:rsidR="006761AD">
        <w:rPr>
          <w:szCs w:val="22"/>
        </w:rPr>
        <w:t>enligt utsko</w:t>
      </w:r>
      <w:r w:rsidR="006761AD">
        <w:rPr>
          <w:szCs w:val="22"/>
        </w:rPr>
        <w:t>t</w:t>
      </w:r>
      <w:r w:rsidR="006761AD">
        <w:rPr>
          <w:szCs w:val="22"/>
        </w:rPr>
        <w:t xml:space="preserve">tet </w:t>
      </w:r>
      <w:r w:rsidR="003E5E28">
        <w:rPr>
          <w:szCs w:val="22"/>
        </w:rPr>
        <w:t xml:space="preserve">intensifiera informationsinsatserna gentemot företagen.  </w:t>
      </w:r>
      <w:r w:rsidR="00E011B6">
        <w:rPr>
          <w:szCs w:val="22"/>
        </w:rPr>
        <w:t xml:space="preserve">  </w:t>
      </w:r>
      <w:r w:rsidR="00DA4DC7">
        <w:rPr>
          <w:szCs w:val="22"/>
        </w:rPr>
        <w:t xml:space="preserve"> </w:t>
      </w:r>
      <w:r w:rsidR="007D7247">
        <w:rPr>
          <w:szCs w:val="22"/>
        </w:rPr>
        <w:t xml:space="preserve"> </w:t>
      </w:r>
    </w:p>
    <w:p w:rsidR="007418F7" w:rsidRDefault="007418F7">
      <w:pPr>
        <w:pStyle w:val="ANormal"/>
        <w:rPr>
          <w:i/>
        </w:rPr>
      </w:pPr>
    </w:p>
    <w:p w:rsidR="00B31C53" w:rsidRDefault="00341E41">
      <w:pPr>
        <w:pStyle w:val="ANormal"/>
        <w:rPr>
          <w:i/>
        </w:rPr>
      </w:pPr>
      <w:r>
        <w:rPr>
          <w:i/>
        </w:rPr>
        <w:t>Skärgård</w:t>
      </w:r>
      <w:r w:rsidR="00755C75">
        <w:rPr>
          <w:i/>
        </w:rPr>
        <w:t>s</w:t>
      </w:r>
      <w:r>
        <w:rPr>
          <w:i/>
        </w:rPr>
        <w:t>trafiken</w:t>
      </w:r>
    </w:p>
    <w:p w:rsidR="0080609E" w:rsidRDefault="0080609E">
      <w:pPr>
        <w:pStyle w:val="ANormal"/>
        <w:rPr>
          <w:i/>
          <w:sz w:val="10"/>
          <w:szCs w:val="10"/>
        </w:rPr>
      </w:pPr>
    </w:p>
    <w:p w:rsidR="0080609E" w:rsidRPr="0080609E" w:rsidRDefault="00A27771">
      <w:pPr>
        <w:pStyle w:val="ANormal"/>
        <w:rPr>
          <w:szCs w:val="22"/>
        </w:rPr>
      </w:pPr>
      <w:r>
        <w:rPr>
          <w:szCs w:val="22"/>
        </w:rPr>
        <w:t xml:space="preserve">För att nå den övergripande målsättningen att 60 procent av den förbrukade energin ska vara förnyelsebar år 2030 </w:t>
      </w:r>
      <w:r w:rsidR="00797B16">
        <w:rPr>
          <w:szCs w:val="22"/>
        </w:rPr>
        <w:t xml:space="preserve">beskrivs </w:t>
      </w:r>
      <w:r w:rsidR="002C75D9">
        <w:rPr>
          <w:szCs w:val="22"/>
        </w:rPr>
        <w:t>i</w:t>
      </w:r>
      <w:r w:rsidR="00797B16">
        <w:rPr>
          <w:szCs w:val="22"/>
        </w:rPr>
        <w:t xml:space="preserve"> strategin ett </w:t>
      </w:r>
      <w:r w:rsidR="00BE1260">
        <w:rPr>
          <w:szCs w:val="22"/>
        </w:rPr>
        <w:t xml:space="preserve">scenario med ett </w:t>
      </w:r>
      <w:r w:rsidR="00797B16">
        <w:rPr>
          <w:szCs w:val="22"/>
        </w:rPr>
        <w:t>antal delmål</w:t>
      </w:r>
      <w:r w:rsidR="00AB5E06">
        <w:rPr>
          <w:szCs w:val="22"/>
        </w:rPr>
        <w:t xml:space="preserve">. </w:t>
      </w:r>
      <w:r w:rsidR="00797B16">
        <w:rPr>
          <w:szCs w:val="22"/>
        </w:rPr>
        <w:t xml:space="preserve"> För skärgårdstrafikens del anges att utsläppen från skä</w:t>
      </w:r>
      <w:r w:rsidR="00797B16">
        <w:rPr>
          <w:szCs w:val="22"/>
        </w:rPr>
        <w:t>r</w:t>
      </w:r>
      <w:r w:rsidR="00797B16">
        <w:rPr>
          <w:szCs w:val="22"/>
        </w:rPr>
        <w:t xml:space="preserve">gårdstrafiken </w:t>
      </w:r>
      <w:r w:rsidR="00AB5E06">
        <w:rPr>
          <w:szCs w:val="22"/>
        </w:rPr>
        <w:t xml:space="preserve">ska </w:t>
      </w:r>
      <w:r w:rsidR="00797B16">
        <w:rPr>
          <w:szCs w:val="22"/>
        </w:rPr>
        <w:t>minska med 50 procent jämfört med 2015 genom anvä</w:t>
      </w:r>
      <w:r w:rsidR="00797B16">
        <w:rPr>
          <w:szCs w:val="22"/>
        </w:rPr>
        <w:t>n</w:t>
      </w:r>
      <w:r w:rsidR="00797B16">
        <w:rPr>
          <w:szCs w:val="22"/>
        </w:rPr>
        <w:t xml:space="preserve">dande av förnyelsebara drivmedel, ändrade tidtabeller och nya rutter samt </w:t>
      </w:r>
      <w:r w:rsidR="00BE1260">
        <w:rPr>
          <w:szCs w:val="22"/>
        </w:rPr>
        <w:t xml:space="preserve">nya fartyg. </w:t>
      </w:r>
      <w:r w:rsidR="00DC0698">
        <w:rPr>
          <w:szCs w:val="22"/>
        </w:rPr>
        <w:t xml:space="preserve">Målet </w:t>
      </w:r>
      <w:r w:rsidR="002E0FD1">
        <w:rPr>
          <w:szCs w:val="22"/>
        </w:rPr>
        <w:t xml:space="preserve">till år 2030 </w:t>
      </w:r>
      <w:r w:rsidR="00DC0698">
        <w:rPr>
          <w:szCs w:val="22"/>
        </w:rPr>
        <w:t xml:space="preserve">är att nya frigående färjor och alla linfärjor </w:t>
      </w:r>
      <w:r w:rsidR="0003063E">
        <w:rPr>
          <w:szCs w:val="22"/>
        </w:rPr>
        <w:t xml:space="preserve">ska </w:t>
      </w:r>
      <w:r w:rsidR="00DC0698">
        <w:rPr>
          <w:szCs w:val="22"/>
        </w:rPr>
        <w:t>driv</w:t>
      </w:r>
      <w:r w:rsidR="0003063E">
        <w:rPr>
          <w:szCs w:val="22"/>
        </w:rPr>
        <w:t>a</w:t>
      </w:r>
      <w:r w:rsidR="00DC0698">
        <w:rPr>
          <w:szCs w:val="22"/>
        </w:rPr>
        <w:t xml:space="preserve">s med el. Under år 2018 avser landskapsregeringen </w:t>
      </w:r>
      <w:r w:rsidR="00BE1260">
        <w:rPr>
          <w:szCs w:val="22"/>
        </w:rPr>
        <w:t>att</w:t>
      </w:r>
      <w:r w:rsidR="00DC0698">
        <w:rPr>
          <w:szCs w:val="22"/>
        </w:rPr>
        <w:t xml:space="preserve"> ta fram en kravbeskrivning och begära in anbud för en hybridfärja med eldrift för Föglölinjen samt påbörja en kravspecifikation för ett mindre nybyggt fartyg för matartrafik.</w:t>
      </w:r>
      <w:r w:rsidR="00AD61D2">
        <w:rPr>
          <w:szCs w:val="22"/>
        </w:rPr>
        <w:t xml:space="preserve"> </w:t>
      </w:r>
      <w:r w:rsidR="0080609E">
        <w:rPr>
          <w:szCs w:val="22"/>
        </w:rPr>
        <w:t xml:space="preserve">Utskottet </w:t>
      </w:r>
      <w:r w:rsidR="002E0FD1">
        <w:rPr>
          <w:szCs w:val="22"/>
        </w:rPr>
        <w:t>välkomnar alla åtgärder inom skärgårdstrafikens område som leder till m</w:t>
      </w:r>
      <w:r w:rsidR="004371EC">
        <w:rPr>
          <w:szCs w:val="22"/>
        </w:rPr>
        <w:t>inska</w:t>
      </w:r>
      <w:r w:rsidR="002E0FD1">
        <w:rPr>
          <w:szCs w:val="22"/>
        </w:rPr>
        <w:t>d</w:t>
      </w:r>
      <w:r w:rsidR="004371EC">
        <w:rPr>
          <w:szCs w:val="22"/>
        </w:rPr>
        <w:t xml:space="preserve"> fossilbränsleanvä</w:t>
      </w:r>
      <w:r w:rsidR="002E0FD1">
        <w:rPr>
          <w:szCs w:val="22"/>
        </w:rPr>
        <w:t>n</w:t>
      </w:r>
      <w:r w:rsidR="004371EC">
        <w:rPr>
          <w:szCs w:val="22"/>
        </w:rPr>
        <w:t>dning</w:t>
      </w:r>
      <w:r w:rsidR="0080609E">
        <w:rPr>
          <w:szCs w:val="22"/>
        </w:rPr>
        <w:t>.</w:t>
      </w:r>
    </w:p>
    <w:p w:rsidR="0080609E" w:rsidRDefault="0080609E">
      <w:pPr>
        <w:pStyle w:val="ANormal"/>
        <w:rPr>
          <w:i/>
        </w:rPr>
      </w:pPr>
    </w:p>
    <w:p w:rsidR="00775A94" w:rsidRDefault="00775A94">
      <w:pPr>
        <w:pStyle w:val="ANormal"/>
        <w:rPr>
          <w:i/>
        </w:rPr>
      </w:pPr>
      <w:r>
        <w:rPr>
          <w:i/>
        </w:rPr>
        <w:t>CO</w:t>
      </w:r>
      <w:r w:rsidRPr="00155B1A">
        <w:rPr>
          <w:i/>
          <w:vertAlign w:val="subscript"/>
        </w:rPr>
        <w:t>2</w:t>
      </w:r>
      <w:r>
        <w:rPr>
          <w:i/>
        </w:rPr>
        <w:t xml:space="preserve"> – budget</w:t>
      </w:r>
    </w:p>
    <w:p w:rsidR="00155B1A" w:rsidRDefault="00155B1A">
      <w:pPr>
        <w:pStyle w:val="ANormal"/>
        <w:rPr>
          <w:i/>
          <w:sz w:val="10"/>
          <w:szCs w:val="10"/>
        </w:rPr>
      </w:pPr>
    </w:p>
    <w:p w:rsidR="00155B1A" w:rsidRPr="00155B1A" w:rsidRDefault="00155B1A">
      <w:pPr>
        <w:pStyle w:val="ANormal"/>
        <w:rPr>
          <w:szCs w:val="22"/>
        </w:rPr>
      </w:pPr>
      <w:r>
        <w:rPr>
          <w:szCs w:val="22"/>
        </w:rPr>
        <w:t>Landskapsregeringen avser enligt strategin att uppgöra en åtgärdsplan i form av en CO</w:t>
      </w:r>
      <w:r w:rsidRPr="00155B1A">
        <w:rPr>
          <w:szCs w:val="22"/>
          <w:vertAlign w:val="subscript"/>
        </w:rPr>
        <w:t>2</w:t>
      </w:r>
      <w:r>
        <w:rPr>
          <w:szCs w:val="22"/>
        </w:rPr>
        <w:t>-budget för Åland.</w:t>
      </w:r>
      <w:r w:rsidR="0069425F">
        <w:rPr>
          <w:szCs w:val="22"/>
        </w:rPr>
        <w:t xml:space="preserve"> </w:t>
      </w:r>
      <w:r w:rsidR="009B6E20">
        <w:rPr>
          <w:szCs w:val="22"/>
        </w:rPr>
        <w:t>Vid uppgörandet av en CO</w:t>
      </w:r>
      <w:r w:rsidR="009B6E20" w:rsidRPr="00155B1A">
        <w:rPr>
          <w:szCs w:val="22"/>
          <w:vertAlign w:val="subscript"/>
        </w:rPr>
        <w:t>2</w:t>
      </w:r>
      <w:r w:rsidR="009B6E20">
        <w:rPr>
          <w:szCs w:val="22"/>
        </w:rPr>
        <w:t>-budget b</w:t>
      </w:r>
      <w:r w:rsidR="009B6E20">
        <w:rPr>
          <w:szCs w:val="22"/>
        </w:rPr>
        <w:t>e</w:t>
      </w:r>
      <w:r w:rsidR="009B6E20">
        <w:rPr>
          <w:szCs w:val="22"/>
        </w:rPr>
        <w:t xml:space="preserve">stäms hur stora utsläppen får vara </w:t>
      </w:r>
      <w:r w:rsidR="00EE31D8">
        <w:rPr>
          <w:szCs w:val="22"/>
        </w:rPr>
        <w:t>under ett år</w:t>
      </w:r>
      <w:r w:rsidR="009B6E20">
        <w:rPr>
          <w:szCs w:val="22"/>
        </w:rPr>
        <w:t>, vilket skiljer sig markant från hur utsläppsmålen vanligtvis fastställs idag. Vanligtvis fastställs målen idag efter hur mycket utsläppen ska minska procentuellt ett visst år i fra</w:t>
      </w:r>
      <w:r w:rsidR="009B6E20">
        <w:rPr>
          <w:szCs w:val="22"/>
        </w:rPr>
        <w:t>m</w:t>
      </w:r>
      <w:r w:rsidR="009B6E20">
        <w:rPr>
          <w:szCs w:val="22"/>
        </w:rPr>
        <w:t>tiden. Enligt energi- och klimatstrategin är till exempel e</w:t>
      </w:r>
      <w:r w:rsidR="00A368A1">
        <w:rPr>
          <w:szCs w:val="22"/>
        </w:rPr>
        <w:t>tt</w:t>
      </w:r>
      <w:r w:rsidR="009B6E20">
        <w:rPr>
          <w:szCs w:val="22"/>
        </w:rPr>
        <w:t xml:space="preserve"> av de övergr</w:t>
      </w:r>
      <w:r w:rsidR="009B6E20">
        <w:rPr>
          <w:szCs w:val="22"/>
        </w:rPr>
        <w:t>i</w:t>
      </w:r>
      <w:r w:rsidR="009B6E20">
        <w:rPr>
          <w:szCs w:val="22"/>
        </w:rPr>
        <w:t>pande målen att Åland senast till år 2030 ska ha 60 procent lägre växthu</w:t>
      </w:r>
      <w:r w:rsidR="009B6E20">
        <w:rPr>
          <w:szCs w:val="22"/>
        </w:rPr>
        <w:t>s</w:t>
      </w:r>
      <w:r w:rsidR="009B6E20">
        <w:rPr>
          <w:szCs w:val="22"/>
        </w:rPr>
        <w:t xml:space="preserve">gasutsläpp jämfört med år 2005. </w:t>
      </w:r>
      <w:r w:rsidR="00C33597">
        <w:rPr>
          <w:szCs w:val="22"/>
        </w:rPr>
        <w:t>Vid uppgörandet av en CO</w:t>
      </w:r>
      <w:r w:rsidR="00C33597" w:rsidRPr="00CD6025">
        <w:rPr>
          <w:szCs w:val="22"/>
          <w:vertAlign w:val="subscript"/>
        </w:rPr>
        <w:t>2</w:t>
      </w:r>
      <w:r w:rsidR="00C33597">
        <w:rPr>
          <w:szCs w:val="22"/>
        </w:rPr>
        <w:t xml:space="preserve">-budget </w:t>
      </w:r>
      <w:r w:rsidR="00EE31D8">
        <w:rPr>
          <w:szCs w:val="22"/>
        </w:rPr>
        <w:t>fas</w:t>
      </w:r>
      <w:r w:rsidR="00EE31D8">
        <w:rPr>
          <w:szCs w:val="22"/>
        </w:rPr>
        <w:t>t</w:t>
      </w:r>
      <w:r w:rsidR="00EE31D8">
        <w:rPr>
          <w:szCs w:val="22"/>
        </w:rPr>
        <w:t>ställ</w:t>
      </w:r>
      <w:r w:rsidR="0091688F">
        <w:rPr>
          <w:szCs w:val="22"/>
        </w:rPr>
        <w:t xml:space="preserve">s </w:t>
      </w:r>
      <w:r w:rsidR="001168DE">
        <w:rPr>
          <w:szCs w:val="22"/>
        </w:rPr>
        <w:t xml:space="preserve">en gräns för hur stora de lokala koldioxidutsläppen får vara </w:t>
      </w:r>
      <w:r w:rsidR="0091688F">
        <w:rPr>
          <w:szCs w:val="22"/>
        </w:rPr>
        <w:t xml:space="preserve">under ett </w:t>
      </w:r>
      <w:r w:rsidR="00EE31D8">
        <w:rPr>
          <w:szCs w:val="22"/>
        </w:rPr>
        <w:t xml:space="preserve">år </w:t>
      </w:r>
      <w:r w:rsidR="0091688F">
        <w:rPr>
          <w:szCs w:val="22"/>
        </w:rPr>
        <w:t>ut</w:t>
      </w:r>
      <w:r w:rsidR="00EE31D8">
        <w:rPr>
          <w:szCs w:val="22"/>
        </w:rPr>
        <w:t>gå</w:t>
      </w:r>
      <w:r w:rsidR="0091688F">
        <w:rPr>
          <w:szCs w:val="22"/>
        </w:rPr>
        <w:t xml:space="preserve">ende från </w:t>
      </w:r>
      <w:r w:rsidR="00C33597">
        <w:rPr>
          <w:szCs w:val="22"/>
        </w:rPr>
        <w:t>Parisavtalets målsättning att jordens temperaturförhöjning ska begränsas till högst 1,5 grader Cel</w:t>
      </w:r>
      <w:r w:rsidR="00CD6025">
        <w:rPr>
          <w:szCs w:val="22"/>
        </w:rPr>
        <w:t>s</w:t>
      </w:r>
      <w:r w:rsidR="00C33597">
        <w:rPr>
          <w:szCs w:val="22"/>
        </w:rPr>
        <w:t>ius</w:t>
      </w:r>
      <w:r w:rsidR="00EE31D8">
        <w:rPr>
          <w:szCs w:val="22"/>
        </w:rPr>
        <w:t xml:space="preserve">. Utskottet </w:t>
      </w:r>
      <w:r w:rsidR="0091688F">
        <w:rPr>
          <w:szCs w:val="22"/>
        </w:rPr>
        <w:t>ser mycket pos</w:t>
      </w:r>
      <w:r w:rsidR="00A368A1">
        <w:rPr>
          <w:szCs w:val="22"/>
        </w:rPr>
        <w:t>i</w:t>
      </w:r>
      <w:r w:rsidR="0091688F">
        <w:rPr>
          <w:szCs w:val="22"/>
        </w:rPr>
        <w:t xml:space="preserve">tivt på </w:t>
      </w:r>
      <w:r w:rsidR="00A368A1">
        <w:rPr>
          <w:szCs w:val="22"/>
        </w:rPr>
        <w:lastRenderedPageBreak/>
        <w:t>landskapsregeringens</w:t>
      </w:r>
      <w:r w:rsidR="00EE31D8">
        <w:rPr>
          <w:szCs w:val="22"/>
        </w:rPr>
        <w:t xml:space="preserve"> avsikt att uppgöra en CO</w:t>
      </w:r>
      <w:r w:rsidR="00EE31D8" w:rsidRPr="00A368A1">
        <w:rPr>
          <w:szCs w:val="22"/>
          <w:vertAlign w:val="subscript"/>
        </w:rPr>
        <w:t>2</w:t>
      </w:r>
      <w:r w:rsidR="00EE31D8">
        <w:rPr>
          <w:szCs w:val="22"/>
        </w:rPr>
        <w:t>-budget</w:t>
      </w:r>
      <w:r w:rsidR="00ED25C6">
        <w:rPr>
          <w:szCs w:val="22"/>
        </w:rPr>
        <w:t>. En utmaning för</w:t>
      </w:r>
      <w:r w:rsidR="00ED25C6">
        <w:rPr>
          <w:szCs w:val="22"/>
        </w:rPr>
        <w:t>u</w:t>
      </w:r>
      <w:r w:rsidR="00ED25C6">
        <w:rPr>
          <w:szCs w:val="22"/>
        </w:rPr>
        <w:t xml:space="preserve">tom att få ned de årliga koldioxidutsläppen tillräckligt är </w:t>
      </w:r>
      <w:r w:rsidR="00A15C76">
        <w:rPr>
          <w:szCs w:val="22"/>
        </w:rPr>
        <w:t xml:space="preserve">dock </w:t>
      </w:r>
      <w:r w:rsidR="00ED25C6">
        <w:rPr>
          <w:szCs w:val="22"/>
        </w:rPr>
        <w:t>att det idag saknas</w:t>
      </w:r>
      <w:r w:rsidR="0058134C">
        <w:rPr>
          <w:szCs w:val="22"/>
        </w:rPr>
        <w:t xml:space="preserve"> </w:t>
      </w:r>
      <w:r w:rsidR="00A368A1">
        <w:rPr>
          <w:szCs w:val="22"/>
        </w:rPr>
        <w:t xml:space="preserve">ett användbart och konkret mått för </w:t>
      </w:r>
      <w:r w:rsidR="00ED25C6">
        <w:rPr>
          <w:szCs w:val="22"/>
        </w:rPr>
        <w:t xml:space="preserve">att mäta </w:t>
      </w:r>
      <w:r w:rsidR="00A368A1">
        <w:rPr>
          <w:szCs w:val="22"/>
        </w:rPr>
        <w:t>koldioxidavtryck</w:t>
      </w:r>
      <w:r w:rsidR="0058134C">
        <w:rPr>
          <w:szCs w:val="22"/>
        </w:rPr>
        <w:t xml:space="preserve"> för alla typer av produkter, tjänster och verksamheter</w:t>
      </w:r>
      <w:r w:rsidR="00A368A1">
        <w:rPr>
          <w:szCs w:val="22"/>
        </w:rPr>
        <w:t xml:space="preserve">.   </w:t>
      </w:r>
      <w:r w:rsidR="00EE31D8">
        <w:rPr>
          <w:szCs w:val="22"/>
        </w:rPr>
        <w:t xml:space="preserve"> </w:t>
      </w:r>
      <w:r w:rsidR="00C33597">
        <w:rPr>
          <w:szCs w:val="22"/>
        </w:rPr>
        <w:t xml:space="preserve"> </w:t>
      </w:r>
      <w:r w:rsidR="009B6E20">
        <w:rPr>
          <w:szCs w:val="22"/>
        </w:rPr>
        <w:t xml:space="preserve">   </w:t>
      </w:r>
      <w:r w:rsidR="00707200">
        <w:rPr>
          <w:szCs w:val="22"/>
        </w:rPr>
        <w:t xml:space="preserve"> </w:t>
      </w:r>
      <w:r w:rsidR="0069425F">
        <w:rPr>
          <w:szCs w:val="22"/>
        </w:rPr>
        <w:t xml:space="preserve"> </w:t>
      </w:r>
    </w:p>
    <w:p w:rsidR="00155B1A" w:rsidRPr="00155B1A" w:rsidRDefault="00155B1A">
      <w:pPr>
        <w:pStyle w:val="ANormal"/>
        <w:rPr>
          <w:szCs w:val="22"/>
        </w:rPr>
      </w:pPr>
    </w:p>
    <w:p w:rsidR="00AD61D2" w:rsidRDefault="00B929E6" w:rsidP="00AD61D2">
      <w:pPr>
        <w:pStyle w:val="ANormal"/>
        <w:rPr>
          <w:i/>
        </w:rPr>
      </w:pPr>
      <w:r>
        <w:rPr>
          <w:i/>
        </w:rPr>
        <w:t xml:space="preserve">Samarbetet med </w:t>
      </w:r>
      <w:r w:rsidR="00AD61D2">
        <w:rPr>
          <w:i/>
        </w:rPr>
        <w:t>C</w:t>
      </w:r>
      <w:r w:rsidR="00335488">
        <w:rPr>
          <w:i/>
        </w:rPr>
        <w:t xml:space="preserve">LIC </w:t>
      </w:r>
      <w:r w:rsidR="00AD61D2">
        <w:rPr>
          <w:i/>
        </w:rPr>
        <w:t>Innovation</w:t>
      </w:r>
    </w:p>
    <w:p w:rsidR="00AD61D2" w:rsidRDefault="00AD61D2" w:rsidP="00AD61D2">
      <w:pPr>
        <w:pStyle w:val="ANormal"/>
        <w:rPr>
          <w:i/>
          <w:sz w:val="10"/>
          <w:szCs w:val="10"/>
        </w:rPr>
      </w:pPr>
    </w:p>
    <w:p w:rsidR="00AD61D2" w:rsidRPr="006761AD" w:rsidRDefault="00AD61D2" w:rsidP="00AD61D2">
      <w:pPr>
        <w:pStyle w:val="ANormal"/>
        <w:rPr>
          <w:szCs w:val="22"/>
          <w:lang w:val="sv-FI"/>
        </w:rPr>
      </w:pPr>
      <w:r w:rsidRPr="006761AD">
        <w:rPr>
          <w:szCs w:val="22"/>
          <w:lang w:val="sv-FI"/>
        </w:rPr>
        <w:t>Landskapsregeringen inledde år 2014 ett samarbete med C</w:t>
      </w:r>
      <w:r w:rsidR="00335488">
        <w:rPr>
          <w:szCs w:val="22"/>
          <w:lang w:val="sv-FI"/>
        </w:rPr>
        <w:t xml:space="preserve">LIC </w:t>
      </w:r>
      <w:r w:rsidRPr="006761AD">
        <w:rPr>
          <w:szCs w:val="22"/>
          <w:lang w:val="sv-FI"/>
        </w:rPr>
        <w:t xml:space="preserve">Innovation, ett </w:t>
      </w:r>
      <w:r w:rsidR="0056459E">
        <w:rPr>
          <w:szCs w:val="22"/>
          <w:lang w:val="sv-FI"/>
        </w:rPr>
        <w:t xml:space="preserve">innovationskluster </w:t>
      </w:r>
      <w:r w:rsidRPr="006761AD">
        <w:rPr>
          <w:szCs w:val="22"/>
          <w:lang w:val="sv-FI"/>
        </w:rPr>
        <w:t>vars uppdrag är att skapa banbrytande lösningar inom områdena bioekonomi, energi och cleantech</w:t>
      </w:r>
      <w:r w:rsidR="00335488">
        <w:rPr>
          <w:szCs w:val="22"/>
          <w:lang w:val="sv-FI"/>
        </w:rPr>
        <w:t xml:space="preserve">, för att utreda möjligheterna </w:t>
      </w:r>
      <w:r w:rsidRPr="006761AD">
        <w:rPr>
          <w:szCs w:val="22"/>
          <w:lang w:val="sv-FI"/>
        </w:rPr>
        <w:t xml:space="preserve">att på Åland skapa en </w:t>
      </w:r>
      <w:r w:rsidR="00B929E6">
        <w:rPr>
          <w:szCs w:val="22"/>
          <w:lang w:val="sv-FI"/>
        </w:rPr>
        <w:t>demonstrations</w:t>
      </w:r>
      <w:r w:rsidRPr="006761AD">
        <w:rPr>
          <w:szCs w:val="22"/>
          <w:lang w:val="sv-FI"/>
        </w:rPr>
        <w:t>plattform för hållbara och flexibla energ</w:t>
      </w:r>
      <w:r w:rsidRPr="006761AD">
        <w:rPr>
          <w:szCs w:val="22"/>
          <w:lang w:val="sv-FI"/>
        </w:rPr>
        <w:t>i</w:t>
      </w:r>
      <w:r w:rsidRPr="006761AD">
        <w:rPr>
          <w:szCs w:val="22"/>
          <w:lang w:val="sv-FI"/>
        </w:rPr>
        <w:t>lösningar</w:t>
      </w:r>
      <w:r w:rsidR="003D119C">
        <w:rPr>
          <w:szCs w:val="22"/>
          <w:lang w:val="sv-FI"/>
        </w:rPr>
        <w:t xml:space="preserve">. </w:t>
      </w:r>
      <w:r w:rsidR="002C5F30" w:rsidRPr="006761AD">
        <w:rPr>
          <w:szCs w:val="22"/>
          <w:lang w:val="sv-FI"/>
        </w:rPr>
        <w:t xml:space="preserve">Målsättningen med plattformen </w:t>
      </w:r>
      <w:r w:rsidR="00954475">
        <w:rPr>
          <w:szCs w:val="22"/>
          <w:lang w:val="sv-FI"/>
        </w:rPr>
        <w:t xml:space="preserve">är </w:t>
      </w:r>
      <w:r w:rsidR="002C5F30" w:rsidRPr="006761AD">
        <w:rPr>
          <w:szCs w:val="22"/>
          <w:lang w:val="sv-FI"/>
        </w:rPr>
        <w:t>att möjliggöra en flexibel energimarknad som baseras på 100 procent förnyelsebar energi. </w:t>
      </w:r>
      <w:r w:rsidR="008E3F93">
        <w:rPr>
          <w:szCs w:val="22"/>
          <w:lang w:val="sv-FI"/>
        </w:rPr>
        <w:t>Ål</w:t>
      </w:r>
      <w:r w:rsidRPr="006761AD">
        <w:rPr>
          <w:szCs w:val="22"/>
          <w:lang w:val="sv-FI"/>
        </w:rPr>
        <w:t>and b</w:t>
      </w:r>
      <w:r w:rsidRPr="006761AD">
        <w:rPr>
          <w:szCs w:val="22"/>
          <w:lang w:val="sv-FI"/>
        </w:rPr>
        <w:t>e</w:t>
      </w:r>
      <w:r w:rsidRPr="006761AD">
        <w:rPr>
          <w:szCs w:val="22"/>
          <w:lang w:val="sv-FI"/>
        </w:rPr>
        <w:t>döm</w:t>
      </w:r>
      <w:r w:rsidR="00954475">
        <w:rPr>
          <w:szCs w:val="22"/>
          <w:lang w:val="sv-FI"/>
        </w:rPr>
        <w:t>s</w:t>
      </w:r>
      <w:r w:rsidRPr="006761AD">
        <w:rPr>
          <w:szCs w:val="22"/>
          <w:lang w:val="sv-FI"/>
        </w:rPr>
        <w:t xml:space="preserve"> som särskilt lämpligt för skapandet av en demonstrationsplattform av flera orsaker. Åland är kopplat till både det svenska och finska elnätet. Vindkraft täcker ungefär 20 procent av det lokala energibehovet och Åland har stor potential för sol- och vindenergi. Dessutom anses transmissions- och distributionsnäten på Åland väl lämpade att </w:t>
      </w:r>
      <w:r w:rsidR="003D119C">
        <w:rPr>
          <w:szCs w:val="22"/>
          <w:lang w:val="sv-FI"/>
        </w:rPr>
        <w:t xml:space="preserve">bli </w:t>
      </w:r>
      <w:r w:rsidRPr="006761AD">
        <w:rPr>
          <w:szCs w:val="22"/>
          <w:lang w:val="sv-FI"/>
        </w:rPr>
        <w:t>demonstrationsplat</w:t>
      </w:r>
      <w:r w:rsidRPr="006761AD">
        <w:rPr>
          <w:szCs w:val="22"/>
          <w:lang w:val="sv-FI"/>
        </w:rPr>
        <w:t>t</w:t>
      </w:r>
      <w:r w:rsidRPr="006761AD">
        <w:rPr>
          <w:szCs w:val="22"/>
          <w:lang w:val="sv-FI"/>
        </w:rPr>
        <w:t>form för smarta elnät. Genom att använda Ålands elnät finns möjligheter till storskaliga tester av komponenter, sy</w:t>
      </w:r>
      <w:r w:rsidR="008E3F93">
        <w:rPr>
          <w:szCs w:val="22"/>
          <w:lang w:val="sv-FI"/>
        </w:rPr>
        <w:t>stem och tjänster</w:t>
      </w:r>
      <w:r w:rsidRPr="006761AD">
        <w:rPr>
          <w:szCs w:val="22"/>
          <w:lang w:val="sv-FI"/>
        </w:rPr>
        <w:t>.</w:t>
      </w:r>
      <w:r w:rsidR="008E3F93">
        <w:rPr>
          <w:szCs w:val="22"/>
          <w:lang w:val="sv-FI"/>
        </w:rPr>
        <w:t xml:space="preserve"> </w:t>
      </w:r>
      <w:r w:rsidRPr="006761AD">
        <w:rPr>
          <w:szCs w:val="22"/>
          <w:lang w:val="sv-FI"/>
        </w:rPr>
        <w:t>Utskottet har e</w:t>
      </w:r>
      <w:r w:rsidRPr="006761AD">
        <w:rPr>
          <w:szCs w:val="22"/>
          <w:lang w:val="sv-FI"/>
        </w:rPr>
        <w:t>r</w:t>
      </w:r>
      <w:r w:rsidRPr="006761AD">
        <w:rPr>
          <w:szCs w:val="22"/>
          <w:lang w:val="sv-FI"/>
        </w:rPr>
        <w:t>farit att samarbetet med C</w:t>
      </w:r>
      <w:r w:rsidR="00335488">
        <w:rPr>
          <w:szCs w:val="22"/>
          <w:lang w:val="sv-FI"/>
        </w:rPr>
        <w:t xml:space="preserve">LIC </w:t>
      </w:r>
      <w:r w:rsidRPr="006761AD">
        <w:rPr>
          <w:szCs w:val="22"/>
          <w:lang w:val="sv-FI"/>
        </w:rPr>
        <w:t xml:space="preserve">Innovation fortskrider </w:t>
      </w:r>
      <w:r w:rsidR="008E3F93">
        <w:rPr>
          <w:szCs w:val="22"/>
          <w:lang w:val="sv-FI"/>
        </w:rPr>
        <w:t xml:space="preserve">planenligt </w:t>
      </w:r>
      <w:r w:rsidRPr="006761AD">
        <w:rPr>
          <w:szCs w:val="22"/>
          <w:lang w:val="sv-FI"/>
        </w:rPr>
        <w:t>och att ett antal spjutspetsprojekt</w:t>
      </w:r>
      <w:r w:rsidR="00335488">
        <w:rPr>
          <w:szCs w:val="22"/>
          <w:lang w:val="sv-FI"/>
        </w:rPr>
        <w:t>,</w:t>
      </w:r>
      <w:r w:rsidRPr="006761AD">
        <w:rPr>
          <w:szCs w:val="22"/>
          <w:lang w:val="sv-FI"/>
        </w:rPr>
        <w:t xml:space="preserve"> som leds av ledande företag inom branschen</w:t>
      </w:r>
      <w:r w:rsidR="00335488">
        <w:rPr>
          <w:szCs w:val="22"/>
          <w:lang w:val="sv-FI"/>
        </w:rPr>
        <w:t>,</w:t>
      </w:r>
      <w:r w:rsidRPr="006761AD">
        <w:rPr>
          <w:szCs w:val="22"/>
          <w:lang w:val="sv-FI"/>
        </w:rPr>
        <w:t xml:space="preserve"> fort</w:t>
      </w:r>
      <w:r w:rsidRPr="006761AD">
        <w:rPr>
          <w:szCs w:val="22"/>
          <w:lang w:val="sv-FI"/>
        </w:rPr>
        <w:t>s</w:t>
      </w:r>
      <w:r w:rsidRPr="006761AD">
        <w:rPr>
          <w:szCs w:val="22"/>
          <w:lang w:val="sv-FI"/>
        </w:rPr>
        <w:t xml:space="preserve">ätter under år 2018. Utskottet </w:t>
      </w:r>
      <w:r w:rsidR="002C5F30">
        <w:rPr>
          <w:szCs w:val="22"/>
          <w:lang w:val="sv-FI"/>
        </w:rPr>
        <w:t xml:space="preserve">ser mycket positivt på samarbetet med CLIC Innovation </w:t>
      </w:r>
      <w:r w:rsidR="008E3F93">
        <w:rPr>
          <w:szCs w:val="22"/>
          <w:lang w:val="sv-FI"/>
        </w:rPr>
        <w:t>och k</w:t>
      </w:r>
      <w:r w:rsidRPr="006761AD">
        <w:rPr>
          <w:szCs w:val="22"/>
          <w:lang w:val="sv-FI"/>
        </w:rPr>
        <w:t>onstaterar i likhet med landsk</w:t>
      </w:r>
      <w:r w:rsidR="00335488">
        <w:rPr>
          <w:szCs w:val="22"/>
          <w:lang w:val="sv-FI"/>
        </w:rPr>
        <w:t>aps</w:t>
      </w:r>
      <w:r w:rsidRPr="006761AD">
        <w:rPr>
          <w:szCs w:val="22"/>
          <w:lang w:val="sv-FI"/>
        </w:rPr>
        <w:t>regeringen att samarbetet med CLIC Innovation främjar strävan</w:t>
      </w:r>
      <w:r w:rsidR="008E3F93">
        <w:rPr>
          <w:szCs w:val="22"/>
          <w:lang w:val="sv-FI"/>
        </w:rPr>
        <w:t xml:space="preserve">dena </w:t>
      </w:r>
      <w:r w:rsidRPr="006761AD">
        <w:rPr>
          <w:szCs w:val="22"/>
          <w:lang w:val="sv-FI"/>
        </w:rPr>
        <w:t>att uppnå</w:t>
      </w:r>
      <w:r w:rsidR="008E3F93">
        <w:rPr>
          <w:szCs w:val="22"/>
          <w:lang w:val="sv-FI"/>
        </w:rPr>
        <w:t xml:space="preserve"> ett hållbart Åland</w:t>
      </w:r>
      <w:r w:rsidRPr="006761AD">
        <w:rPr>
          <w:szCs w:val="22"/>
          <w:lang w:val="sv-FI"/>
        </w:rPr>
        <w:t>, samtidigt som samarbetet förbättrar möjligheterna att genomföra konkreta utvecklingsprojekt och stärker kontakterna mellan företag, myndigheter och forskning i Finland och på Åland.</w:t>
      </w:r>
    </w:p>
    <w:p w:rsidR="00AD61D2" w:rsidRPr="006761AD" w:rsidRDefault="00AD61D2" w:rsidP="00AD61D2">
      <w:pPr>
        <w:pStyle w:val="ANormal"/>
        <w:rPr>
          <w:szCs w:val="22"/>
          <w:lang w:val="sv-FI"/>
        </w:rPr>
      </w:pPr>
    </w:p>
    <w:p w:rsidR="002401D0" w:rsidRDefault="002401D0">
      <w:pPr>
        <w:pStyle w:val="RubrikA"/>
      </w:pPr>
      <w:bookmarkStart w:id="11" w:name="_Toc529800936"/>
      <w:bookmarkStart w:id="12" w:name="_Toc499117016"/>
      <w:r>
        <w:t>Ärendets behandling</w:t>
      </w:r>
      <w:bookmarkEnd w:id="11"/>
      <w:bookmarkEnd w:id="12"/>
    </w:p>
    <w:p w:rsidR="002401D0" w:rsidRDefault="002401D0">
      <w:pPr>
        <w:pStyle w:val="Rubrikmellanrum"/>
      </w:pPr>
    </w:p>
    <w:p w:rsidR="00EC46F2" w:rsidRDefault="00EC46F2" w:rsidP="00EC46F2">
      <w:pPr>
        <w:pStyle w:val="ANormal"/>
      </w:pPr>
      <w:r>
        <w:t xml:space="preserve">Lagtinget har den 11 </w:t>
      </w:r>
      <w:r w:rsidR="001D28AF">
        <w:t>september</w:t>
      </w:r>
      <w:r>
        <w:t xml:space="preserve"> 2017</w:t>
      </w:r>
      <w:r w:rsidRPr="009A273F">
        <w:t xml:space="preserve"> inbegärt </w:t>
      </w:r>
      <w:r>
        <w:t>social- och miljöutskottets</w:t>
      </w:r>
      <w:r w:rsidRPr="009A273F">
        <w:t xml:space="preserve"> yttrande i ärendet.</w:t>
      </w:r>
    </w:p>
    <w:p w:rsidR="00C5500B" w:rsidRDefault="00EC46F2" w:rsidP="00EC46F2">
      <w:pPr>
        <w:pStyle w:val="ANormal"/>
      </w:pPr>
      <w:r>
        <w:tab/>
        <w:t>Utskottet har i ärendet hört</w:t>
      </w:r>
      <w:r w:rsidR="004904C9">
        <w:t xml:space="preserve"> </w:t>
      </w:r>
      <w:r w:rsidR="00366085">
        <w:t xml:space="preserve">vicelantrådet Camilla Gunell, </w:t>
      </w:r>
      <w:r w:rsidR="004904C9">
        <w:t xml:space="preserve">ministern Mika Nordberg, </w:t>
      </w:r>
      <w:r w:rsidR="004E382D">
        <w:t xml:space="preserve">VD:n Joakim Blom från Ålands Skogsindustier Ab, </w:t>
      </w:r>
      <w:r w:rsidR="004572C5">
        <w:t xml:space="preserve">VD:n Jan-Erik Eriksson från Solel Åland Ab, </w:t>
      </w:r>
      <w:r w:rsidR="004904C9">
        <w:t>tekniska inspektören Magnus E</w:t>
      </w:r>
      <w:r w:rsidR="004904C9">
        <w:t>r</w:t>
      </w:r>
      <w:r w:rsidR="004904C9">
        <w:t>iksson, inspektören för el</w:t>
      </w:r>
      <w:r w:rsidR="009D0346">
        <w:t>-</w:t>
      </w:r>
      <w:r w:rsidR="004904C9">
        <w:t xml:space="preserve"> och energi Henrik Juslin, avdelningschefen Ra</w:t>
      </w:r>
      <w:r w:rsidR="004904C9">
        <w:t>i</w:t>
      </w:r>
      <w:r w:rsidR="004904C9">
        <w:t>ner Juslin, VD:n Jan Kahlroth från Kraftnät Åland Ab, VD:n David Karl</w:t>
      </w:r>
      <w:r w:rsidR="004904C9">
        <w:t>s</w:t>
      </w:r>
      <w:r w:rsidR="004904C9">
        <w:t xml:space="preserve">son från Ålands Elandelslag, </w:t>
      </w:r>
      <w:r w:rsidR="0016482A">
        <w:t xml:space="preserve">VD:n Lasse Lindgren från HelioZenit Ab, </w:t>
      </w:r>
      <w:r w:rsidR="004904C9">
        <w:t xml:space="preserve">VD:n Henrik Lindqvist från Allwinds Ab, elinspektören Johnny Lindström, </w:t>
      </w:r>
      <w:r w:rsidR="00366085">
        <w:t>inspektören för bostads-, plan</w:t>
      </w:r>
      <w:r w:rsidR="003B017E">
        <w:t>-</w:t>
      </w:r>
      <w:r w:rsidR="00366085">
        <w:t xml:space="preserve"> och byggfrågor Andreas Nyberg, </w:t>
      </w:r>
      <w:r w:rsidR="004904C9">
        <w:t>VD:n St</w:t>
      </w:r>
      <w:r w:rsidR="004904C9">
        <w:t>e</w:t>
      </w:r>
      <w:r w:rsidR="004904C9">
        <w:t xml:space="preserve">fan Rumander från Fastighetsverket, </w:t>
      </w:r>
      <w:r w:rsidR="00C5500B">
        <w:t>styrelseordföranden Patrik Törnroos frå</w:t>
      </w:r>
      <w:r w:rsidR="003562D7">
        <w:t>n</w:t>
      </w:r>
      <w:r w:rsidR="00C5500B">
        <w:t xml:space="preserve"> Solel Åland Ab och </w:t>
      </w:r>
      <w:r w:rsidR="004904C9">
        <w:t>projektanställde Gunnar Westling.</w:t>
      </w:r>
      <w:r>
        <w:tab/>
      </w:r>
    </w:p>
    <w:p w:rsidR="00EC46F2" w:rsidRPr="00D91EE7" w:rsidRDefault="00C5500B" w:rsidP="00EC46F2">
      <w:pPr>
        <w:pStyle w:val="ANormal"/>
      </w:pPr>
      <w:r>
        <w:tab/>
      </w:r>
      <w:r w:rsidR="00EC46F2" w:rsidRPr="009A273F">
        <w:t xml:space="preserve">I ärendets avgörande behandling deltog ordföranden </w:t>
      </w:r>
      <w:r w:rsidR="00EC46F2" w:rsidRPr="00D91EE7">
        <w:t xml:space="preserve">Carina Aaltonen, </w:t>
      </w:r>
    </w:p>
    <w:p w:rsidR="00EC46F2" w:rsidRPr="00D91EE7" w:rsidRDefault="00EC46F2" w:rsidP="00EC46F2">
      <w:pPr>
        <w:pStyle w:val="ANormal"/>
      </w:pPr>
      <w:r w:rsidRPr="00D91EE7">
        <w:t>viceordföranden Mikael Lindholm</w:t>
      </w:r>
      <w:r>
        <w:t xml:space="preserve"> samt </w:t>
      </w:r>
      <w:r w:rsidRPr="00D91EE7">
        <w:t xml:space="preserve">ledamöterna </w:t>
      </w:r>
      <w:r>
        <w:t>Fredrik Fredlund, Igge Holmberg,</w:t>
      </w:r>
      <w:r w:rsidRPr="00D91EE7">
        <w:t xml:space="preserve"> </w:t>
      </w:r>
      <w:r>
        <w:t xml:space="preserve">Annette Holmberg-Jansson, </w:t>
      </w:r>
      <w:r w:rsidRPr="00D91EE7">
        <w:t>Torsten Sundblom och Pe</w:t>
      </w:r>
      <w:r w:rsidRPr="00D91EE7">
        <w:t>r</w:t>
      </w:r>
      <w:r w:rsidRPr="00D91EE7">
        <w:t>nilla Söderlund.</w:t>
      </w:r>
    </w:p>
    <w:p w:rsidR="00986B05" w:rsidRDefault="00986B05">
      <w:pPr>
        <w:pStyle w:val="RubrikA"/>
        <w:rPr>
          <w:sz w:val="22"/>
        </w:rPr>
      </w:pPr>
      <w:bookmarkStart w:id="13" w:name="_Toc529800937"/>
      <w:bookmarkStart w:id="14" w:name="_Toc499117017"/>
    </w:p>
    <w:p w:rsidR="002401D0" w:rsidRDefault="00986B05">
      <w:pPr>
        <w:pStyle w:val="RubrikA"/>
      </w:pPr>
      <w:r>
        <w:t>U</w:t>
      </w:r>
      <w:r w:rsidR="002401D0">
        <w:t>tskottets förslag</w:t>
      </w:r>
      <w:bookmarkEnd w:id="13"/>
      <w:bookmarkEnd w:id="14"/>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AA169A">
        <w:t xml:space="preserve"> antecknar sig </w:t>
      </w:r>
      <w:r w:rsidR="001F734A">
        <w:t xml:space="preserve">landskapsregeringens </w:t>
      </w:r>
      <w:r w:rsidR="00AA169A">
        <w:t>meddelande</w:t>
      </w:r>
      <w:r w:rsidR="001F734A">
        <w:t xml:space="preserve"> nr 6/2016-2017</w:t>
      </w:r>
      <w:r w:rsidR="00AA169A">
        <w:t xml:space="preserve"> för kännedom</w:t>
      </w:r>
      <w:r w:rsidR="001F734A">
        <w:t xml:space="preserve"> och bringar betänkandets motivering till landskapsregeringens kännedom</w:t>
      </w:r>
      <w:r w:rsidR="00AA169A">
        <w:t>.</w:t>
      </w:r>
    </w:p>
    <w:p w:rsidR="002401D0" w:rsidRDefault="00375F90">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B54055">
            <w:pPr>
              <w:pStyle w:val="ANormal"/>
              <w:keepNext/>
            </w:pPr>
            <w:r>
              <w:lastRenderedPageBreak/>
              <w:t xml:space="preserve">Mariehamn den </w:t>
            </w:r>
            <w:r w:rsidR="00B54055">
              <w:t>9</w:t>
            </w:r>
            <w:r w:rsidR="001D28AF">
              <w:t xml:space="preserve"> </w:t>
            </w:r>
            <w:r w:rsidR="00605EA2">
              <w:t xml:space="preserve">januari </w:t>
            </w:r>
            <w:r w:rsidR="001D28AF">
              <w:t>201</w:t>
            </w:r>
            <w:r w:rsidR="00605EA2">
              <w:t>8</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1D28AF">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1D28AF">
            <w:pPr>
              <w:pStyle w:val="ANormal"/>
              <w:keepNext/>
            </w:pPr>
            <w:r>
              <w:t>Carina Strand</w:t>
            </w:r>
          </w:p>
        </w:tc>
      </w:tr>
    </w:tbl>
    <w:p w:rsidR="002401D0" w:rsidRDefault="002401D0">
      <w:pPr>
        <w:pStyle w:val="ANormal"/>
      </w:pPr>
    </w:p>
    <w:sectPr w:rsidR="002401D0" w:rsidSect="00986B05">
      <w:headerReference w:type="even" r:id="rId12"/>
      <w:headerReference w:type="default" r:id="rId13"/>
      <w:footerReference w:type="default" r:id="rId14"/>
      <w:type w:val="continuous"/>
      <w:pgSz w:w="11906" w:h="16838" w:code="9"/>
      <w:pgMar w:top="426" w:right="3175" w:bottom="284"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B0" w:rsidRDefault="00E036B0">
      <w:r>
        <w:separator/>
      </w:r>
    </w:p>
  </w:endnote>
  <w:endnote w:type="continuationSeparator" w:id="0">
    <w:p w:rsidR="00E036B0" w:rsidRDefault="00E0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0" w:rsidRDefault="00C92D1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0" w:rsidRDefault="00C92D10">
    <w:pPr>
      <w:pStyle w:val="Sidfot"/>
      <w:rPr>
        <w:lang w:val="fi-FI"/>
      </w:rPr>
    </w:pPr>
    <w:r>
      <w:fldChar w:fldCharType="begin"/>
    </w:r>
    <w:r>
      <w:rPr>
        <w:lang w:val="fi-FI"/>
      </w:rPr>
      <w:instrText xml:space="preserve"> FILENAME  \* MERGEFORMAT </w:instrText>
    </w:r>
    <w:r>
      <w:fldChar w:fldCharType="separate"/>
    </w:r>
    <w:r w:rsidR="00375F90">
      <w:rPr>
        <w:noProof/>
        <w:lang w:val="fi-FI"/>
      </w:rPr>
      <w:t>SMU0220172018.docx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0" w:rsidRDefault="00C92D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B0" w:rsidRDefault="00E036B0">
      <w:r>
        <w:separator/>
      </w:r>
    </w:p>
  </w:footnote>
  <w:footnote w:type="continuationSeparator" w:id="0">
    <w:p w:rsidR="00E036B0" w:rsidRDefault="00E0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0" w:rsidRDefault="00C92D1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75F90">
      <w:rPr>
        <w:rStyle w:val="Sidnummer"/>
        <w:noProof/>
      </w:rPr>
      <w:t>2</w:t>
    </w:r>
    <w:r>
      <w:rPr>
        <w:rStyle w:val="Sidnummer"/>
      </w:rPr>
      <w:fldChar w:fldCharType="end"/>
    </w:r>
  </w:p>
  <w:p w:rsidR="00C92D10" w:rsidRDefault="00C92D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0" w:rsidRDefault="00C92D1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75F90">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F2"/>
    <w:rsid w:val="00015E9C"/>
    <w:rsid w:val="00016391"/>
    <w:rsid w:val="0003063E"/>
    <w:rsid w:val="000379E9"/>
    <w:rsid w:val="00051556"/>
    <w:rsid w:val="00082E26"/>
    <w:rsid w:val="00095314"/>
    <w:rsid w:val="000B2DC9"/>
    <w:rsid w:val="000E6645"/>
    <w:rsid w:val="000E751B"/>
    <w:rsid w:val="000F7417"/>
    <w:rsid w:val="001168DE"/>
    <w:rsid w:val="0015337C"/>
    <w:rsid w:val="00155B1A"/>
    <w:rsid w:val="0016482A"/>
    <w:rsid w:val="00196400"/>
    <w:rsid w:val="0019783C"/>
    <w:rsid w:val="001A795B"/>
    <w:rsid w:val="001D0FDC"/>
    <w:rsid w:val="001D20C0"/>
    <w:rsid w:val="001D28AF"/>
    <w:rsid w:val="001F734A"/>
    <w:rsid w:val="00226149"/>
    <w:rsid w:val="002401D0"/>
    <w:rsid w:val="00286903"/>
    <w:rsid w:val="00295713"/>
    <w:rsid w:val="002B4E1F"/>
    <w:rsid w:val="002C1D10"/>
    <w:rsid w:val="002C27C8"/>
    <w:rsid w:val="002C5F30"/>
    <w:rsid w:val="002C75D9"/>
    <w:rsid w:val="002E0FD1"/>
    <w:rsid w:val="002E701D"/>
    <w:rsid w:val="002F0396"/>
    <w:rsid w:val="002F5E7A"/>
    <w:rsid w:val="002F7564"/>
    <w:rsid w:val="00304401"/>
    <w:rsid w:val="00335348"/>
    <w:rsid w:val="00335488"/>
    <w:rsid w:val="00341E41"/>
    <w:rsid w:val="003562D7"/>
    <w:rsid w:val="0036359C"/>
    <w:rsid w:val="00366085"/>
    <w:rsid w:val="00375F90"/>
    <w:rsid w:val="003840E4"/>
    <w:rsid w:val="00390517"/>
    <w:rsid w:val="003B017E"/>
    <w:rsid w:val="003B13D5"/>
    <w:rsid w:val="003D119C"/>
    <w:rsid w:val="003D3843"/>
    <w:rsid w:val="003D5C2B"/>
    <w:rsid w:val="003E5E28"/>
    <w:rsid w:val="00407892"/>
    <w:rsid w:val="004371EC"/>
    <w:rsid w:val="004572C5"/>
    <w:rsid w:val="00477BA6"/>
    <w:rsid w:val="004904C9"/>
    <w:rsid w:val="004C19C2"/>
    <w:rsid w:val="004D0D53"/>
    <w:rsid w:val="004D3666"/>
    <w:rsid w:val="004E382D"/>
    <w:rsid w:val="004F0082"/>
    <w:rsid w:val="00542488"/>
    <w:rsid w:val="00553D5A"/>
    <w:rsid w:val="005644B2"/>
    <w:rsid w:val="0056459E"/>
    <w:rsid w:val="00566FD3"/>
    <w:rsid w:val="0058134C"/>
    <w:rsid w:val="005C0D4D"/>
    <w:rsid w:val="005F3A97"/>
    <w:rsid w:val="006056EB"/>
    <w:rsid w:val="00605EA2"/>
    <w:rsid w:val="00621B89"/>
    <w:rsid w:val="0062669D"/>
    <w:rsid w:val="006566DC"/>
    <w:rsid w:val="006761AD"/>
    <w:rsid w:val="00676E11"/>
    <w:rsid w:val="006927BA"/>
    <w:rsid w:val="0069425F"/>
    <w:rsid w:val="006B04FF"/>
    <w:rsid w:val="006B2E9E"/>
    <w:rsid w:val="00707200"/>
    <w:rsid w:val="00723B93"/>
    <w:rsid w:val="00724382"/>
    <w:rsid w:val="007418F7"/>
    <w:rsid w:val="00755C75"/>
    <w:rsid w:val="00775A94"/>
    <w:rsid w:val="00785D50"/>
    <w:rsid w:val="00797B16"/>
    <w:rsid w:val="007C0B14"/>
    <w:rsid w:val="007D7247"/>
    <w:rsid w:val="007F17C7"/>
    <w:rsid w:val="0080609E"/>
    <w:rsid w:val="00811D50"/>
    <w:rsid w:val="00817B04"/>
    <w:rsid w:val="00841962"/>
    <w:rsid w:val="00844EC2"/>
    <w:rsid w:val="00855C07"/>
    <w:rsid w:val="008C0120"/>
    <w:rsid w:val="008E3F93"/>
    <w:rsid w:val="0091688F"/>
    <w:rsid w:val="00944FE6"/>
    <w:rsid w:val="00954475"/>
    <w:rsid w:val="00957C36"/>
    <w:rsid w:val="00986B05"/>
    <w:rsid w:val="009B6E20"/>
    <w:rsid w:val="009D0346"/>
    <w:rsid w:val="009D73B2"/>
    <w:rsid w:val="009F1900"/>
    <w:rsid w:val="009F7CE2"/>
    <w:rsid w:val="00A15C76"/>
    <w:rsid w:val="00A24FD2"/>
    <w:rsid w:val="00A27771"/>
    <w:rsid w:val="00A368A1"/>
    <w:rsid w:val="00A41EF4"/>
    <w:rsid w:val="00A62287"/>
    <w:rsid w:val="00A87E02"/>
    <w:rsid w:val="00AA169A"/>
    <w:rsid w:val="00AB5E06"/>
    <w:rsid w:val="00AD61D2"/>
    <w:rsid w:val="00B03FFA"/>
    <w:rsid w:val="00B17268"/>
    <w:rsid w:val="00B31C53"/>
    <w:rsid w:val="00B32E91"/>
    <w:rsid w:val="00B36A8F"/>
    <w:rsid w:val="00B51D35"/>
    <w:rsid w:val="00B54055"/>
    <w:rsid w:val="00B64997"/>
    <w:rsid w:val="00B90DEC"/>
    <w:rsid w:val="00B929E6"/>
    <w:rsid w:val="00BB6A58"/>
    <w:rsid w:val="00BE1260"/>
    <w:rsid w:val="00BF579F"/>
    <w:rsid w:val="00C251B3"/>
    <w:rsid w:val="00C33597"/>
    <w:rsid w:val="00C505AF"/>
    <w:rsid w:val="00C5231C"/>
    <w:rsid w:val="00C5500B"/>
    <w:rsid w:val="00C92D10"/>
    <w:rsid w:val="00C97B3E"/>
    <w:rsid w:val="00CB0476"/>
    <w:rsid w:val="00CB087E"/>
    <w:rsid w:val="00CB2143"/>
    <w:rsid w:val="00CD6025"/>
    <w:rsid w:val="00CD7B3C"/>
    <w:rsid w:val="00CF700E"/>
    <w:rsid w:val="00D251FC"/>
    <w:rsid w:val="00D33294"/>
    <w:rsid w:val="00D62F43"/>
    <w:rsid w:val="00D8459B"/>
    <w:rsid w:val="00D97A83"/>
    <w:rsid w:val="00DA4DC7"/>
    <w:rsid w:val="00DC0698"/>
    <w:rsid w:val="00DC09CF"/>
    <w:rsid w:val="00DC45B2"/>
    <w:rsid w:val="00E011B6"/>
    <w:rsid w:val="00E036B0"/>
    <w:rsid w:val="00E04124"/>
    <w:rsid w:val="00E25120"/>
    <w:rsid w:val="00E610CC"/>
    <w:rsid w:val="00E7579F"/>
    <w:rsid w:val="00E96D8C"/>
    <w:rsid w:val="00EB0881"/>
    <w:rsid w:val="00EC46F2"/>
    <w:rsid w:val="00ED25C6"/>
    <w:rsid w:val="00EE31D8"/>
    <w:rsid w:val="00F356E7"/>
    <w:rsid w:val="00F678C0"/>
    <w:rsid w:val="00F76D45"/>
    <w:rsid w:val="00F9613A"/>
    <w:rsid w:val="00FB1A55"/>
    <w:rsid w:val="00FD3D09"/>
    <w:rsid w:val="00FF7A0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542488"/>
    <w:pPr>
      <w:spacing w:before="100" w:beforeAutospacing="1" w:after="100" w:afterAutospacing="1"/>
    </w:pPr>
    <w:rPr>
      <w:lang w:val="sv-FI" w:eastAsia="sv-FI"/>
    </w:rPr>
  </w:style>
  <w:style w:type="paragraph" w:styleId="Ballongtext">
    <w:name w:val="Balloon Text"/>
    <w:basedOn w:val="Normal"/>
    <w:link w:val="BallongtextChar"/>
    <w:rsid w:val="00196400"/>
    <w:rPr>
      <w:rFonts w:ascii="Tahoma" w:hAnsi="Tahoma" w:cs="Tahoma"/>
      <w:sz w:val="16"/>
      <w:szCs w:val="16"/>
    </w:rPr>
  </w:style>
  <w:style w:type="character" w:customStyle="1" w:styleId="BallongtextChar">
    <w:name w:val="Ballongtext Char"/>
    <w:basedOn w:val="Standardstycketeckensnitt"/>
    <w:link w:val="Ballongtext"/>
    <w:rsid w:val="00196400"/>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8193">
      <w:bodyDiv w:val="1"/>
      <w:marLeft w:val="0"/>
      <w:marRight w:val="0"/>
      <w:marTop w:val="0"/>
      <w:marBottom w:val="0"/>
      <w:divBdr>
        <w:top w:val="none" w:sz="0" w:space="0" w:color="auto"/>
        <w:left w:val="none" w:sz="0" w:space="0" w:color="auto"/>
        <w:bottom w:val="none" w:sz="0" w:space="0" w:color="auto"/>
        <w:right w:val="none" w:sz="0" w:space="0" w:color="auto"/>
      </w:divBdr>
      <w:divsChild>
        <w:div w:id="1661470418">
          <w:marLeft w:val="0"/>
          <w:marRight w:val="0"/>
          <w:marTop w:val="0"/>
          <w:marBottom w:val="0"/>
          <w:divBdr>
            <w:top w:val="none" w:sz="0" w:space="0" w:color="auto"/>
            <w:left w:val="none" w:sz="0" w:space="0" w:color="auto"/>
            <w:bottom w:val="none" w:sz="0" w:space="0" w:color="auto"/>
            <w:right w:val="none" w:sz="0" w:space="0" w:color="auto"/>
          </w:divBdr>
        </w:div>
      </w:divsChild>
    </w:div>
    <w:div w:id="1026561282">
      <w:bodyDiv w:val="1"/>
      <w:marLeft w:val="0"/>
      <w:marRight w:val="0"/>
      <w:marTop w:val="0"/>
      <w:marBottom w:val="0"/>
      <w:divBdr>
        <w:top w:val="none" w:sz="0" w:space="0" w:color="auto"/>
        <w:left w:val="none" w:sz="0" w:space="0" w:color="auto"/>
        <w:bottom w:val="none" w:sz="0" w:space="0" w:color="auto"/>
        <w:right w:val="none" w:sz="0" w:space="0" w:color="auto"/>
      </w:divBdr>
      <w:divsChild>
        <w:div w:id="1130783162">
          <w:marLeft w:val="0"/>
          <w:marRight w:val="0"/>
          <w:marTop w:val="0"/>
          <w:marBottom w:val="0"/>
          <w:divBdr>
            <w:top w:val="none" w:sz="0" w:space="0" w:color="auto"/>
            <w:left w:val="none" w:sz="0" w:space="0" w:color="auto"/>
            <w:bottom w:val="none" w:sz="0" w:space="0" w:color="auto"/>
            <w:right w:val="none" w:sz="0" w:space="0" w:color="auto"/>
          </w:divBdr>
        </w:div>
      </w:divsChild>
    </w:div>
    <w:div w:id="19964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5</Pages>
  <Words>2108</Words>
  <Characters>11177</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Social- och miljöutskottets betänkande nr x/2017-2018</vt:lpstr>
    </vt:vector>
  </TitlesOfParts>
  <Company>Ålands lagting</Company>
  <LinksUpToDate>false</LinksUpToDate>
  <CharactersWithSpaces>13259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x/2017-2018</dc:title>
  <dc:creator>Jessica Laaksonen</dc:creator>
  <cp:lastModifiedBy>Jessica Laaksonen</cp:lastModifiedBy>
  <cp:revision>2</cp:revision>
  <cp:lastPrinted>2018-01-09T10:51:00Z</cp:lastPrinted>
  <dcterms:created xsi:type="dcterms:W3CDTF">2018-01-09T10:56:00Z</dcterms:created>
  <dcterms:modified xsi:type="dcterms:W3CDTF">2018-01-09T10:56:00Z</dcterms:modified>
</cp:coreProperties>
</file>