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1B3B6B" w:rsidTr="009A491A">
        <w:trPr>
          <w:cantSplit/>
          <w:trHeight w:val="20"/>
        </w:trPr>
        <w:tc>
          <w:tcPr>
            <w:tcW w:w="861" w:type="dxa"/>
            <w:vMerge w:val="restart"/>
          </w:tcPr>
          <w:p w:rsidR="001B3B6B" w:rsidRDefault="0038228F" w:rsidP="009A491A">
            <w:pPr>
              <w:pStyle w:val="xLedtext"/>
              <w:keepNext/>
              <w:rPr>
                <w:noProof/>
              </w:rPr>
            </w:pPr>
            <w:bookmarkStart w:id="0" w:name="_Toc410897649"/>
            <w:bookmarkStart w:id="1" w:name="_Toc412712666"/>
            <w:bookmarkStart w:id="2" w:name="_GoBack"/>
            <w:bookmarkEnd w:id="2"/>
            <w:r>
              <w:rPr>
                <w:noProof/>
                <w:lang w:val="sv-FI" w:eastAsia="sv-F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5pt;margin-top:5.9pt;width:208.5pt;height:54pt;z-index:251661312">
                  <v:imagedata r:id="rId9" o:title="regeringen_svartvit"/>
                </v:shape>
              </w:pict>
            </w:r>
          </w:p>
        </w:tc>
        <w:tc>
          <w:tcPr>
            <w:tcW w:w="8736" w:type="dxa"/>
            <w:gridSpan w:val="3"/>
            <w:vAlign w:val="bottom"/>
          </w:tcPr>
          <w:p w:rsidR="001B3B6B" w:rsidRDefault="0038228F" w:rsidP="009A491A">
            <w:pPr>
              <w:pStyle w:val="xMellanrum"/>
            </w:pPr>
            <w:r>
              <w:pict>
                <v:shape id="_x0000_i1025" type="#_x0000_t75" style="width:3.75pt;height:3.75pt">
                  <v:imagedata r:id="rId10" o:title="5x5px"/>
                </v:shape>
              </w:pict>
            </w:r>
          </w:p>
        </w:tc>
      </w:tr>
      <w:tr w:rsidR="00511A58" w:rsidRPr="00511A58" w:rsidTr="009A491A">
        <w:trPr>
          <w:cantSplit/>
          <w:trHeight w:val="299"/>
        </w:trPr>
        <w:tc>
          <w:tcPr>
            <w:tcW w:w="861" w:type="dxa"/>
            <w:vMerge/>
          </w:tcPr>
          <w:p w:rsidR="001B3B6B" w:rsidRPr="00511A58" w:rsidRDefault="001B3B6B" w:rsidP="009A491A">
            <w:pPr>
              <w:pStyle w:val="xLedtext"/>
            </w:pPr>
          </w:p>
        </w:tc>
        <w:tc>
          <w:tcPr>
            <w:tcW w:w="4448" w:type="dxa"/>
            <w:vAlign w:val="bottom"/>
          </w:tcPr>
          <w:p w:rsidR="001B3B6B" w:rsidRPr="00511A58" w:rsidRDefault="001B3B6B" w:rsidP="009A491A">
            <w:pPr>
              <w:pStyle w:val="xAvsandare1"/>
            </w:pPr>
          </w:p>
        </w:tc>
        <w:tc>
          <w:tcPr>
            <w:tcW w:w="4288" w:type="dxa"/>
            <w:gridSpan w:val="2"/>
            <w:vAlign w:val="bottom"/>
          </w:tcPr>
          <w:p w:rsidR="001B3B6B" w:rsidRPr="00511A58" w:rsidRDefault="001B3B6B" w:rsidP="00511A58">
            <w:pPr>
              <w:pStyle w:val="xDokTypNr"/>
            </w:pPr>
            <w:r w:rsidRPr="00511A58">
              <w:t xml:space="preserve">MEDDELANDE nr </w:t>
            </w:r>
            <w:r w:rsidR="00511A58" w:rsidRPr="00511A58">
              <w:t>3</w:t>
            </w:r>
            <w:r w:rsidRPr="00511A58">
              <w:t>/201</w:t>
            </w:r>
            <w:r w:rsidR="000E27AB" w:rsidRPr="00511A58">
              <w:t>6</w:t>
            </w:r>
            <w:r w:rsidRPr="00511A58">
              <w:t>-201</w:t>
            </w:r>
            <w:r w:rsidR="000E27AB" w:rsidRPr="00511A58">
              <w:t>7</w:t>
            </w:r>
          </w:p>
        </w:tc>
      </w:tr>
      <w:tr w:rsidR="00511A58" w:rsidRPr="00511A58" w:rsidTr="009A491A">
        <w:trPr>
          <w:cantSplit/>
          <w:trHeight w:val="238"/>
        </w:trPr>
        <w:tc>
          <w:tcPr>
            <w:tcW w:w="861" w:type="dxa"/>
            <w:vMerge/>
          </w:tcPr>
          <w:p w:rsidR="001B3B6B" w:rsidRPr="00511A58" w:rsidRDefault="001B3B6B" w:rsidP="009A491A">
            <w:pPr>
              <w:pStyle w:val="xLedtext"/>
            </w:pPr>
          </w:p>
        </w:tc>
        <w:tc>
          <w:tcPr>
            <w:tcW w:w="4448" w:type="dxa"/>
            <w:vAlign w:val="bottom"/>
          </w:tcPr>
          <w:p w:rsidR="001B3B6B" w:rsidRPr="00511A58" w:rsidRDefault="001B3B6B" w:rsidP="009A491A">
            <w:pPr>
              <w:pStyle w:val="xLedtext"/>
            </w:pPr>
          </w:p>
        </w:tc>
        <w:tc>
          <w:tcPr>
            <w:tcW w:w="1725" w:type="dxa"/>
            <w:vAlign w:val="bottom"/>
          </w:tcPr>
          <w:p w:rsidR="001B3B6B" w:rsidRPr="00511A58" w:rsidRDefault="001B3B6B" w:rsidP="009A491A">
            <w:pPr>
              <w:pStyle w:val="xLedtext"/>
            </w:pPr>
            <w:r w:rsidRPr="00511A58">
              <w:t>Datum</w:t>
            </w:r>
          </w:p>
        </w:tc>
        <w:tc>
          <w:tcPr>
            <w:tcW w:w="2563" w:type="dxa"/>
            <w:vAlign w:val="bottom"/>
          </w:tcPr>
          <w:p w:rsidR="001B3B6B" w:rsidRPr="00511A58" w:rsidRDefault="001B3B6B" w:rsidP="009A491A">
            <w:pPr>
              <w:pStyle w:val="xLedtext"/>
            </w:pPr>
          </w:p>
        </w:tc>
      </w:tr>
      <w:tr w:rsidR="00511A58" w:rsidRPr="00511A58" w:rsidTr="009A491A">
        <w:trPr>
          <w:cantSplit/>
          <w:trHeight w:val="238"/>
        </w:trPr>
        <w:tc>
          <w:tcPr>
            <w:tcW w:w="861" w:type="dxa"/>
            <w:vMerge/>
          </w:tcPr>
          <w:p w:rsidR="001B3B6B" w:rsidRPr="00511A58" w:rsidRDefault="001B3B6B" w:rsidP="009A491A">
            <w:pPr>
              <w:pStyle w:val="xAvsandare2"/>
            </w:pPr>
          </w:p>
        </w:tc>
        <w:tc>
          <w:tcPr>
            <w:tcW w:w="4448" w:type="dxa"/>
            <w:vAlign w:val="center"/>
          </w:tcPr>
          <w:p w:rsidR="001B3B6B" w:rsidRPr="00511A58" w:rsidRDefault="001B3B6B" w:rsidP="009A491A">
            <w:pPr>
              <w:pStyle w:val="xAvsandare2"/>
            </w:pPr>
          </w:p>
        </w:tc>
        <w:tc>
          <w:tcPr>
            <w:tcW w:w="1725" w:type="dxa"/>
            <w:vAlign w:val="center"/>
          </w:tcPr>
          <w:p w:rsidR="001B3B6B" w:rsidRPr="00511A58" w:rsidRDefault="001B3B6B" w:rsidP="00511A58">
            <w:pPr>
              <w:pStyle w:val="xDatum1"/>
            </w:pPr>
            <w:r w:rsidRPr="00511A58">
              <w:t>201</w:t>
            </w:r>
            <w:r w:rsidR="000E27AB" w:rsidRPr="00511A58">
              <w:t>7</w:t>
            </w:r>
            <w:r w:rsidR="008A0D04" w:rsidRPr="00511A58">
              <w:t>-</w:t>
            </w:r>
            <w:r w:rsidR="00511A58" w:rsidRPr="00511A58">
              <w:t>03</w:t>
            </w:r>
            <w:r w:rsidR="008A0D04" w:rsidRPr="00511A58">
              <w:t>-</w:t>
            </w:r>
            <w:r w:rsidR="00511A58" w:rsidRPr="00511A58">
              <w:t>16</w:t>
            </w:r>
          </w:p>
        </w:tc>
        <w:tc>
          <w:tcPr>
            <w:tcW w:w="2563" w:type="dxa"/>
            <w:vAlign w:val="center"/>
          </w:tcPr>
          <w:p w:rsidR="001B3B6B" w:rsidRPr="00511A58" w:rsidRDefault="001B3B6B" w:rsidP="009A491A">
            <w:pPr>
              <w:pStyle w:val="xBeteckning1"/>
            </w:pPr>
          </w:p>
        </w:tc>
      </w:tr>
      <w:tr w:rsidR="00511A58" w:rsidRPr="00511A58" w:rsidTr="009A491A">
        <w:trPr>
          <w:cantSplit/>
          <w:trHeight w:val="238"/>
        </w:trPr>
        <w:tc>
          <w:tcPr>
            <w:tcW w:w="861" w:type="dxa"/>
            <w:vMerge/>
          </w:tcPr>
          <w:p w:rsidR="001B3B6B" w:rsidRPr="00511A58" w:rsidRDefault="001B3B6B" w:rsidP="009A491A">
            <w:pPr>
              <w:pStyle w:val="xLedtext"/>
            </w:pPr>
          </w:p>
        </w:tc>
        <w:tc>
          <w:tcPr>
            <w:tcW w:w="4448" w:type="dxa"/>
            <w:vAlign w:val="bottom"/>
          </w:tcPr>
          <w:p w:rsidR="001B3B6B" w:rsidRPr="00511A58" w:rsidRDefault="001B3B6B" w:rsidP="009A491A">
            <w:pPr>
              <w:pStyle w:val="xLedtext"/>
            </w:pPr>
          </w:p>
        </w:tc>
        <w:tc>
          <w:tcPr>
            <w:tcW w:w="1725" w:type="dxa"/>
            <w:vAlign w:val="bottom"/>
          </w:tcPr>
          <w:p w:rsidR="001B3B6B" w:rsidRPr="00511A58" w:rsidRDefault="001B3B6B" w:rsidP="009A491A">
            <w:pPr>
              <w:pStyle w:val="xLedtext"/>
            </w:pPr>
          </w:p>
        </w:tc>
        <w:tc>
          <w:tcPr>
            <w:tcW w:w="2563" w:type="dxa"/>
            <w:vAlign w:val="bottom"/>
          </w:tcPr>
          <w:p w:rsidR="001B3B6B" w:rsidRPr="00511A58" w:rsidRDefault="001B3B6B" w:rsidP="009A491A">
            <w:pPr>
              <w:pStyle w:val="xLedtext"/>
            </w:pPr>
          </w:p>
        </w:tc>
      </w:tr>
      <w:tr w:rsidR="00511A58" w:rsidRPr="00511A58" w:rsidTr="009A491A">
        <w:trPr>
          <w:cantSplit/>
          <w:trHeight w:val="238"/>
        </w:trPr>
        <w:tc>
          <w:tcPr>
            <w:tcW w:w="861" w:type="dxa"/>
            <w:vMerge/>
            <w:tcBorders>
              <w:bottom w:val="single" w:sz="4" w:space="0" w:color="auto"/>
            </w:tcBorders>
          </w:tcPr>
          <w:p w:rsidR="001B3B6B" w:rsidRPr="00511A58" w:rsidRDefault="001B3B6B" w:rsidP="009A491A">
            <w:pPr>
              <w:pStyle w:val="xAvsandare3"/>
            </w:pPr>
          </w:p>
        </w:tc>
        <w:tc>
          <w:tcPr>
            <w:tcW w:w="4448" w:type="dxa"/>
            <w:tcBorders>
              <w:bottom w:val="single" w:sz="4" w:space="0" w:color="auto"/>
            </w:tcBorders>
            <w:vAlign w:val="center"/>
          </w:tcPr>
          <w:p w:rsidR="001B3B6B" w:rsidRPr="00511A58" w:rsidRDefault="001B3B6B" w:rsidP="009A491A">
            <w:pPr>
              <w:pStyle w:val="xAvsandare3"/>
            </w:pPr>
          </w:p>
        </w:tc>
        <w:tc>
          <w:tcPr>
            <w:tcW w:w="1725" w:type="dxa"/>
            <w:tcBorders>
              <w:bottom w:val="single" w:sz="4" w:space="0" w:color="auto"/>
            </w:tcBorders>
            <w:vAlign w:val="center"/>
          </w:tcPr>
          <w:p w:rsidR="001B3B6B" w:rsidRPr="00511A58" w:rsidRDefault="001B3B6B" w:rsidP="009A491A">
            <w:pPr>
              <w:pStyle w:val="xDatum2"/>
            </w:pPr>
          </w:p>
        </w:tc>
        <w:tc>
          <w:tcPr>
            <w:tcW w:w="2563" w:type="dxa"/>
            <w:tcBorders>
              <w:bottom w:val="single" w:sz="4" w:space="0" w:color="auto"/>
            </w:tcBorders>
            <w:vAlign w:val="center"/>
          </w:tcPr>
          <w:p w:rsidR="001B3B6B" w:rsidRPr="00511A58" w:rsidRDefault="001B3B6B" w:rsidP="009A491A">
            <w:pPr>
              <w:pStyle w:val="xBeteckning2"/>
            </w:pPr>
          </w:p>
        </w:tc>
      </w:tr>
      <w:tr w:rsidR="00511A58" w:rsidRPr="00511A58" w:rsidTr="009A491A">
        <w:trPr>
          <w:cantSplit/>
          <w:trHeight w:val="238"/>
        </w:trPr>
        <w:tc>
          <w:tcPr>
            <w:tcW w:w="861" w:type="dxa"/>
            <w:tcBorders>
              <w:top w:val="single" w:sz="4" w:space="0" w:color="auto"/>
            </w:tcBorders>
            <w:vAlign w:val="bottom"/>
          </w:tcPr>
          <w:p w:rsidR="001B3B6B" w:rsidRPr="00511A58" w:rsidRDefault="001B3B6B" w:rsidP="009A491A">
            <w:pPr>
              <w:pStyle w:val="xLedtext"/>
            </w:pPr>
          </w:p>
        </w:tc>
        <w:tc>
          <w:tcPr>
            <w:tcW w:w="4448" w:type="dxa"/>
            <w:tcBorders>
              <w:top w:val="single" w:sz="4" w:space="0" w:color="auto"/>
            </w:tcBorders>
            <w:vAlign w:val="bottom"/>
          </w:tcPr>
          <w:p w:rsidR="001B3B6B" w:rsidRPr="00511A58" w:rsidRDefault="001B3B6B" w:rsidP="009A491A">
            <w:pPr>
              <w:pStyle w:val="xLedtext"/>
            </w:pPr>
          </w:p>
        </w:tc>
        <w:tc>
          <w:tcPr>
            <w:tcW w:w="4288" w:type="dxa"/>
            <w:gridSpan w:val="2"/>
            <w:tcBorders>
              <w:top w:val="single" w:sz="4" w:space="0" w:color="auto"/>
            </w:tcBorders>
            <w:vAlign w:val="bottom"/>
          </w:tcPr>
          <w:p w:rsidR="001B3B6B" w:rsidRPr="00511A58" w:rsidRDefault="001B3B6B" w:rsidP="009A491A">
            <w:pPr>
              <w:pStyle w:val="xLedtext"/>
            </w:pPr>
          </w:p>
        </w:tc>
      </w:tr>
      <w:tr w:rsidR="00511A58" w:rsidRPr="00511A58" w:rsidTr="009A491A">
        <w:trPr>
          <w:cantSplit/>
          <w:trHeight w:val="238"/>
        </w:trPr>
        <w:tc>
          <w:tcPr>
            <w:tcW w:w="861" w:type="dxa"/>
          </w:tcPr>
          <w:p w:rsidR="001B3B6B" w:rsidRPr="00511A58" w:rsidRDefault="001B3B6B" w:rsidP="009A491A">
            <w:pPr>
              <w:pStyle w:val="xCelltext"/>
            </w:pPr>
          </w:p>
        </w:tc>
        <w:tc>
          <w:tcPr>
            <w:tcW w:w="4448" w:type="dxa"/>
            <w:vMerge w:val="restart"/>
          </w:tcPr>
          <w:p w:rsidR="001B3B6B" w:rsidRPr="00511A58" w:rsidRDefault="001B3B6B" w:rsidP="009A491A">
            <w:pPr>
              <w:pStyle w:val="xMottagare1"/>
            </w:pPr>
            <w:r w:rsidRPr="00511A58">
              <w:t>Till Ålands lagting</w:t>
            </w:r>
          </w:p>
        </w:tc>
        <w:tc>
          <w:tcPr>
            <w:tcW w:w="4288" w:type="dxa"/>
            <w:gridSpan w:val="2"/>
            <w:vMerge w:val="restart"/>
          </w:tcPr>
          <w:p w:rsidR="001B3B6B" w:rsidRPr="00511A58" w:rsidRDefault="001B3B6B" w:rsidP="009A491A">
            <w:pPr>
              <w:pStyle w:val="xMottagare1"/>
              <w:tabs>
                <w:tab w:val="left" w:pos="2349"/>
              </w:tabs>
            </w:pPr>
          </w:p>
        </w:tc>
      </w:tr>
      <w:tr w:rsidR="00511A58" w:rsidRPr="00511A58" w:rsidTr="009A491A">
        <w:trPr>
          <w:cantSplit/>
          <w:trHeight w:val="238"/>
        </w:trPr>
        <w:tc>
          <w:tcPr>
            <w:tcW w:w="861" w:type="dxa"/>
          </w:tcPr>
          <w:p w:rsidR="001B3B6B" w:rsidRPr="00511A58" w:rsidRDefault="001B3B6B" w:rsidP="009A491A">
            <w:pPr>
              <w:pStyle w:val="xCelltext"/>
            </w:pPr>
          </w:p>
        </w:tc>
        <w:tc>
          <w:tcPr>
            <w:tcW w:w="4448" w:type="dxa"/>
            <w:vMerge/>
            <w:vAlign w:val="center"/>
          </w:tcPr>
          <w:p w:rsidR="001B3B6B" w:rsidRPr="00511A58" w:rsidRDefault="001B3B6B" w:rsidP="009A491A">
            <w:pPr>
              <w:pStyle w:val="xCelltext"/>
            </w:pPr>
          </w:p>
        </w:tc>
        <w:tc>
          <w:tcPr>
            <w:tcW w:w="4288" w:type="dxa"/>
            <w:gridSpan w:val="2"/>
            <w:vMerge/>
            <w:vAlign w:val="center"/>
          </w:tcPr>
          <w:p w:rsidR="001B3B6B" w:rsidRPr="00511A58" w:rsidRDefault="001B3B6B" w:rsidP="009A491A">
            <w:pPr>
              <w:pStyle w:val="xCelltext"/>
            </w:pPr>
          </w:p>
        </w:tc>
      </w:tr>
      <w:tr w:rsidR="00511A58" w:rsidRPr="00511A58" w:rsidTr="009A491A">
        <w:trPr>
          <w:cantSplit/>
          <w:trHeight w:val="238"/>
        </w:trPr>
        <w:tc>
          <w:tcPr>
            <w:tcW w:w="861" w:type="dxa"/>
          </w:tcPr>
          <w:p w:rsidR="001B3B6B" w:rsidRPr="00511A58" w:rsidRDefault="001B3B6B" w:rsidP="009A491A">
            <w:pPr>
              <w:pStyle w:val="xCelltext"/>
            </w:pPr>
          </w:p>
        </w:tc>
        <w:tc>
          <w:tcPr>
            <w:tcW w:w="4448" w:type="dxa"/>
            <w:vMerge/>
            <w:vAlign w:val="center"/>
          </w:tcPr>
          <w:p w:rsidR="001B3B6B" w:rsidRPr="00511A58" w:rsidRDefault="001B3B6B" w:rsidP="009A491A">
            <w:pPr>
              <w:pStyle w:val="xCelltext"/>
            </w:pPr>
          </w:p>
        </w:tc>
        <w:tc>
          <w:tcPr>
            <w:tcW w:w="4288" w:type="dxa"/>
            <w:gridSpan w:val="2"/>
            <w:vMerge/>
            <w:vAlign w:val="center"/>
          </w:tcPr>
          <w:p w:rsidR="001B3B6B" w:rsidRPr="00511A58" w:rsidRDefault="001B3B6B" w:rsidP="009A491A">
            <w:pPr>
              <w:pStyle w:val="xCelltext"/>
            </w:pPr>
          </w:p>
        </w:tc>
      </w:tr>
      <w:tr w:rsidR="00511A58" w:rsidRPr="00511A58" w:rsidTr="009A491A">
        <w:trPr>
          <w:cantSplit/>
          <w:trHeight w:val="238"/>
        </w:trPr>
        <w:tc>
          <w:tcPr>
            <w:tcW w:w="861" w:type="dxa"/>
          </w:tcPr>
          <w:p w:rsidR="001B3B6B" w:rsidRPr="00511A58" w:rsidRDefault="001B3B6B" w:rsidP="009A491A">
            <w:pPr>
              <w:pStyle w:val="xCelltext"/>
            </w:pPr>
          </w:p>
        </w:tc>
        <w:tc>
          <w:tcPr>
            <w:tcW w:w="4448" w:type="dxa"/>
            <w:vMerge/>
            <w:vAlign w:val="center"/>
          </w:tcPr>
          <w:p w:rsidR="001B3B6B" w:rsidRPr="00511A58" w:rsidRDefault="001B3B6B" w:rsidP="009A491A">
            <w:pPr>
              <w:pStyle w:val="xCelltext"/>
            </w:pPr>
          </w:p>
        </w:tc>
        <w:tc>
          <w:tcPr>
            <w:tcW w:w="4288" w:type="dxa"/>
            <w:gridSpan w:val="2"/>
            <w:vMerge/>
            <w:vAlign w:val="center"/>
          </w:tcPr>
          <w:p w:rsidR="001B3B6B" w:rsidRPr="00511A58" w:rsidRDefault="001B3B6B" w:rsidP="009A491A">
            <w:pPr>
              <w:pStyle w:val="xCelltext"/>
            </w:pPr>
          </w:p>
        </w:tc>
      </w:tr>
      <w:tr w:rsidR="00511A58" w:rsidRPr="00511A58" w:rsidTr="009A491A">
        <w:trPr>
          <w:cantSplit/>
          <w:trHeight w:val="238"/>
        </w:trPr>
        <w:tc>
          <w:tcPr>
            <w:tcW w:w="861" w:type="dxa"/>
          </w:tcPr>
          <w:p w:rsidR="001B3B6B" w:rsidRPr="00511A58" w:rsidRDefault="001B3B6B" w:rsidP="009A491A">
            <w:pPr>
              <w:pStyle w:val="xCelltext"/>
            </w:pPr>
          </w:p>
        </w:tc>
        <w:tc>
          <w:tcPr>
            <w:tcW w:w="4448" w:type="dxa"/>
            <w:vMerge/>
            <w:vAlign w:val="center"/>
          </w:tcPr>
          <w:p w:rsidR="001B3B6B" w:rsidRPr="00511A58" w:rsidRDefault="001B3B6B" w:rsidP="009A491A">
            <w:pPr>
              <w:pStyle w:val="xCelltext"/>
            </w:pPr>
          </w:p>
        </w:tc>
        <w:tc>
          <w:tcPr>
            <w:tcW w:w="4288" w:type="dxa"/>
            <w:gridSpan w:val="2"/>
            <w:vMerge/>
            <w:vAlign w:val="center"/>
          </w:tcPr>
          <w:p w:rsidR="001B3B6B" w:rsidRPr="00511A58" w:rsidRDefault="001B3B6B" w:rsidP="009A491A">
            <w:pPr>
              <w:pStyle w:val="xCelltext"/>
            </w:pPr>
          </w:p>
        </w:tc>
      </w:tr>
    </w:tbl>
    <w:p w:rsidR="001B3B6B" w:rsidRPr="00511A58" w:rsidRDefault="001B3B6B" w:rsidP="001B3B6B">
      <w:pPr>
        <w:rPr>
          <w:b/>
          <w:bCs/>
        </w:rPr>
        <w:sectPr w:rsidR="001B3B6B" w:rsidRPr="00511A58" w:rsidSect="0011521E">
          <w:headerReference w:type="even" r:id="rId11"/>
          <w:headerReference w:type="default" r:id="rId12"/>
          <w:footerReference w:type="even" r:id="rId13"/>
          <w:headerReference w:type="first" r:id="rId14"/>
          <w:footerReference w:type="first" r:id="rId15"/>
          <w:type w:val="continuous"/>
          <w:pgSz w:w="11906" w:h="16838" w:code="9"/>
          <w:pgMar w:top="567" w:right="1134" w:bottom="1134" w:left="1191" w:header="624" w:footer="851" w:gutter="0"/>
          <w:pgNumType w:start="1"/>
          <w:cols w:space="708"/>
          <w:titlePg/>
          <w:docGrid w:linePitch="360"/>
        </w:sectPr>
      </w:pPr>
    </w:p>
    <w:p w:rsidR="001B3B6B" w:rsidRPr="00511A58" w:rsidRDefault="001B3B6B" w:rsidP="001B3B6B">
      <w:pPr>
        <w:pStyle w:val="ArendeRubrik"/>
      </w:pPr>
      <w:r w:rsidRPr="00511A58">
        <w:lastRenderedPageBreak/>
        <w:t>Landskapsregeringens externpolitik</w:t>
      </w:r>
    </w:p>
    <w:p w:rsidR="001B3B6B" w:rsidRPr="00511A58" w:rsidRDefault="001B3B6B" w:rsidP="001B3B6B">
      <w:pPr>
        <w:pStyle w:val="ANormal"/>
        <w:rPr>
          <w:noProof/>
        </w:rPr>
      </w:pPr>
    </w:p>
    <w:p w:rsidR="001B3B6B" w:rsidRPr="00511A58" w:rsidRDefault="001B3B6B" w:rsidP="001B3B6B">
      <w:pPr>
        <w:pStyle w:val="ANormal"/>
      </w:pPr>
    </w:p>
    <w:p w:rsidR="001B3B6B" w:rsidRPr="00511A58" w:rsidRDefault="001B3B6B" w:rsidP="007E2986">
      <w:pPr>
        <w:rPr>
          <w:lang w:val="sv-FI" w:eastAsia="sv-FI"/>
        </w:rPr>
      </w:pPr>
      <w:r w:rsidRPr="00511A58">
        <w:t>Meddelandet innehåller en heltäckande redogörelse av landskapsregerin</w:t>
      </w:r>
      <w:r w:rsidRPr="00511A58">
        <w:t>g</w:t>
      </w:r>
      <w:r w:rsidRPr="00511A58">
        <w:t>ens externpoliti</w:t>
      </w:r>
      <w:r w:rsidR="000E27AB" w:rsidRPr="00511A58">
        <w:t>ska prioriteringar inför år 2017</w:t>
      </w:r>
      <w:permStart w:id="857568915" w:edGrp="everyone"/>
      <w:permEnd w:id="857568915"/>
      <w:r w:rsidRPr="00511A58">
        <w:t xml:space="preserve">. </w:t>
      </w:r>
      <w:r w:rsidRPr="00511A58">
        <w:rPr>
          <w:lang w:val="sv-FI" w:eastAsia="sv-FI"/>
        </w:rPr>
        <w:t>I meddelandet redogör landskapsregeringen för sina prioriteringar i förhållande till Nordiska m</w:t>
      </w:r>
      <w:r w:rsidRPr="00511A58">
        <w:rPr>
          <w:lang w:val="sv-FI" w:eastAsia="sv-FI"/>
        </w:rPr>
        <w:t>i</w:t>
      </w:r>
      <w:r w:rsidRPr="00511A58">
        <w:rPr>
          <w:lang w:val="sv-FI" w:eastAsia="sv-FI"/>
        </w:rPr>
        <w:t>nisterrådet, till dagordningen inom Europeiska unionen år 201</w:t>
      </w:r>
      <w:r w:rsidR="00D87CEA" w:rsidRPr="00511A58">
        <w:rPr>
          <w:lang w:val="sv-FI" w:eastAsia="sv-FI"/>
        </w:rPr>
        <w:t>7</w:t>
      </w:r>
      <w:r w:rsidRPr="00511A58">
        <w:rPr>
          <w:lang w:val="sv-FI" w:eastAsia="sv-FI"/>
        </w:rPr>
        <w:t xml:space="preserve"> samt till övriga externa samarbeten. Dessutom innehåller meddelandet en redog</w:t>
      </w:r>
      <w:r w:rsidRPr="00511A58">
        <w:rPr>
          <w:lang w:val="sv-FI" w:eastAsia="sv-FI"/>
        </w:rPr>
        <w:t>ö</w:t>
      </w:r>
      <w:r w:rsidRPr="00511A58">
        <w:rPr>
          <w:lang w:val="sv-FI" w:eastAsia="sv-FI"/>
        </w:rPr>
        <w:t>relse för verksamheten beträffande EU-ärenden under år 201</w:t>
      </w:r>
      <w:r w:rsidR="00D87CEA" w:rsidRPr="00511A58">
        <w:rPr>
          <w:lang w:val="sv-FI" w:eastAsia="sv-FI"/>
        </w:rPr>
        <w:t>6</w:t>
      </w:r>
      <w:r w:rsidRPr="00511A58">
        <w:rPr>
          <w:lang w:val="sv-FI" w:eastAsia="sv-FI"/>
        </w:rPr>
        <w:t>.</w:t>
      </w:r>
    </w:p>
    <w:p w:rsidR="001B3B6B" w:rsidRPr="00511A58" w:rsidRDefault="001B3B6B" w:rsidP="007E2986">
      <w:r w:rsidRPr="00511A58">
        <w:rPr>
          <w:lang w:val="sv-FI" w:eastAsia="sv-FI"/>
        </w:rPr>
        <w:t>Som bilaga föreligger en årsberättelse över landskapsregeringens aktiviteter i Nordiska ministerrådet 201</w:t>
      </w:r>
      <w:r w:rsidR="00D87CEA" w:rsidRPr="00511A58">
        <w:rPr>
          <w:lang w:val="sv-FI" w:eastAsia="sv-FI"/>
        </w:rPr>
        <w:t>6</w:t>
      </w:r>
      <w:r w:rsidRPr="00511A58">
        <w:rPr>
          <w:lang w:val="sv-FI" w:eastAsia="sv-FI"/>
        </w:rPr>
        <w:t>.</w:t>
      </w:r>
    </w:p>
    <w:tbl>
      <w:tblPr>
        <w:tblW w:w="7825" w:type="dxa"/>
        <w:tblCellMar>
          <w:left w:w="0" w:type="dxa"/>
          <w:right w:w="0" w:type="dxa"/>
        </w:tblCellMar>
        <w:tblLook w:val="0000" w:firstRow="0" w:lastRow="0" w:firstColumn="0" w:lastColumn="0" w:noHBand="0" w:noVBand="0"/>
      </w:tblPr>
      <w:tblGrid>
        <w:gridCol w:w="3914"/>
        <w:gridCol w:w="3911"/>
      </w:tblGrid>
      <w:tr w:rsidR="00511A58" w:rsidRPr="00511A58" w:rsidTr="009A491A">
        <w:tc>
          <w:tcPr>
            <w:tcW w:w="3914" w:type="dxa"/>
          </w:tcPr>
          <w:p w:rsidR="001B3B6B" w:rsidRPr="00511A58" w:rsidRDefault="001B3B6B" w:rsidP="009A491A">
            <w:pPr>
              <w:pStyle w:val="ANormal"/>
              <w:keepNext/>
            </w:pPr>
          </w:p>
          <w:p w:rsidR="001B3B6B" w:rsidRPr="00511A58" w:rsidRDefault="001B3B6B" w:rsidP="009A491A">
            <w:pPr>
              <w:pStyle w:val="ANormal"/>
              <w:keepNext/>
            </w:pPr>
          </w:p>
          <w:p w:rsidR="001B3B6B" w:rsidRPr="00511A58" w:rsidRDefault="001B3B6B" w:rsidP="009A491A">
            <w:pPr>
              <w:pStyle w:val="ANormal"/>
              <w:keepNext/>
            </w:pPr>
          </w:p>
          <w:p w:rsidR="001B3B6B" w:rsidRPr="00511A58" w:rsidRDefault="001B3B6B" w:rsidP="00511A58">
            <w:pPr>
              <w:pStyle w:val="ANormal"/>
              <w:keepNext/>
            </w:pPr>
            <w:r w:rsidRPr="00511A58">
              <w:t xml:space="preserve">Mariehamn den </w:t>
            </w:r>
            <w:r w:rsidR="00511A58" w:rsidRPr="00511A58">
              <w:t>16</w:t>
            </w:r>
            <w:r w:rsidRPr="00511A58">
              <w:t xml:space="preserve"> </w:t>
            </w:r>
            <w:r w:rsidR="008A0D04" w:rsidRPr="00511A58">
              <w:t>mars</w:t>
            </w:r>
            <w:r w:rsidRPr="00511A58">
              <w:t xml:space="preserve"> 201</w:t>
            </w:r>
            <w:r w:rsidR="00D87CEA" w:rsidRPr="00511A58">
              <w:t>7</w:t>
            </w:r>
          </w:p>
        </w:tc>
        <w:tc>
          <w:tcPr>
            <w:tcW w:w="3912" w:type="dxa"/>
          </w:tcPr>
          <w:p w:rsidR="001B3B6B" w:rsidRPr="00511A58" w:rsidRDefault="001B3B6B" w:rsidP="009A491A">
            <w:pPr>
              <w:pStyle w:val="ANormal"/>
              <w:keepNext/>
            </w:pPr>
          </w:p>
        </w:tc>
      </w:tr>
      <w:tr w:rsidR="00511A58" w:rsidRPr="00511A58" w:rsidTr="009A491A">
        <w:tc>
          <w:tcPr>
            <w:tcW w:w="3914" w:type="dxa"/>
            <w:vAlign w:val="bottom"/>
          </w:tcPr>
          <w:p w:rsidR="001B3B6B" w:rsidRPr="00511A58" w:rsidRDefault="001B3B6B" w:rsidP="009A491A">
            <w:pPr>
              <w:pStyle w:val="ANormal"/>
              <w:keepNext/>
            </w:pPr>
          </w:p>
          <w:p w:rsidR="001B3B6B" w:rsidRPr="00511A58" w:rsidRDefault="001B3B6B" w:rsidP="009A491A">
            <w:pPr>
              <w:pStyle w:val="ANormal"/>
              <w:keepNext/>
            </w:pPr>
          </w:p>
          <w:p w:rsidR="001B3B6B" w:rsidRDefault="001B3B6B" w:rsidP="009A491A">
            <w:pPr>
              <w:pStyle w:val="ANormal"/>
              <w:keepNext/>
            </w:pPr>
          </w:p>
          <w:p w:rsidR="006E785C" w:rsidRDefault="006E785C" w:rsidP="009A491A">
            <w:pPr>
              <w:pStyle w:val="ANormal"/>
              <w:keepNext/>
            </w:pPr>
          </w:p>
          <w:p w:rsidR="006E785C" w:rsidRPr="00511A58" w:rsidRDefault="006E785C" w:rsidP="009A491A">
            <w:pPr>
              <w:pStyle w:val="ANormal"/>
              <w:keepNext/>
            </w:pPr>
          </w:p>
          <w:p w:rsidR="001B3B6B" w:rsidRPr="00511A58" w:rsidRDefault="001B3B6B" w:rsidP="009A491A">
            <w:pPr>
              <w:pStyle w:val="ANormal"/>
              <w:keepNext/>
            </w:pPr>
            <w:r w:rsidRPr="00511A58">
              <w:t>L a n t r å d</w:t>
            </w:r>
          </w:p>
        </w:tc>
        <w:tc>
          <w:tcPr>
            <w:tcW w:w="3912" w:type="dxa"/>
            <w:vAlign w:val="bottom"/>
          </w:tcPr>
          <w:p w:rsidR="001B3B6B" w:rsidRPr="00511A58" w:rsidRDefault="001B3B6B" w:rsidP="009A491A">
            <w:pPr>
              <w:pStyle w:val="ANormal"/>
              <w:keepNext/>
            </w:pPr>
            <w:r w:rsidRPr="00511A58">
              <w:t>Katrin Sjögren</w:t>
            </w:r>
          </w:p>
        </w:tc>
      </w:tr>
      <w:tr w:rsidR="00511A58" w:rsidRPr="00511A58" w:rsidTr="009A491A">
        <w:tc>
          <w:tcPr>
            <w:tcW w:w="3914" w:type="dxa"/>
            <w:vAlign w:val="bottom"/>
          </w:tcPr>
          <w:p w:rsidR="001B3B6B" w:rsidRPr="00511A58" w:rsidRDefault="001B3B6B" w:rsidP="009A491A">
            <w:pPr>
              <w:pStyle w:val="ANormal"/>
              <w:keepNext/>
            </w:pPr>
          </w:p>
          <w:p w:rsidR="001B3B6B" w:rsidRPr="00511A58" w:rsidRDefault="001B3B6B" w:rsidP="009A491A">
            <w:pPr>
              <w:pStyle w:val="ANormal"/>
              <w:keepNext/>
            </w:pPr>
          </w:p>
          <w:p w:rsidR="001B3B6B" w:rsidRPr="00511A58" w:rsidRDefault="001B3B6B" w:rsidP="009A491A">
            <w:pPr>
              <w:pStyle w:val="ANormal"/>
              <w:keepNext/>
            </w:pPr>
          </w:p>
          <w:p w:rsidR="001B3B6B" w:rsidRPr="00511A58" w:rsidRDefault="001B3B6B" w:rsidP="009A491A">
            <w:pPr>
              <w:pStyle w:val="ANormal"/>
              <w:keepNext/>
            </w:pPr>
          </w:p>
          <w:p w:rsidR="001B3B6B" w:rsidRPr="00511A58" w:rsidRDefault="001B3B6B" w:rsidP="009A491A">
            <w:pPr>
              <w:pStyle w:val="ANormal"/>
              <w:keepNext/>
            </w:pPr>
            <w:r w:rsidRPr="00511A58">
              <w:t>Minister</w:t>
            </w:r>
          </w:p>
        </w:tc>
        <w:tc>
          <w:tcPr>
            <w:tcW w:w="3912" w:type="dxa"/>
            <w:vAlign w:val="bottom"/>
          </w:tcPr>
          <w:p w:rsidR="001B3B6B" w:rsidRPr="00511A58" w:rsidRDefault="001B3B6B" w:rsidP="001B3B6B">
            <w:pPr>
              <w:pStyle w:val="ANormal"/>
              <w:keepNext/>
            </w:pPr>
            <w:r w:rsidRPr="00511A58">
              <w:t>Nina Fellman</w:t>
            </w:r>
          </w:p>
        </w:tc>
      </w:tr>
    </w:tbl>
    <w:p w:rsidR="001B3B6B" w:rsidRDefault="001B3B6B" w:rsidP="001B3B6B">
      <w:pPr>
        <w:pStyle w:val="ANormal"/>
      </w:pPr>
    </w:p>
    <w:p w:rsidR="00E32B12" w:rsidRDefault="001B3B6B" w:rsidP="001C35D0">
      <w:pPr>
        <w:rPr>
          <w:noProof/>
        </w:rPr>
      </w:pPr>
      <w:r>
        <w:rPr>
          <w:color w:val="C00000"/>
        </w:rPr>
        <w:br w:type="page"/>
      </w:r>
      <w:r w:rsidR="001C35D0" w:rsidRPr="00971422">
        <w:lastRenderedPageBreak/>
        <w:fldChar w:fldCharType="begin"/>
      </w:r>
      <w:r w:rsidR="001C35D0" w:rsidRPr="00971422">
        <w:instrText xml:space="preserve"> TOC \o "1-4" \h \z \u </w:instrText>
      </w:r>
      <w:r w:rsidR="001C35D0" w:rsidRPr="00971422">
        <w:fldChar w:fldCharType="separate"/>
      </w:r>
    </w:p>
    <w:p w:rsidR="00E32B12" w:rsidRDefault="0038228F">
      <w:pPr>
        <w:pStyle w:val="Innehll1"/>
        <w:rPr>
          <w:rFonts w:asciiTheme="minorHAnsi" w:eastAsiaTheme="minorEastAsia" w:hAnsiTheme="minorHAnsi" w:cstheme="minorBidi"/>
          <w:sz w:val="22"/>
          <w:szCs w:val="22"/>
        </w:rPr>
      </w:pPr>
      <w:hyperlink w:anchor="_Toc477423961" w:history="1">
        <w:r w:rsidR="00E32B12" w:rsidRPr="0087337E">
          <w:rPr>
            <w:rStyle w:val="Hyperlnk"/>
          </w:rPr>
          <w:t>1. Inledning</w:t>
        </w:r>
        <w:r w:rsidR="00E32B12">
          <w:rPr>
            <w:webHidden/>
          </w:rPr>
          <w:tab/>
        </w:r>
        <w:r w:rsidR="00E32B12">
          <w:rPr>
            <w:webHidden/>
          </w:rPr>
          <w:fldChar w:fldCharType="begin"/>
        </w:r>
        <w:r w:rsidR="00E32B12">
          <w:rPr>
            <w:webHidden/>
          </w:rPr>
          <w:instrText xml:space="preserve"> PAGEREF _Toc477423961 \h </w:instrText>
        </w:r>
        <w:r w:rsidR="00E32B12">
          <w:rPr>
            <w:webHidden/>
          </w:rPr>
        </w:r>
        <w:r w:rsidR="00E32B12">
          <w:rPr>
            <w:webHidden/>
          </w:rPr>
          <w:fldChar w:fldCharType="separate"/>
        </w:r>
        <w:r w:rsidR="00603499">
          <w:rPr>
            <w:webHidden/>
          </w:rPr>
          <w:t>3</w:t>
        </w:r>
        <w:r w:rsidR="00E32B12">
          <w:rPr>
            <w:webHidden/>
          </w:rPr>
          <w:fldChar w:fldCharType="end"/>
        </w:r>
      </w:hyperlink>
    </w:p>
    <w:p w:rsidR="00E32B12" w:rsidRDefault="0038228F">
      <w:pPr>
        <w:pStyle w:val="Innehll1"/>
        <w:rPr>
          <w:rFonts w:asciiTheme="minorHAnsi" w:eastAsiaTheme="minorEastAsia" w:hAnsiTheme="minorHAnsi" w:cstheme="minorBidi"/>
          <w:sz w:val="22"/>
          <w:szCs w:val="22"/>
        </w:rPr>
      </w:pPr>
      <w:hyperlink w:anchor="_Toc477423962" w:history="1">
        <w:r w:rsidR="00E32B12" w:rsidRPr="0087337E">
          <w:rPr>
            <w:rStyle w:val="Hyperlnk"/>
          </w:rPr>
          <w:t>2. Nordiska ministerrådet</w:t>
        </w:r>
        <w:r w:rsidR="00E32B12">
          <w:rPr>
            <w:webHidden/>
          </w:rPr>
          <w:tab/>
        </w:r>
        <w:r w:rsidR="00E32B12">
          <w:rPr>
            <w:webHidden/>
          </w:rPr>
          <w:fldChar w:fldCharType="begin"/>
        </w:r>
        <w:r w:rsidR="00E32B12">
          <w:rPr>
            <w:webHidden/>
          </w:rPr>
          <w:instrText xml:space="preserve"> PAGEREF _Toc477423962 \h </w:instrText>
        </w:r>
        <w:r w:rsidR="00E32B12">
          <w:rPr>
            <w:webHidden/>
          </w:rPr>
        </w:r>
        <w:r w:rsidR="00E32B12">
          <w:rPr>
            <w:webHidden/>
          </w:rPr>
          <w:fldChar w:fldCharType="separate"/>
        </w:r>
        <w:r w:rsidR="00603499">
          <w:rPr>
            <w:webHidden/>
          </w:rPr>
          <w:t>3</w:t>
        </w:r>
        <w:r w:rsidR="00E32B12">
          <w:rPr>
            <w:webHidden/>
          </w:rPr>
          <w:fldChar w:fldCharType="end"/>
        </w:r>
      </w:hyperlink>
    </w:p>
    <w:p w:rsidR="00E32B12" w:rsidRDefault="0038228F">
      <w:pPr>
        <w:pStyle w:val="Innehll2"/>
        <w:rPr>
          <w:rFonts w:asciiTheme="minorHAnsi" w:eastAsiaTheme="minorEastAsia" w:hAnsiTheme="minorHAnsi" w:cstheme="minorBidi"/>
          <w:sz w:val="22"/>
          <w:szCs w:val="22"/>
        </w:rPr>
      </w:pPr>
      <w:hyperlink w:anchor="_Toc477423963" w:history="1">
        <w:r w:rsidR="00E32B12" w:rsidRPr="0087337E">
          <w:rPr>
            <w:rStyle w:val="Hyperlnk"/>
          </w:rPr>
          <w:t>2.1 Ålands möjlighet att påverka i det nordiska samarbetet</w:t>
        </w:r>
        <w:r w:rsidR="00E32B12">
          <w:rPr>
            <w:webHidden/>
          </w:rPr>
          <w:tab/>
        </w:r>
        <w:r w:rsidR="00E32B12">
          <w:rPr>
            <w:webHidden/>
          </w:rPr>
          <w:fldChar w:fldCharType="begin"/>
        </w:r>
        <w:r w:rsidR="00E32B12">
          <w:rPr>
            <w:webHidden/>
          </w:rPr>
          <w:instrText xml:space="preserve"> PAGEREF _Toc477423963 \h </w:instrText>
        </w:r>
        <w:r w:rsidR="00E32B12">
          <w:rPr>
            <w:webHidden/>
          </w:rPr>
        </w:r>
        <w:r w:rsidR="00E32B12">
          <w:rPr>
            <w:webHidden/>
          </w:rPr>
          <w:fldChar w:fldCharType="separate"/>
        </w:r>
        <w:r w:rsidR="00603499">
          <w:rPr>
            <w:webHidden/>
          </w:rPr>
          <w:t>4</w:t>
        </w:r>
        <w:r w:rsidR="00E32B12">
          <w:rPr>
            <w:webHidden/>
          </w:rPr>
          <w:fldChar w:fldCharType="end"/>
        </w:r>
      </w:hyperlink>
    </w:p>
    <w:p w:rsidR="00E32B12" w:rsidRDefault="0038228F">
      <w:pPr>
        <w:pStyle w:val="Innehll2"/>
        <w:rPr>
          <w:rFonts w:asciiTheme="minorHAnsi" w:eastAsiaTheme="minorEastAsia" w:hAnsiTheme="minorHAnsi" w:cstheme="minorBidi"/>
          <w:sz w:val="22"/>
          <w:szCs w:val="22"/>
        </w:rPr>
      </w:pPr>
      <w:hyperlink w:anchor="_Toc477423964" w:history="1">
        <w:r w:rsidR="00E32B12" w:rsidRPr="0087337E">
          <w:rPr>
            <w:rStyle w:val="Hyperlnk"/>
          </w:rPr>
          <w:t>2.2 Samarbetet med Nordiska rådet</w:t>
        </w:r>
        <w:r w:rsidR="00E32B12">
          <w:rPr>
            <w:webHidden/>
          </w:rPr>
          <w:tab/>
        </w:r>
        <w:r w:rsidR="00E32B12">
          <w:rPr>
            <w:webHidden/>
          </w:rPr>
          <w:fldChar w:fldCharType="begin"/>
        </w:r>
        <w:r w:rsidR="00E32B12">
          <w:rPr>
            <w:webHidden/>
          </w:rPr>
          <w:instrText xml:space="preserve"> PAGEREF _Toc477423964 \h </w:instrText>
        </w:r>
        <w:r w:rsidR="00E32B12">
          <w:rPr>
            <w:webHidden/>
          </w:rPr>
        </w:r>
        <w:r w:rsidR="00E32B12">
          <w:rPr>
            <w:webHidden/>
          </w:rPr>
          <w:fldChar w:fldCharType="separate"/>
        </w:r>
        <w:r w:rsidR="00603499">
          <w:rPr>
            <w:webHidden/>
          </w:rPr>
          <w:t>4</w:t>
        </w:r>
        <w:r w:rsidR="00E32B12">
          <w:rPr>
            <w:webHidden/>
          </w:rPr>
          <w:fldChar w:fldCharType="end"/>
        </w:r>
      </w:hyperlink>
    </w:p>
    <w:p w:rsidR="00E32B12" w:rsidRDefault="0038228F">
      <w:pPr>
        <w:pStyle w:val="Innehll2"/>
        <w:rPr>
          <w:rFonts w:asciiTheme="minorHAnsi" w:eastAsiaTheme="minorEastAsia" w:hAnsiTheme="minorHAnsi" w:cstheme="minorBidi"/>
          <w:sz w:val="22"/>
          <w:szCs w:val="22"/>
        </w:rPr>
      </w:pPr>
      <w:hyperlink w:anchor="_Toc477423965" w:history="1">
        <w:r w:rsidR="00E32B12" w:rsidRPr="0087337E">
          <w:rPr>
            <w:rStyle w:val="Hyperlnk"/>
          </w:rPr>
          <w:t>2.2 Ordförandeskap 2017</w:t>
        </w:r>
        <w:r w:rsidR="00E32B12">
          <w:rPr>
            <w:webHidden/>
          </w:rPr>
          <w:tab/>
        </w:r>
        <w:r w:rsidR="00E32B12">
          <w:rPr>
            <w:webHidden/>
          </w:rPr>
          <w:fldChar w:fldCharType="begin"/>
        </w:r>
        <w:r w:rsidR="00E32B12">
          <w:rPr>
            <w:webHidden/>
          </w:rPr>
          <w:instrText xml:space="preserve"> PAGEREF _Toc477423965 \h </w:instrText>
        </w:r>
        <w:r w:rsidR="00E32B12">
          <w:rPr>
            <w:webHidden/>
          </w:rPr>
        </w:r>
        <w:r w:rsidR="00E32B12">
          <w:rPr>
            <w:webHidden/>
          </w:rPr>
          <w:fldChar w:fldCharType="separate"/>
        </w:r>
        <w:r w:rsidR="00603499">
          <w:rPr>
            <w:webHidden/>
          </w:rPr>
          <w:t>4</w:t>
        </w:r>
        <w:r w:rsidR="00E32B12">
          <w:rPr>
            <w:webHidden/>
          </w:rPr>
          <w:fldChar w:fldCharType="end"/>
        </w:r>
      </w:hyperlink>
    </w:p>
    <w:p w:rsidR="00E32B12" w:rsidRDefault="0038228F">
      <w:pPr>
        <w:pStyle w:val="Innehll2"/>
        <w:rPr>
          <w:rFonts w:asciiTheme="minorHAnsi" w:eastAsiaTheme="minorEastAsia" w:hAnsiTheme="minorHAnsi" w:cstheme="minorBidi"/>
          <w:sz w:val="22"/>
          <w:szCs w:val="22"/>
        </w:rPr>
      </w:pPr>
      <w:hyperlink w:anchor="_Toc477423966" w:history="1">
        <w:r w:rsidR="00E32B12" w:rsidRPr="0087337E">
          <w:rPr>
            <w:rStyle w:val="Hyperlnk"/>
          </w:rPr>
          <w:t>2.3 Övergripande prioriteringar</w:t>
        </w:r>
        <w:r w:rsidR="00E32B12">
          <w:rPr>
            <w:webHidden/>
          </w:rPr>
          <w:tab/>
        </w:r>
        <w:r w:rsidR="00E32B12">
          <w:rPr>
            <w:webHidden/>
          </w:rPr>
          <w:fldChar w:fldCharType="begin"/>
        </w:r>
        <w:r w:rsidR="00E32B12">
          <w:rPr>
            <w:webHidden/>
          </w:rPr>
          <w:instrText xml:space="preserve"> PAGEREF _Toc477423966 \h </w:instrText>
        </w:r>
        <w:r w:rsidR="00E32B12">
          <w:rPr>
            <w:webHidden/>
          </w:rPr>
        </w:r>
        <w:r w:rsidR="00E32B12">
          <w:rPr>
            <w:webHidden/>
          </w:rPr>
          <w:fldChar w:fldCharType="separate"/>
        </w:r>
        <w:r w:rsidR="00603499">
          <w:rPr>
            <w:webHidden/>
          </w:rPr>
          <w:t>5</w:t>
        </w:r>
        <w:r w:rsidR="00E32B12">
          <w:rPr>
            <w:webHidden/>
          </w:rPr>
          <w:fldChar w:fldCharType="end"/>
        </w:r>
      </w:hyperlink>
    </w:p>
    <w:p w:rsidR="00E32B12" w:rsidRDefault="0038228F">
      <w:pPr>
        <w:pStyle w:val="Innehll3"/>
        <w:rPr>
          <w:rFonts w:asciiTheme="minorHAnsi" w:eastAsiaTheme="minorEastAsia" w:hAnsiTheme="minorHAnsi" w:cstheme="minorBidi"/>
          <w:sz w:val="22"/>
          <w:szCs w:val="22"/>
        </w:rPr>
      </w:pPr>
      <w:hyperlink w:anchor="_Toc477423967" w:history="1">
        <w:r w:rsidR="00E32B12" w:rsidRPr="0087337E">
          <w:rPr>
            <w:rStyle w:val="Hyperlnk"/>
          </w:rPr>
          <w:t>2.3.1 Språket</w:t>
        </w:r>
        <w:r w:rsidR="00E32B12">
          <w:rPr>
            <w:webHidden/>
          </w:rPr>
          <w:tab/>
        </w:r>
        <w:r w:rsidR="00E32B12">
          <w:rPr>
            <w:webHidden/>
          </w:rPr>
          <w:fldChar w:fldCharType="begin"/>
        </w:r>
        <w:r w:rsidR="00E32B12">
          <w:rPr>
            <w:webHidden/>
          </w:rPr>
          <w:instrText xml:space="preserve"> PAGEREF _Toc477423967 \h </w:instrText>
        </w:r>
        <w:r w:rsidR="00E32B12">
          <w:rPr>
            <w:webHidden/>
          </w:rPr>
        </w:r>
        <w:r w:rsidR="00E32B12">
          <w:rPr>
            <w:webHidden/>
          </w:rPr>
          <w:fldChar w:fldCharType="separate"/>
        </w:r>
        <w:r w:rsidR="00603499">
          <w:rPr>
            <w:webHidden/>
          </w:rPr>
          <w:t>5</w:t>
        </w:r>
        <w:r w:rsidR="00E32B12">
          <w:rPr>
            <w:webHidden/>
          </w:rPr>
          <w:fldChar w:fldCharType="end"/>
        </w:r>
      </w:hyperlink>
    </w:p>
    <w:p w:rsidR="00E32B12" w:rsidRDefault="0038228F">
      <w:pPr>
        <w:pStyle w:val="Innehll3"/>
        <w:rPr>
          <w:rFonts w:asciiTheme="minorHAnsi" w:eastAsiaTheme="minorEastAsia" w:hAnsiTheme="minorHAnsi" w:cstheme="minorBidi"/>
          <w:sz w:val="22"/>
          <w:szCs w:val="22"/>
        </w:rPr>
      </w:pPr>
      <w:hyperlink w:anchor="_Toc477423968" w:history="1">
        <w:r w:rsidR="00E32B12" w:rsidRPr="0087337E">
          <w:rPr>
            <w:rStyle w:val="Hyperlnk"/>
          </w:rPr>
          <w:t>2.3.2 Ålands, Färöarnas och Grönlands ställning i det nordiska samarbetet</w:t>
        </w:r>
        <w:r w:rsidR="00E32B12">
          <w:rPr>
            <w:webHidden/>
          </w:rPr>
          <w:tab/>
        </w:r>
        <w:r w:rsidR="00E32B12">
          <w:rPr>
            <w:webHidden/>
          </w:rPr>
          <w:fldChar w:fldCharType="begin"/>
        </w:r>
        <w:r w:rsidR="00E32B12">
          <w:rPr>
            <w:webHidden/>
          </w:rPr>
          <w:instrText xml:space="preserve"> PAGEREF _Toc477423968 \h </w:instrText>
        </w:r>
        <w:r w:rsidR="00E32B12">
          <w:rPr>
            <w:webHidden/>
          </w:rPr>
        </w:r>
        <w:r w:rsidR="00E32B12">
          <w:rPr>
            <w:webHidden/>
          </w:rPr>
          <w:fldChar w:fldCharType="separate"/>
        </w:r>
        <w:r w:rsidR="00603499">
          <w:rPr>
            <w:webHidden/>
          </w:rPr>
          <w:t>5</w:t>
        </w:r>
        <w:r w:rsidR="00E32B12">
          <w:rPr>
            <w:webHidden/>
          </w:rPr>
          <w:fldChar w:fldCharType="end"/>
        </w:r>
      </w:hyperlink>
    </w:p>
    <w:p w:rsidR="00E32B12" w:rsidRDefault="0038228F">
      <w:pPr>
        <w:pStyle w:val="Innehll3"/>
        <w:rPr>
          <w:rFonts w:asciiTheme="minorHAnsi" w:eastAsiaTheme="minorEastAsia" w:hAnsiTheme="minorHAnsi" w:cstheme="minorBidi"/>
          <w:sz w:val="22"/>
          <w:szCs w:val="22"/>
        </w:rPr>
      </w:pPr>
      <w:hyperlink w:anchor="_Toc477423969" w:history="1">
        <w:r w:rsidR="00E32B12" w:rsidRPr="0087337E">
          <w:rPr>
            <w:rStyle w:val="Hyperlnk"/>
          </w:rPr>
          <w:t>2.3.3 Gränshinderarbetet</w:t>
        </w:r>
        <w:r w:rsidR="00E32B12">
          <w:rPr>
            <w:webHidden/>
          </w:rPr>
          <w:tab/>
        </w:r>
        <w:r w:rsidR="00E32B12">
          <w:rPr>
            <w:webHidden/>
          </w:rPr>
          <w:fldChar w:fldCharType="begin"/>
        </w:r>
        <w:r w:rsidR="00E32B12">
          <w:rPr>
            <w:webHidden/>
          </w:rPr>
          <w:instrText xml:space="preserve"> PAGEREF _Toc477423969 \h </w:instrText>
        </w:r>
        <w:r w:rsidR="00E32B12">
          <w:rPr>
            <w:webHidden/>
          </w:rPr>
        </w:r>
        <w:r w:rsidR="00E32B12">
          <w:rPr>
            <w:webHidden/>
          </w:rPr>
          <w:fldChar w:fldCharType="separate"/>
        </w:r>
        <w:r w:rsidR="00603499">
          <w:rPr>
            <w:webHidden/>
          </w:rPr>
          <w:t>5</w:t>
        </w:r>
        <w:r w:rsidR="00E32B12">
          <w:rPr>
            <w:webHidden/>
          </w:rPr>
          <w:fldChar w:fldCharType="end"/>
        </w:r>
      </w:hyperlink>
    </w:p>
    <w:p w:rsidR="00E32B12" w:rsidRDefault="0038228F">
      <w:pPr>
        <w:pStyle w:val="Innehll3"/>
        <w:rPr>
          <w:rFonts w:asciiTheme="minorHAnsi" w:eastAsiaTheme="minorEastAsia" w:hAnsiTheme="minorHAnsi" w:cstheme="minorBidi"/>
          <w:sz w:val="22"/>
          <w:szCs w:val="22"/>
        </w:rPr>
      </w:pPr>
      <w:hyperlink w:anchor="_Toc477423970" w:history="1">
        <w:r w:rsidR="00E32B12" w:rsidRPr="0087337E">
          <w:rPr>
            <w:rStyle w:val="Hyperlnk"/>
          </w:rPr>
          <w:t>2.3.4 Näringsliv och arbetsmarknad</w:t>
        </w:r>
        <w:r w:rsidR="00E32B12">
          <w:rPr>
            <w:webHidden/>
          </w:rPr>
          <w:tab/>
        </w:r>
        <w:r w:rsidR="00E32B12">
          <w:rPr>
            <w:webHidden/>
          </w:rPr>
          <w:fldChar w:fldCharType="begin"/>
        </w:r>
        <w:r w:rsidR="00E32B12">
          <w:rPr>
            <w:webHidden/>
          </w:rPr>
          <w:instrText xml:space="preserve"> PAGEREF _Toc477423970 \h </w:instrText>
        </w:r>
        <w:r w:rsidR="00E32B12">
          <w:rPr>
            <w:webHidden/>
          </w:rPr>
        </w:r>
        <w:r w:rsidR="00E32B12">
          <w:rPr>
            <w:webHidden/>
          </w:rPr>
          <w:fldChar w:fldCharType="separate"/>
        </w:r>
        <w:r w:rsidR="00603499">
          <w:rPr>
            <w:webHidden/>
          </w:rPr>
          <w:t>6</w:t>
        </w:r>
        <w:r w:rsidR="00E32B12">
          <w:rPr>
            <w:webHidden/>
          </w:rPr>
          <w:fldChar w:fldCharType="end"/>
        </w:r>
      </w:hyperlink>
    </w:p>
    <w:p w:rsidR="00E32B12" w:rsidRDefault="0038228F">
      <w:pPr>
        <w:pStyle w:val="Innehll3"/>
        <w:rPr>
          <w:rFonts w:asciiTheme="minorHAnsi" w:eastAsiaTheme="minorEastAsia" w:hAnsiTheme="minorHAnsi" w:cstheme="minorBidi"/>
          <w:sz w:val="22"/>
          <w:szCs w:val="22"/>
        </w:rPr>
      </w:pPr>
      <w:hyperlink w:anchor="_Toc477423971" w:history="1">
        <w:r w:rsidR="00E32B12" w:rsidRPr="0087337E">
          <w:rPr>
            <w:rStyle w:val="Hyperlnk"/>
          </w:rPr>
          <w:t>2.3.5 Ny Nordisk Mat</w:t>
        </w:r>
        <w:r w:rsidR="00E32B12">
          <w:rPr>
            <w:webHidden/>
          </w:rPr>
          <w:tab/>
        </w:r>
        <w:r w:rsidR="00E32B12">
          <w:rPr>
            <w:webHidden/>
          </w:rPr>
          <w:fldChar w:fldCharType="begin"/>
        </w:r>
        <w:r w:rsidR="00E32B12">
          <w:rPr>
            <w:webHidden/>
          </w:rPr>
          <w:instrText xml:space="preserve"> PAGEREF _Toc477423971 \h </w:instrText>
        </w:r>
        <w:r w:rsidR="00E32B12">
          <w:rPr>
            <w:webHidden/>
          </w:rPr>
        </w:r>
        <w:r w:rsidR="00E32B12">
          <w:rPr>
            <w:webHidden/>
          </w:rPr>
          <w:fldChar w:fldCharType="separate"/>
        </w:r>
        <w:r w:rsidR="00603499">
          <w:rPr>
            <w:webHidden/>
          </w:rPr>
          <w:t>6</w:t>
        </w:r>
        <w:r w:rsidR="00E32B12">
          <w:rPr>
            <w:webHidden/>
          </w:rPr>
          <w:fldChar w:fldCharType="end"/>
        </w:r>
      </w:hyperlink>
    </w:p>
    <w:p w:rsidR="00E32B12" w:rsidRDefault="0038228F">
      <w:pPr>
        <w:pStyle w:val="Innehll3"/>
        <w:rPr>
          <w:rFonts w:asciiTheme="minorHAnsi" w:eastAsiaTheme="minorEastAsia" w:hAnsiTheme="minorHAnsi" w:cstheme="minorBidi"/>
          <w:sz w:val="22"/>
          <w:szCs w:val="22"/>
        </w:rPr>
      </w:pPr>
      <w:hyperlink w:anchor="_Toc477423972" w:history="1">
        <w:r w:rsidR="00E32B12" w:rsidRPr="0087337E">
          <w:rPr>
            <w:rStyle w:val="Hyperlnk"/>
          </w:rPr>
          <w:t>2.3.6 Kultur</w:t>
        </w:r>
        <w:r w:rsidR="00E32B12">
          <w:rPr>
            <w:webHidden/>
          </w:rPr>
          <w:tab/>
        </w:r>
        <w:r w:rsidR="00E32B12">
          <w:rPr>
            <w:webHidden/>
          </w:rPr>
          <w:fldChar w:fldCharType="begin"/>
        </w:r>
        <w:r w:rsidR="00E32B12">
          <w:rPr>
            <w:webHidden/>
          </w:rPr>
          <w:instrText xml:space="preserve"> PAGEREF _Toc477423972 \h </w:instrText>
        </w:r>
        <w:r w:rsidR="00E32B12">
          <w:rPr>
            <w:webHidden/>
          </w:rPr>
        </w:r>
        <w:r w:rsidR="00E32B12">
          <w:rPr>
            <w:webHidden/>
          </w:rPr>
          <w:fldChar w:fldCharType="separate"/>
        </w:r>
        <w:r w:rsidR="00603499">
          <w:rPr>
            <w:webHidden/>
          </w:rPr>
          <w:t>7</w:t>
        </w:r>
        <w:r w:rsidR="00E32B12">
          <w:rPr>
            <w:webHidden/>
          </w:rPr>
          <w:fldChar w:fldCharType="end"/>
        </w:r>
      </w:hyperlink>
    </w:p>
    <w:p w:rsidR="00E32B12" w:rsidRDefault="0038228F">
      <w:pPr>
        <w:pStyle w:val="Innehll3"/>
        <w:rPr>
          <w:rFonts w:asciiTheme="minorHAnsi" w:eastAsiaTheme="minorEastAsia" w:hAnsiTheme="minorHAnsi" w:cstheme="minorBidi"/>
          <w:sz w:val="22"/>
          <w:szCs w:val="22"/>
        </w:rPr>
      </w:pPr>
      <w:hyperlink w:anchor="_Toc477423973" w:history="1">
        <w:r w:rsidR="00E32B12" w:rsidRPr="0087337E">
          <w:rPr>
            <w:rStyle w:val="Hyperlnk"/>
          </w:rPr>
          <w:t>2.3.7 Utbildning</w:t>
        </w:r>
        <w:r w:rsidR="00E32B12">
          <w:rPr>
            <w:webHidden/>
          </w:rPr>
          <w:tab/>
        </w:r>
        <w:r w:rsidR="00E32B12">
          <w:rPr>
            <w:webHidden/>
          </w:rPr>
          <w:fldChar w:fldCharType="begin"/>
        </w:r>
        <w:r w:rsidR="00E32B12">
          <w:rPr>
            <w:webHidden/>
          </w:rPr>
          <w:instrText xml:space="preserve"> PAGEREF _Toc477423973 \h </w:instrText>
        </w:r>
        <w:r w:rsidR="00E32B12">
          <w:rPr>
            <w:webHidden/>
          </w:rPr>
        </w:r>
        <w:r w:rsidR="00E32B12">
          <w:rPr>
            <w:webHidden/>
          </w:rPr>
          <w:fldChar w:fldCharType="separate"/>
        </w:r>
        <w:r w:rsidR="00603499">
          <w:rPr>
            <w:webHidden/>
          </w:rPr>
          <w:t>8</w:t>
        </w:r>
        <w:r w:rsidR="00E32B12">
          <w:rPr>
            <w:webHidden/>
          </w:rPr>
          <w:fldChar w:fldCharType="end"/>
        </w:r>
      </w:hyperlink>
    </w:p>
    <w:p w:rsidR="00E32B12" w:rsidRDefault="0038228F">
      <w:pPr>
        <w:pStyle w:val="Innehll3"/>
        <w:rPr>
          <w:rFonts w:asciiTheme="minorHAnsi" w:eastAsiaTheme="minorEastAsia" w:hAnsiTheme="minorHAnsi" w:cstheme="minorBidi"/>
          <w:sz w:val="22"/>
          <w:szCs w:val="22"/>
        </w:rPr>
      </w:pPr>
      <w:hyperlink w:anchor="_Toc477423974" w:history="1">
        <w:r w:rsidR="00E32B12" w:rsidRPr="0087337E">
          <w:rPr>
            <w:rStyle w:val="Hyperlnk"/>
          </w:rPr>
          <w:t>2.3.8 Jämställdhet</w:t>
        </w:r>
        <w:r w:rsidR="00E32B12">
          <w:rPr>
            <w:webHidden/>
          </w:rPr>
          <w:tab/>
        </w:r>
        <w:r w:rsidR="00E32B12">
          <w:rPr>
            <w:webHidden/>
          </w:rPr>
          <w:fldChar w:fldCharType="begin"/>
        </w:r>
        <w:r w:rsidR="00E32B12">
          <w:rPr>
            <w:webHidden/>
          </w:rPr>
          <w:instrText xml:space="preserve"> PAGEREF _Toc477423974 \h </w:instrText>
        </w:r>
        <w:r w:rsidR="00E32B12">
          <w:rPr>
            <w:webHidden/>
          </w:rPr>
        </w:r>
        <w:r w:rsidR="00E32B12">
          <w:rPr>
            <w:webHidden/>
          </w:rPr>
          <w:fldChar w:fldCharType="separate"/>
        </w:r>
        <w:r w:rsidR="00603499">
          <w:rPr>
            <w:webHidden/>
          </w:rPr>
          <w:t>9</w:t>
        </w:r>
        <w:r w:rsidR="00E32B12">
          <w:rPr>
            <w:webHidden/>
          </w:rPr>
          <w:fldChar w:fldCharType="end"/>
        </w:r>
      </w:hyperlink>
    </w:p>
    <w:p w:rsidR="00E32B12" w:rsidRDefault="0038228F">
      <w:pPr>
        <w:pStyle w:val="Innehll3"/>
        <w:rPr>
          <w:rFonts w:asciiTheme="minorHAnsi" w:eastAsiaTheme="minorEastAsia" w:hAnsiTheme="minorHAnsi" w:cstheme="minorBidi"/>
          <w:sz w:val="22"/>
          <w:szCs w:val="22"/>
        </w:rPr>
      </w:pPr>
      <w:hyperlink w:anchor="_Toc477423975" w:history="1">
        <w:r w:rsidR="00E32B12" w:rsidRPr="0087337E">
          <w:rPr>
            <w:rStyle w:val="Hyperlnk"/>
          </w:rPr>
          <w:t>2.3.9 Integration</w:t>
        </w:r>
        <w:r w:rsidR="00E32B12">
          <w:rPr>
            <w:webHidden/>
          </w:rPr>
          <w:tab/>
        </w:r>
        <w:r w:rsidR="00E32B12">
          <w:rPr>
            <w:webHidden/>
          </w:rPr>
          <w:fldChar w:fldCharType="begin"/>
        </w:r>
        <w:r w:rsidR="00E32B12">
          <w:rPr>
            <w:webHidden/>
          </w:rPr>
          <w:instrText xml:space="preserve"> PAGEREF _Toc477423975 \h </w:instrText>
        </w:r>
        <w:r w:rsidR="00E32B12">
          <w:rPr>
            <w:webHidden/>
          </w:rPr>
        </w:r>
        <w:r w:rsidR="00E32B12">
          <w:rPr>
            <w:webHidden/>
          </w:rPr>
          <w:fldChar w:fldCharType="separate"/>
        </w:r>
        <w:r w:rsidR="00603499">
          <w:rPr>
            <w:webHidden/>
          </w:rPr>
          <w:t>10</w:t>
        </w:r>
        <w:r w:rsidR="00E32B12">
          <w:rPr>
            <w:webHidden/>
          </w:rPr>
          <w:fldChar w:fldCharType="end"/>
        </w:r>
      </w:hyperlink>
    </w:p>
    <w:p w:rsidR="00E32B12" w:rsidRDefault="0038228F">
      <w:pPr>
        <w:pStyle w:val="Innehll3"/>
        <w:rPr>
          <w:rFonts w:asciiTheme="minorHAnsi" w:eastAsiaTheme="minorEastAsia" w:hAnsiTheme="minorHAnsi" w:cstheme="minorBidi"/>
          <w:sz w:val="22"/>
          <w:szCs w:val="22"/>
        </w:rPr>
      </w:pPr>
      <w:hyperlink w:anchor="_Toc477423976" w:history="1">
        <w:r w:rsidR="00E32B12" w:rsidRPr="0087337E">
          <w:rPr>
            <w:rStyle w:val="Hyperlnk"/>
          </w:rPr>
          <w:t>2.3.10 Finans</w:t>
        </w:r>
        <w:r w:rsidR="00E32B12">
          <w:rPr>
            <w:webHidden/>
          </w:rPr>
          <w:tab/>
        </w:r>
        <w:r w:rsidR="00E32B12">
          <w:rPr>
            <w:webHidden/>
          </w:rPr>
          <w:fldChar w:fldCharType="begin"/>
        </w:r>
        <w:r w:rsidR="00E32B12">
          <w:rPr>
            <w:webHidden/>
          </w:rPr>
          <w:instrText xml:space="preserve"> PAGEREF _Toc477423976 \h </w:instrText>
        </w:r>
        <w:r w:rsidR="00E32B12">
          <w:rPr>
            <w:webHidden/>
          </w:rPr>
        </w:r>
        <w:r w:rsidR="00E32B12">
          <w:rPr>
            <w:webHidden/>
          </w:rPr>
          <w:fldChar w:fldCharType="separate"/>
        </w:r>
        <w:r w:rsidR="00603499">
          <w:rPr>
            <w:webHidden/>
          </w:rPr>
          <w:t>10</w:t>
        </w:r>
        <w:r w:rsidR="00E32B12">
          <w:rPr>
            <w:webHidden/>
          </w:rPr>
          <w:fldChar w:fldCharType="end"/>
        </w:r>
      </w:hyperlink>
    </w:p>
    <w:p w:rsidR="00E32B12" w:rsidRDefault="0038228F">
      <w:pPr>
        <w:pStyle w:val="Innehll3"/>
        <w:rPr>
          <w:rFonts w:asciiTheme="minorHAnsi" w:eastAsiaTheme="minorEastAsia" w:hAnsiTheme="minorHAnsi" w:cstheme="minorBidi"/>
          <w:sz w:val="22"/>
          <w:szCs w:val="22"/>
        </w:rPr>
      </w:pPr>
      <w:hyperlink w:anchor="_Toc477423977" w:history="1">
        <w:r w:rsidR="00E32B12" w:rsidRPr="0087337E">
          <w:rPr>
            <w:rStyle w:val="Hyperlnk"/>
          </w:rPr>
          <w:t>2.3.11 Energi</w:t>
        </w:r>
        <w:r w:rsidR="00E32B12">
          <w:rPr>
            <w:webHidden/>
          </w:rPr>
          <w:tab/>
        </w:r>
        <w:r w:rsidR="00E32B12">
          <w:rPr>
            <w:webHidden/>
          </w:rPr>
          <w:fldChar w:fldCharType="begin"/>
        </w:r>
        <w:r w:rsidR="00E32B12">
          <w:rPr>
            <w:webHidden/>
          </w:rPr>
          <w:instrText xml:space="preserve"> PAGEREF _Toc477423977 \h </w:instrText>
        </w:r>
        <w:r w:rsidR="00E32B12">
          <w:rPr>
            <w:webHidden/>
          </w:rPr>
        </w:r>
        <w:r w:rsidR="00E32B12">
          <w:rPr>
            <w:webHidden/>
          </w:rPr>
          <w:fldChar w:fldCharType="separate"/>
        </w:r>
        <w:r w:rsidR="00603499">
          <w:rPr>
            <w:webHidden/>
          </w:rPr>
          <w:t>11</w:t>
        </w:r>
        <w:r w:rsidR="00E32B12">
          <w:rPr>
            <w:webHidden/>
          </w:rPr>
          <w:fldChar w:fldCharType="end"/>
        </w:r>
      </w:hyperlink>
    </w:p>
    <w:p w:rsidR="00E32B12" w:rsidRDefault="0038228F">
      <w:pPr>
        <w:pStyle w:val="Innehll3"/>
        <w:rPr>
          <w:rFonts w:asciiTheme="minorHAnsi" w:eastAsiaTheme="minorEastAsia" w:hAnsiTheme="minorHAnsi" w:cstheme="minorBidi"/>
          <w:sz w:val="22"/>
          <w:szCs w:val="22"/>
        </w:rPr>
      </w:pPr>
      <w:hyperlink w:anchor="_Toc477423978" w:history="1">
        <w:r w:rsidR="00E32B12" w:rsidRPr="0087337E">
          <w:rPr>
            <w:rStyle w:val="Hyperlnk"/>
          </w:rPr>
          <w:t>2.3.12 Miljö</w:t>
        </w:r>
        <w:r w:rsidR="00E32B12">
          <w:rPr>
            <w:webHidden/>
          </w:rPr>
          <w:tab/>
        </w:r>
        <w:r w:rsidR="00E32B12">
          <w:rPr>
            <w:webHidden/>
          </w:rPr>
          <w:fldChar w:fldCharType="begin"/>
        </w:r>
        <w:r w:rsidR="00E32B12">
          <w:rPr>
            <w:webHidden/>
          </w:rPr>
          <w:instrText xml:space="preserve"> PAGEREF _Toc477423978 \h </w:instrText>
        </w:r>
        <w:r w:rsidR="00E32B12">
          <w:rPr>
            <w:webHidden/>
          </w:rPr>
        </w:r>
        <w:r w:rsidR="00E32B12">
          <w:rPr>
            <w:webHidden/>
          </w:rPr>
          <w:fldChar w:fldCharType="separate"/>
        </w:r>
        <w:r w:rsidR="00603499">
          <w:rPr>
            <w:webHidden/>
          </w:rPr>
          <w:t>11</w:t>
        </w:r>
        <w:r w:rsidR="00E32B12">
          <w:rPr>
            <w:webHidden/>
          </w:rPr>
          <w:fldChar w:fldCharType="end"/>
        </w:r>
      </w:hyperlink>
    </w:p>
    <w:p w:rsidR="00E32B12" w:rsidRDefault="0038228F">
      <w:pPr>
        <w:pStyle w:val="Innehll3"/>
        <w:rPr>
          <w:rFonts w:asciiTheme="minorHAnsi" w:eastAsiaTheme="minorEastAsia" w:hAnsiTheme="minorHAnsi" w:cstheme="minorBidi"/>
          <w:sz w:val="22"/>
          <w:szCs w:val="22"/>
        </w:rPr>
      </w:pPr>
      <w:hyperlink w:anchor="_Toc477423979" w:history="1">
        <w:r w:rsidR="00E32B12" w:rsidRPr="0087337E">
          <w:rPr>
            <w:rStyle w:val="Hyperlnk"/>
          </w:rPr>
          <w:t>2.3.13 Social- och hälsopolitik</w:t>
        </w:r>
        <w:r w:rsidR="00E32B12">
          <w:rPr>
            <w:webHidden/>
          </w:rPr>
          <w:tab/>
        </w:r>
        <w:r w:rsidR="00E32B12">
          <w:rPr>
            <w:webHidden/>
          </w:rPr>
          <w:fldChar w:fldCharType="begin"/>
        </w:r>
        <w:r w:rsidR="00E32B12">
          <w:rPr>
            <w:webHidden/>
          </w:rPr>
          <w:instrText xml:space="preserve"> PAGEREF _Toc477423979 \h </w:instrText>
        </w:r>
        <w:r w:rsidR="00E32B12">
          <w:rPr>
            <w:webHidden/>
          </w:rPr>
        </w:r>
        <w:r w:rsidR="00E32B12">
          <w:rPr>
            <w:webHidden/>
          </w:rPr>
          <w:fldChar w:fldCharType="separate"/>
        </w:r>
        <w:r w:rsidR="00603499">
          <w:rPr>
            <w:webHidden/>
          </w:rPr>
          <w:t>11</w:t>
        </w:r>
        <w:r w:rsidR="00E32B12">
          <w:rPr>
            <w:webHidden/>
          </w:rPr>
          <w:fldChar w:fldCharType="end"/>
        </w:r>
      </w:hyperlink>
    </w:p>
    <w:p w:rsidR="00E32B12" w:rsidRDefault="0038228F">
      <w:pPr>
        <w:pStyle w:val="Innehll3"/>
        <w:rPr>
          <w:rFonts w:asciiTheme="minorHAnsi" w:eastAsiaTheme="minorEastAsia" w:hAnsiTheme="minorHAnsi" w:cstheme="minorBidi"/>
          <w:sz w:val="22"/>
          <w:szCs w:val="22"/>
        </w:rPr>
      </w:pPr>
      <w:hyperlink w:anchor="_Toc477423980" w:history="1">
        <w:r w:rsidR="00E32B12" w:rsidRPr="0087337E">
          <w:rPr>
            <w:rStyle w:val="Hyperlnk"/>
          </w:rPr>
          <w:t>2.3.14 Informella nordiska ministermöten</w:t>
        </w:r>
        <w:r w:rsidR="00E32B12">
          <w:rPr>
            <w:webHidden/>
          </w:rPr>
          <w:tab/>
        </w:r>
        <w:r w:rsidR="00E32B12">
          <w:rPr>
            <w:webHidden/>
          </w:rPr>
          <w:fldChar w:fldCharType="begin"/>
        </w:r>
        <w:r w:rsidR="00E32B12">
          <w:rPr>
            <w:webHidden/>
          </w:rPr>
          <w:instrText xml:space="preserve"> PAGEREF _Toc477423980 \h </w:instrText>
        </w:r>
        <w:r w:rsidR="00E32B12">
          <w:rPr>
            <w:webHidden/>
          </w:rPr>
        </w:r>
        <w:r w:rsidR="00E32B12">
          <w:rPr>
            <w:webHidden/>
          </w:rPr>
          <w:fldChar w:fldCharType="separate"/>
        </w:r>
        <w:r w:rsidR="00603499">
          <w:rPr>
            <w:webHidden/>
          </w:rPr>
          <w:t>12</w:t>
        </w:r>
        <w:r w:rsidR="00E32B12">
          <w:rPr>
            <w:webHidden/>
          </w:rPr>
          <w:fldChar w:fldCharType="end"/>
        </w:r>
      </w:hyperlink>
    </w:p>
    <w:p w:rsidR="00E32B12" w:rsidRDefault="0038228F">
      <w:pPr>
        <w:pStyle w:val="Innehll1"/>
        <w:rPr>
          <w:rFonts w:asciiTheme="minorHAnsi" w:eastAsiaTheme="minorEastAsia" w:hAnsiTheme="minorHAnsi" w:cstheme="minorBidi"/>
          <w:sz w:val="22"/>
          <w:szCs w:val="22"/>
        </w:rPr>
      </w:pPr>
      <w:hyperlink w:anchor="_Toc477423981" w:history="1">
        <w:r w:rsidR="00E32B12" w:rsidRPr="0087337E">
          <w:rPr>
            <w:rStyle w:val="Hyperlnk"/>
          </w:rPr>
          <w:t>3. EU</w:t>
        </w:r>
        <w:r w:rsidR="00E32B12">
          <w:rPr>
            <w:webHidden/>
          </w:rPr>
          <w:tab/>
        </w:r>
        <w:r w:rsidR="00E32B12">
          <w:rPr>
            <w:webHidden/>
          </w:rPr>
          <w:fldChar w:fldCharType="begin"/>
        </w:r>
        <w:r w:rsidR="00E32B12">
          <w:rPr>
            <w:webHidden/>
          </w:rPr>
          <w:instrText xml:space="preserve"> PAGEREF _Toc477423981 \h </w:instrText>
        </w:r>
        <w:r w:rsidR="00E32B12">
          <w:rPr>
            <w:webHidden/>
          </w:rPr>
        </w:r>
        <w:r w:rsidR="00E32B12">
          <w:rPr>
            <w:webHidden/>
          </w:rPr>
          <w:fldChar w:fldCharType="separate"/>
        </w:r>
        <w:r w:rsidR="00603499">
          <w:rPr>
            <w:webHidden/>
          </w:rPr>
          <w:t>14</w:t>
        </w:r>
        <w:r w:rsidR="00E32B12">
          <w:rPr>
            <w:webHidden/>
          </w:rPr>
          <w:fldChar w:fldCharType="end"/>
        </w:r>
      </w:hyperlink>
    </w:p>
    <w:p w:rsidR="00E32B12" w:rsidRDefault="0038228F">
      <w:pPr>
        <w:pStyle w:val="Innehll2"/>
        <w:rPr>
          <w:rFonts w:asciiTheme="minorHAnsi" w:eastAsiaTheme="minorEastAsia" w:hAnsiTheme="minorHAnsi" w:cstheme="minorBidi"/>
          <w:sz w:val="22"/>
          <w:szCs w:val="22"/>
        </w:rPr>
      </w:pPr>
      <w:hyperlink w:anchor="_Toc477423982" w:history="1">
        <w:r w:rsidR="00E32B12" w:rsidRPr="0087337E">
          <w:rPr>
            <w:rStyle w:val="Hyperlnk"/>
          </w:rPr>
          <w:t>3.1 Landskapets möjligheter till inflytande i EU-ärenden</w:t>
        </w:r>
        <w:r w:rsidR="00E32B12">
          <w:rPr>
            <w:webHidden/>
          </w:rPr>
          <w:tab/>
        </w:r>
        <w:r w:rsidR="00E32B12">
          <w:rPr>
            <w:webHidden/>
          </w:rPr>
          <w:fldChar w:fldCharType="begin"/>
        </w:r>
        <w:r w:rsidR="00E32B12">
          <w:rPr>
            <w:webHidden/>
          </w:rPr>
          <w:instrText xml:space="preserve"> PAGEREF _Toc477423982 \h </w:instrText>
        </w:r>
        <w:r w:rsidR="00E32B12">
          <w:rPr>
            <w:webHidden/>
          </w:rPr>
        </w:r>
        <w:r w:rsidR="00E32B12">
          <w:rPr>
            <w:webHidden/>
          </w:rPr>
          <w:fldChar w:fldCharType="separate"/>
        </w:r>
        <w:r w:rsidR="00603499">
          <w:rPr>
            <w:webHidden/>
          </w:rPr>
          <w:t>16</w:t>
        </w:r>
        <w:r w:rsidR="00E32B12">
          <w:rPr>
            <w:webHidden/>
          </w:rPr>
          <w:fldChar w:fldCharType="end"/>
        </w:r>
      </w:hyperlink>
    </w:p>
    <w:p w:rsidR="00E32B12" w:rsidRDefault="0038228F">
      <w:pPr>
        <w:pStyle w:val="Innehll3"/>
        <w:rPr>
          <w:rFonts w:asciiTheme="minorHAnsi" w:eastAsiaTheme="minorEastAsia" w:hAnsiTheme="minorHAnsi" w:cstheme="minorBidi"/>
          <w:sz w:val="22"/>
          <w:szCs w:val="22"/>
        </w:rPr>
      </w:pPr>
      <w:hyperlink w:anchor="_Toc477423983" w:history="1">
        <w:r w:rsidR="00E32B12" w:rsidRPr="0087337E">
          <w:rPr>
            <w:rStyle w:val="Hyperlnk"/>
          </w:rPr>
          <w:t>3.1.1 Landskapsregeringens specialrådgivare i Bryssel</w:t>
        </w:r>
        <w:r w:rsidR="00E32B12">
          <w:rPr>
            <w:webHidden/>
          </w:rPr>
          <w:tab/>
        </w:r>
        <w:r w:rsidR="00E32B12">
          <w:rPr>
            <w:webHidden/>
          </w:rPr>
          <w:fldChar w:fldCharType="begin"/>
        </w:r>
        <w:r w:rsidR="00E32B12">
          <w:rPr>
            <w:webHidden/>
          </w:rPr>
          <w:instrText xml:space="preserve"> PAGEREF _Toc477423983 \h </w:instrText>
        </w:r>
        <w:r w:rsidR="00E32B12">
          <w:rPr>
            <w:webHidden/>
          </w:rPr>
        </w:r>
        <w:r w:rsidR="00E32B12">
          <w:rPr>
            <w:webHidden/>
          </w:rPr>
          <w:fldChar w:fldCharType="separate"/>
        </w:r>
        <w:r w:rsidR="00603499">
          <w:rPr>
            <w:webHidden/>
          </w:rPr>
          <w:t>16</w:t>
        </w:r>
        <w:r w:rsidR="00E32B12">
          <w:rPr>
            <w:webHidden/>
          </w:rPr>
          <w:fldChar w:fldCharType="end"/>
        </w:r>
      </w:hyperlink>
    </w:p>
    <w:p w:rsidR="00E32B12" w:rsidRDefault="0038228F">
      <w:pPr>
        <w:pStyle w:val="Innehll3"/>
        <w:rPr>
          <w:rFonts w:asciiTheme="minorHAnsi" w:eastAsiaTheme="minorEastAsia" w:hAnsiTheme="minorHAnsi" w:cstheme="minorBidi"/>
          <w:sz w:val="22"/>
          <w:szCs w:val="22"/>
        </w:rPr>
      </w:pPr>
      <w:hyperlink w:anchor="_Toc477423984" w:history="1">
        <w:r w:rsidR="00E32B12" w:rsidRPr="0087337E">
          <w:rPr>
            <w:rStyle w:val="Hyperlnk"/>
          </w:rPr>
          <w:t>3.1.2 Nationell expert vid kommissionen</w:t>
        </w:r>
        <w:r w:rsidR="00E32B12">
          <w:rPr>
            <w:webHidden/>
          </w:rPr>
          <w:tab/>
        </w:r>
        <w:r w:rsidR="00E32B12">
          <w:rPr>
            <w:webHidden/>
          </w:rPr>
          <w:fldChar w:fldCharType="begin"/>
        </w:r>
        <w:r w:rsidR="00E32B12">
          <w:rPr>
            <w:webHidden/>
          </w:rPr>
          <w:instrText xml:space="preserve"> PAGEREF _Toc477423984 \h </w:instrText>
        </w:r>
        <w:r w:rsidR="00E32B12">
          <w:rPr>
            <w:webHidden/>
          </w:rPr>
        </w:r>
        <w:r w:rsidR="00E32B12">
          <w:rPr>
            <w:webHidden/>
          </w:rPr>
          <w:fldChar w:fldCharType="separate"/>
        </w:r>
        <w:r w:rsidR="00603499">
          <w:rPr>
            <w:webHidden/>
          </w:rPr>
          <w:t>16</w:t>
        </w:r>
        <w:r w:rsidR="00E32B12">
          <w:rPr>
            <w:webHidden/>
          </w:rPr>
          <w:fldChar w:fldCharType="end"/>
        </w:r>
      </w:hyperlink>
    </w:p>
    <w:p w:rsidR="00E32B12" w:rsidRDefault="0038228F">
      <w:pPr>
        <w:pStyle w:val="Innehll3"/>
        <w:rPr>
          <w:rFonts w:asciiTheme="minorHAnsi" w:eastAsiaTheme="minorEastAsia" w:hAnsiTheme="minorHAnsi" w:cstheme="minorBidi"/>
          <w:sz w:val="22"/>
          <w:szCs w:val="22"/>
        </w:rPr>
      </w:pPr>
      <w:hyperlink w:anchor="_Toc477423985" w:history="1">
        <w:r w:rsidR="00E32B12" w:rsidRPr="0087337E">
          <w:rPr>
            <w:rStyle w:val="Hyperlnk"/>
          </w:rPr>
          <w:t>3.1.3 Samarbete med Europaparlamentariker</w:t>
        </w:r>
        <w:r w:rsidR="00E32B12">
          <w:rPr>
            <w:webHidden/>
          </w:rPr>
          <w:tab/>
        </w:r>
        <w:r w:rsidR="00E32B12">
          <w:rPr>
            <w:webHidden/>
          </w:rPr>
          <w:fldChar w:fldCharType="begin"/>
        </w:r>
        <w:r w:rsidR="00E32B12">
          <w:rPr>
            <w:webHidden/>
          </w:rPr>
          <w:instrText xml:space="preserve"> PAGEREF _Toc477423985 \h </w:instrText>
        </w:r>
        <w:r w:rsidR="00E32B12">
          <w:rPr>
            <w:webHidden/>
          </w:rPr>
        </w:r>
        <w:r w:rsidR="00E32B12">
          <w:rPr>
            <w:webHidden/>
          </w:rPr>
          <w:fldChar w:fldCharType="separate"/>
        </w:r>
        <w:r w:rsidR="00603499">
          <w:rPr>
            <w:webHidden/>
          </w:rPr>
          <w:t>16</w:t>
        </w:r>
        <w:r w:rsidR="00E32B12">
          <w:rPr>
            <w:webHidden/>
          </w:rPr>
          <w:fldChar w:fldCharType="end"/>
        </w:r>
      </w:hyperlink>
    </w:p>
    <w:p w:rsidR="00E32B12" w:rsidRDefault="0038228F">
      <w:pPr>
        <w:pStyle w:val="Innehll3"/>
        <w:rPr>
          <w:rFonts w:asciiTheme="minorHAnsi" w:eastAsiaTheme="minorEastAsia" w:hAnsiTheme="minorHAnsi" w:cstheme="minorBidi"/>
          <w:sz w:val="22"/>
          <w:szCs w:val="22"/>
        </w:rPr>
      </w:pPr>
      <w:hyperlink w:anchor="_Toc477423986" w:history="1">
        <w:r w:rsidR="00E32B12" w:rsidRPr="0087337E">
          <w:rPr>
            <w:rStyle w:val="Hyperlnk"/>
          </w:rPr>
          <w:t>3.1.4 Regionkommittén</w:t>
        </w:r>
        <w:r w:rsidR="00E32B12">
          <w:rPr>
            <w:webHidden/>
          </w:rPr>
          <w:tab/>
        </w:r>
        <w:r w:rsidR="00E32B12">
          <w:rPr>
            <w:webHidden/>
          </w:rPr>
          <w:fldChar w:fldCharType="begin"/>
        </w:r>
        <w:r w:rsidR="00E32B12">
          <w:rPr>
            <w:webHidden/>
          </w:rPr>
          <w:instrText xml:space="preserve"> PAGEREF _Toc477423986 \h </w:instrText>
        </w:r>
        <w:r w:rsidR="00E32B12">
          <w:rPr>
            <w:webHidden/>
          </w:rPr>
        </w:r>
        <w:r w:rsidR="00E32B12">
          <w:rPr>
            <w:webHidden/>
          </w:rPr>
          <w:fldChar w:fldCharType="separate"/>
        </w:r>
        <w:r w:rsidR="00603499">
          <w:rPr>
            <w:webHidden/>
          </w:rPr>
          <w:t>17</w:t>
        </w:r>
        <w:r w:rsidR="00E32B12">
          <w:rPr>
            <w:webHidden/>
          </w:rPr>
          <w:fldChar w:fldCharType="end"/>
        </w:r>
      </w:hyperlink>
    </w:p>
    <w:p w:rsidR="00E32B12" w:rsidRDefault="0038228F">
      <w:pPr>
        <w:pStyle w:val="Innehll3"/>
        <w:rPr>
          <w:rFonts w:asciiTheme="minorHAnsi" w:eastAsiaTheme="minorEastAsia" w:hAnsiTheme="minorHAnsi" w:cstheme="minorBidi"/>
          <w:sz w:val="22"/>
          <w:szCs w:val="22"/>
        </w:rPr>
      </w:pPr>
      <w:hyperlink w:anchor="_Toc477423987" w:history="1">
        <w:r w:rsidR="00E32B12" w:rsidRPr="0087337E">
          <w:rPr>
            <w:rStyle w:val="Hyperlnk"/>
          </w:rPr>
          <w:t>3.1.5 Subsidiaritetsprincipen</w:t>
        </w:r>
        <w:r w:rsidR="00E32B12">
          <w:rPr>
            <w:webHidden/>
          </w:rPr>
          <w:tab/>
        </w:r>
        <w:r w:rsidR="00E32B12">
          <w:rPr>
            <w:webHidden/>
          </w:rPr>
          <w:fldChar w:fldCharType="begin"/>
        </w:r>
        <w:r w:rsidR="00E32B12">
          <w:rPr>
            <w:webHidden/>
          </w:rPr>
          <w:instrText xml:space="preserve"> PAGEREF _Toc477423987 \h </w:instrText>
        </w:r>
        <w:r w:rsidR="00E32B12">
          <w:rPr>
            <w:webHidden/>
          </w:rPr>
        </w:r>
        <w:r w:rsidR="00E32B12">
          <w:rPr>
            <w:webHidden/>
          </w:rPr>
          <w:fldChar w:fldCharType="separate"/>
        </w:r>
        <w:r w:rsidR="00603499">
          <w:rPr>
            <w:webHidden/>
          </w:rPr>
          <w:t>17</w:t>
        </w:r>
        <w:r w:rsidR="00E32B12">
          <w:rPr>
            <w:webHidden/>
          </w:rPr>
          <w:fldChar w:fldCharType="end"/>
        </w:r>
      </w:hyperlink>
    </w:p>
    <w:p w:rsidR="00E32B12" w:rsidRDefault="0038228F">
      <w:pPr>
        <w:pStyle w:val="Innehll3"/>
        <w:rPr>
          <w:rFonts w:asciiTheme="minorHAnsi" w:eastAsiaTheme="minorEastAsia" w:hAnsiTheme="minorHAnsi" w:cstheme="minorBidi"/>
          <w:sz w:val="22"/>
          <w:szCs w:val="22"/>
        </w:rPr>
      </w:pPr>
      <w:hyperlink w:anchor="_Toc477423988" w:history="1">
        <w:r w:rsidR="00E32B12" w:rsidRPr="0087337E">
          <w:rPr>
            <w:rStyle w:val="Hyperlnk"/>
          </w:rPr>
          <w:t>3.1.6 Deltagande i kommissionens offentliga samråd</w:t>
        </w:r>
        <w:r w:rsidR="00E32B12">
          <w:rPr>
            <w:webHidden/>
          </w:rPr>
          <w:tab/>
        </w:r>
        <w:r w:rsidR="00E32B12">
          <w:rPr>
            <w:webHidden/>
          </w:rPr>
          <w:fldChar w:fldCharType="begin"/>
        </w:r>
        <w:r w:rsidR="00E32B12">
          <w:rPr>
            <w:webHidden/>
          </w:rPr>
          <w:instrText xml:space="preserve"> PAGEREF _Toc477423988 \h </w:instrText>
        </w:r>
        <w:r w:rsidR="00E32B12">
          <w:rPr>
            <w:webHidden/>
          </w:rPr>
        </w:r>
        <w:r w:rsidR="00E32B12">
          <w:rPr>
            <w:webHidden/>
          </w:rPr>
          <w:fldChar w:fldCharType="separate"/>
        </w:r>
        <w:r w:rsidR="00603499">
          <w:rPr>
            <w:webHidden/>
          </w:rPr>
          <w:t>18</w:t>
        </w:r>
        <w:r w:rsidR="00E32B12">
          <w:rPr>
            <w:webHidden/>
          </w:rPr>
          <w:fldChar w:fldCharType="end"/>
        </w:r>
      </w:hyperlink>
    </w:p>
    <w:p w:rsidR="00E32B12" w:rsidRDefault="0038228F">
      <w:pPr>
        <w:pStyle w:val="Innehll3"/>
        <w:rPr>
          <w:rFonts w:asciiTheme="minorHAnsi" w:eastAsiaTheme="minorEastAsia" w:hAnsiTheme="minorHAnsi" w:cstheme="minorBidi"/>
          <w:sz w:val="22"/>
          <w:szCs w:val="22"/>
        </w:rPr>
      </w:pPr>
      <w:hyperlink w:anchor="_Toc477423989" w:history="1">
        <w:r w:rsidR="00E32B12" w:rsidRPr="0087337E">
          <w:rPr>
            <w:rStyle w:val="Hyperlnk"/>
          </w:rPr>
          <w:t>3.1.7 Landskapets deltagande i den nationella beredningen av EU-ärenden</w:t>
        </w:r>
        <w:r w:rsidR="00E32B12">
          <w:rPr>
            <w:webHidden/>
          </w:rPr>
          <w:tab/>
        </w:r>
        <w:r w:rsidR="00E32B12">
          <w:rPr>
            <w:webHidden/>
          </w:rPr>
          <w:fldChar w:fldCharType="begin"/>
        </w:r>
        <w:r w:rsidR="00E32B12">
          <w:rPr>
            <w:webHidden/>
          </w:rPr>
          <w:instrText xml:space="preserve"> PAGEREF _Toc477423989 \h </w:instrText>
        </w:r>
        <w:r w:rsidR="00E32B12">
          <w:rPr>
            <w:webHidden/>
          </w:rPr>
        </w:r>
        <w:r w:rsidR="00E32B12">
          <w:rPr>
            <w:webHidden/>
          </w:rPr>
          <w:fldChar w:fldCharType="separate"/>
        </w:r>
        <w:r w:rsidR="00603499">
          <w:rPr>
            <w:webHidden/>
          </w:rPr>
          <w:t>18</w:t>
        </w:r>
        <w:r w:rsidR="00E32B12">
          <w:rPr>
            <w:webHidden/>
          </w:rPr>
          <w:fldChar w:fldCharType="end"/>
        </w:r>
      </w:hyperlink>
    </w:p>
    <w:p w:rsidR="00E32B12" w:rsidRDefault="0038228F">
      <w:pPr>
        <w:pStyle w:val="Innehll2"/>
        <w:rPr>
          <w:rFonts w:asciiTheme="minorHAnsi" w:eastAsiaTheme="minorEastAsia" w:hAnsiTheme="minorHAnsi" w:cstheme="minorBidi"/>
          <w:sz w:val="22"/>
          <w:szCs w:val="22"/>
        </w:rPr>
      </w:pPr>
      <w:hyperlink w:anchor="_Toc477423990" w:history="1">
        <w:r w:rsidR="00E32B12" w:rsidRPr="0087337E">
          <w:rPr>
            <w:rStyle w:val="Hyperlnk"/>
          </w:rPr>
          <w:t>3.2 Landskapets prioriteringar</w:t>
        </w:r>
        <w:r w:rsidR="00E32B12">
          <w:rPr>
            <w:webHidden/>
          </w:rPr>
          <w:tab/>
        </w:r>
        <w:r w:rsidR="00E32B12">
          <w:rPr>
            <w:webHidden/>
          </w:rPr>
          <w:fldChar w:fldCharType="begin"/>
        </w:r>
        <w:r w:rsidR="00E32B12">
          <w:rPr>
            <w:webHidden/>
          </w:rPr>
          <w:instrText xml:space="preserve"> PAGEREF _Toc477423990 \h </w:instrText>
        </w:r>
        <w:r w:rsidR="00E32B12">
          <w:rPr>
            <w:webHidden/>
          </w:rPr>
        </w:r>
        <w:r w:rsidR="00E32B12">
          <w:rPr>
            <w:webHidden/>
          </w:rPr>
          <w:fldChar w:fldCharType="separate"/>
        </w:r>
        <w:r w:rsidR="00603499">
          <w:rPr>
            <w:webHidden/>
          </w:rPr>
          <w:t>19</w:t>
        </w:r>
        <w:r w:rsidR="00E32B12">
          <w:rPr>
            <w:webHidden/>
          </w:rPr>
          <w:fldChar w:fldCharType="end"/>
        </w:r>
      </w:hyperlink>
    </w:p>
    <w:p w:rsidR="00E32B12" w:rsidRDefault="0038228F">
      <w:pPr>
        <w:pStyle w:val="Innehll3"/>
        <w:rPr>
          <w:rFonts w:asciiTheme="minorHAnsi" w:eastAsiaTheme="minorEastAsia" w:hAnsiTheme="minorHAnsi" w:cstheme="minorBidi"/>
          <w:sz w:val="22"/>
          <w:szCs w:val="22"/>
        </w:rPr>
      </w:pPr>
      <w:hyperlink w:anchor="_Toc477423991" w:history="1">
        <w:r w:rsidR="00E32B12" w:rsidRPr="0087337E">
          <w:rPr>
            <w:rStyle w:val="Hyperlnk"/>
          </w:rPr>
          <w:t>3.2.1 Åländsk representation i Europaparlamentet</w:t>
        </w:r>
        <w:r w:rsidR="00E32B12">
          <w:rPr>
            <w:webHidden/>
          </w:rPr>
          <w:tab/>
        </w:r>
        <w:r w:rsidR="00E32B12">
          <w:rPr>
            <w:webHidden/>
          </w:rPr>
          <w:fldChar w:fldCharType="begin"/>
        </w:r>
        <w:r w:rsidR="00E32B12">
          <w:rPr>
            <w:webHidden/>
          </w:rPr>
          <w:instrText xml:space="preserve"> PAGEREF _Toc477423991 \h </w:instrText>
        </w:r>
        <w:r w:rsidR="00E32B12">
          <w:rPr>
            <w:webHidden/>
          </w:rPr>
        </w:r>
        <w:r w:rsidR="00E32B12">
          <w:rPr>
            <w:webHidden/>
          </w:rPr>
          <w:fldChar w:fldCharType="separate"/>
        </w:r>
        <w:r w:rsidR="00603499">
          <w:rPr>
            <w:webHidden/>
          </w:rPr>
          <w:t>19</w:t>
        </w:r>
        <w:r w:rsidR="00E32B12">
          <w:rPr>
            <w:webHidden/>
          </w:rPr>
          <w:fldChar w:fldCharType="end"/>
        </w:r>
      </w:hyperlink>
    </w:p>
    <w:p w:rsidR="00E32B12" w:rsidRDefault="0038228F">
      <w:pPr>
        <w:pStyle w:val="Innehll3"/>
        <w:rPr>
          <w:rFonts w:asciiTheme="minorHAnsi" w:eastAsiaTheme="minorEastAsia" w:hAnsiTheme="minorHAnsi" w:cstheme="minorBidi"/>
          <w:sz w:val="22"/>
          <w:szCs w:val="22"/>
        </w:rPr>
      </w:pPr>
      <w:hyperlink w:anchor="_Toc477423992" w:history="1">
        <w:r w:rsidR="00E32B12" w:rsidRPr="0087337E">
          <w:rPr>
            <w:rStyle w:val="Hyperlnk"/>
          </w:rPr>
          <w:t>3.2.2 Statligt stöd</w:t>
        </w:r>
        <w:r w:rsidR="00E32B12">
          <w:rPr>
            <w:webHidden/>
          </w:rPr>
          <w:tab/>
        </w:r>
        <w:r w:rsidR="00E32B12">
          <w:rPr>
            <w:webHidden/>
          </w:rPr>
          <w:fldChar w:fldCharType="begin"/>
        </w:r>
        <w:r w:rsidR="00E32B12">
          <w:rPr>
            <w:webHidden/>
          </w:rPr>
          <w:instrText xml:space="preserve"> PAGEREF _Toc477423992 \h </w:instrText>
        </w:r>
        <w:r w:rsidR="00E32B12">
          <w:rPr>
            <w:webHidden/>
          </w:rPr>
        </w:r>
        <w:r w:rsidR="00E32B12">
          <w:rPr>
            <w:webHidden/>
          </w:rPr>
          <w:fldChar w:fldCharType="separate"/>
        </w:r>
        <w:r w:rsidR="00603499">
          <w:rPr>
            <w:webHidden/>
          </w:rPr>
          <w:t>19</w:t>
        </w:r>
        <w:r w:rsidR="00E32B12">
          <w:rPr>
            <w:webHidden/>
          </w:rPr>
          <w:fldChar w:fldCharType="end"/>
        </w:r>
      </w:hyperlink>
    </w:p>
    <w:p w:rsidR="00E32B12" w:rsidRDefault="0038228F">
      <w:pPr>
        <w:pStyle w:val="Innehll3"/>
        <w:rPr>
          <w:rFonts w:asciiTheme="minorHAnsi" w:eastAsiaTheme="minorEastAsia" w:hAnsiTheme="minorHAnsi" w:cstheme="minorBidi"/>
          <w:sz w:val="22"/>
          <w:szCs w:val="22"/>
        </w:rPr>
      </w:pPr>
      <w:hyperlink w:anchor="_Toc477423993" w:history="1">
        <w:r w:rsidR="00E32B12" w:rsidRPr="0087337E">
          <w:rPr>
            <w:rStyle w:val="Hyperlnk"/>
          </w:rPr>
          <w:t>3.2.3 Europa 2020 ur ett utbildnings- och kulturperspektiv</w:t>
        </w:r>
        <w:r w:rsidR="00E32B12">
          <w:rPr>
            <w:webHidden/>
          </w:rPr>
          <w:tab/>
        </w:r>
        <w:r w:rsidR="00E32B12">
          <w:rPr>
            <w:webHidden/>
          </w:rPr>
          <w:fldChar w:fldCharType="begin"/>
        </w:r>
        <w:r w:rsidR="00E32B12">
          <w:rPr>
            <w:webHidden/>
          </w:rPr>
          <w:instrText xml:space="preserve"> PAGEREF _Toc477423993 \h </w:instrText>
        </w:r>
        <w:r w:rsidR="00E32B12">
          <w:rPr>
            <w:webHidden/>
          </w:rPr>
        </w:r>
        <w:r w:rsidR="00E32B12">
          <w:rPr>
            <w:webHidden/>
          </w:rPr>
          <w:fldChar w:fldCharType="separate"/>
        </w:r>
        <w:r w:rsidR="00603499">
          <w:rPr>
            <w:webHidden/>
          </w:rPr>
          <w:t>20</w:t>
        </w:r>
        <w:r w:rsidR="00E32B12">
          <w:rPr>
            <w:webHidden/>
          </w:rPr>
          <w:fldChar w:fldCharType="end"/>
        </w:r>
      </w:hyperlink>
    </w:p>
    <w:p w:rsidR="00E32B12" w:rsidRDefault="0038228F">
      <w:pPr>
        <w:pStyle w:val="Innehll3"/>
        <w:rPr>
          <w:rFonts w:asciiTheme="minorHAnsi" w:eastAsiaTheme="minorEastAsia" w:hAnsiTheme="minorHAnsi" w:cstheme="minorBidi"/>
          <w:sz w:val="22"/>
          <w:szCs w:val="22"/>
        </w:rPr>
      </w:pPr>
      <w:hyperlink w:anchor="_Toc477423994" w:history="1">
        <w:r w:rsidR="00E32B12" w:rsidRPr="0087337E">
          <w:rPr>
            <w:rStyle w:val="Hyperlnk"/>
          </w:rPr>
          <w:t>3.2.4 Mediepolitik och upphovsrätt</w:t>
        </w:r>
        <w:r w:rsidR="00E32B12">
          <w:rPr>
            <w:webHidden/>
          </w:rPr>
          <w:tab/>
        </w:r>
        <w:r w:rsidR="00E32B12">
          <w:rPr>
            <w:webHidden/>
          </w:rPr>
          <w:fldChar w:fldCharType="begin"/>
        </w:r>
        <w:r w:rsidR="00E32B12">
          <w:rPr>
            <w:webHidden/>
          </w:rPr>
          <w:instrText xml:space="preserve"> PAGEREF _Toc477423994 \h </w:instrText>
        </w:r>
        <w:r w:rsidR="00E32B12">
          <w:rPr>
            <w:webHidden/>
          </w:rPr>
        </w:r>
        <w:r w:rsidR="00E32B12">
          <w:rPr>
            <w:webHidden/>
          </w:rPr>
          <w:fldChar w:fldCharType="separate"/>
        </w:r>
        <w:r w:rsidR="00603499">
          <w:rPr>
            <w:webHidden/>
          </w:rPr>
          <w:t>20</w:t>
        </w:r>
        <w:r w:rsidR="00E32B12">
          <w:rPr>
            <w:webHidden/>
          </w:rPr>
          <w:fldChar w:fldCharType="end"/>
        </w:r>
      </w:hyperlink>
    </w:p>
    <w:p w:rsidR="00E32B12" w:rsidRDefault="0038228F">
      <w:pPr>
        <w:pStyle w:val="Innehll3"/>
        <w:rPr>
          <w:rFonts w:asciiTheme="minorHAnsi" w:eastAsiaTheme="minorEastAsia" w:hAnsiTheme="minorHAnsi" w:cstheme="minorBidi"/>
          <w:sz w:val="22"/>
          <w:szCs w:val="22"/>
        </w:rPr>
      </w:pPr>
      <w:hyperlink w:anchor="_Toc477423995" w:history="1">
        <w:r w:rsidR="00E32B12" w:rsidRPr="0087337E">
          <w:rPr>
            <w:rStyle w:val="Hyperlnk"/>
          </w:rPr>
          <w:t>3.2.5 Konsoliderad bolagsskattebas</w:t>
        </w:r>
        <w:r w:rsidR="00E32B12">
          <w:rPr>
            <w:webHidden/>
          </w:rPr>
          <w:tab/>
        </w:r>
        <w:r w:rsidR="00E32B12">
          <w:rPr>
            <w:webHidden/>
          </w:rPr>
          <w:fldChar w:fldCharType="begin"/>
        </w:r>
        <w:r w:rsidR="00E32B12">
          <w:rPr>
            <w:webHidden/>
          </w:rPr>
          <w:instrText xml:space="preserve"> PAGEREF _Toc477423995 \h </w:instrText>
        </w:r>
        <w:r w:rsidR="00E32B12">
          <w:rPr>
            <w:webHidden/>
          </w:rPr>
        </w:r>
        <w:r w:rsidR="00E32B12">
          <w:rPr>
            <w:webHidden/>
          </w:rPr>
          <w:fldChar w:fldCharType="separate"/>
        </w:r>
        <w:r w:rsidR="00603499">
          <w:rPr>
            <w:webHidden/>
          </w:rPr>
          <w:t>21</w:t>
        </w:r>
        <w:r w:rsidR="00E32B12">
          <w:rPr>
            <w:webHidden/>
          </w:rPr>
          <w:fldChar w:fldCharType="end"/>
        </w:r>
      </w:hyperlink>
    </w:p>
    <w:p w:rsidR="00E32B12" w:rsidRDefault="0038228F">
      <w:pPr>
        <w:pStyle w:val="Innehll3"/>
        <w:rPr>
          <w:rFonts w:asciiTheme="minorHAnsi" w:eastAsiaTheme="minorEastAsia" w:hAnsiTheme="minorHAnsi" w:cstheme="minorBidi"/>
          <w:sz w:val="22"/>
          <w:szCs w:val="22"/>
        </w:rPr>
      </w:pPr>
      <w:hyperlink w:anchor="_Toc477423996" w:history="1">
        <w:r w:rsidR="00E32B12" w:rsidRPr="0087337E">
          <w:rPr>
            <w:rStyle w:val="Hyperlnk"/>
          </w:rPr>
          <w:t>3.2.6 Framtida mervärdesskattesystem</w:t>
        </w:r>
        <w:r w:rsidR="00E32B12">
          <w:rPr>
            <w:webHidden/>
          </w:rPr>
          <w:tab/>
        </w:r>
        <w:r w:rsidR="00E32B12">
          <w:rPr>
            <w:webHidden/>
          </w:rPr>
          <w:fldChar w:fldCharType="begin"/>
        </w:r>
        <w:r w:rsidR="00E32B12">
          <w:rPr>
            <w:webHidden/>
          </w:rPr>
          <w:instrText xml:space="preserve"> PAGEREF _Toc477423996 \h </w:instrText>
        </w:r>
        <w:r w:rsidR="00E32B12">
          <w:rPr>
            <w:webHidden/>
          </w:rPr>
        </w:r>
        <w:r w:rsidR="00E32B12">
          <w:rPr>
            <w:webHidden/>
          </w:rPr>
          <w:fldChar w:fldCharType="separate"/>
        </w:r>
        <w:r w:rsidR="00603499">
          <w:rPr>
            <w:webHidden/>
          </w:rPr>
          <w:t>22</w:t>
        </w:r>
        <w:r w:rsidR="00E32B12">
          <w:rPr>
            <w:webHidden/>
          </w:rPr>
          <w:fldChar w:fldCharType="end"/>
        </w:r>
      </w:hyperlink>
    </w:p>
    <w:p w:rsidR="00E32B12" w:rsidRDefault="0038228F">
      <w:pPr>
        <w:pStyle w:val="Innehll3"/>
        <w:rPr>
          <w:rFonts w:asciiTheme="minorHAnsi" w:eastAsiaTheme="minorEastAsia" w:hAnsiTheme="minorHAnsi" w:cstheme="minorBidi"/>
          <w:sz w:val="22"/>
          <w:szCs w:val="22"/>
        </w:rPr>
      </w:pPr>
      <w:hyperlink w:anchor="_Toc477423997" w:history="1">
        <w:r w:rsidR="00E32B12" w:rsidRPr="0087337E">
          <w:rPr>
            <w:rStyle w:val="Hyperlnk"/>
          </w:rPr>
          <w:t>3.2.7 Jordbruk</w:t>
        </w:r>
        <w:r w:rsidR="00E32B12">
          <w:rPr>
            <w:webHidden/>
          </w:rPr>
          <w:tab/>
        </w:r>
        <w:r w:rsidR="00E32B12">
          <w:rPr>
            <w:webHidden/>
          </w:rPr>
          <w:fldChar w:fldCharType="begin"/>
        </w:r>
        <w:r w:rsidR="00E32B12">
          <w:rPr>
            <w:webHidden/>
          </w:rPr>
          <w:instrText xml:space="preserve"> PAGEREF _Toc477423997 \h </w:instrText>
        </w:r>
        <w:r w:rsidR="00E32B12">
          <w:rPr>
            <w:webHidden/>
          </w:rPr>
        </w:r>
        <w:r w:rsidR="00E32B12">
          <w:rPr>
            <w:webHidden/>
          </w:rPr>
          <w:fldChar w:fldCharType="separate"/>
        </w:r>
        <w:r w:rsidR="00603499">
          <w:rPr>
            <w:webHidden/>
          </w:rPr>
          <w:t>22</w:t>
        </w:r>
        <w:r w:rsidR="00E32B12">
          <w:rPr>
            <w:webHidden/>
          </w:rPr>
          <w:fldChar w:fldCharType="end"/>
        </w:r>
      </w:hyperlink>
    </w:p>
    <w:p w:rsidR="00E32B12" w:rsidRDefault="0038228F">
      <w:pPr>
        <w:pStyle w:val="Innehll3"/>
        <w:rPr>
          <w:rFonts w:asciiTheme="minorHAnsi" w:eastAsiaTheme="minorEastAsia" w:hAnsiTheme="minorHAnsi" w:cstheme="minorBidi"/>
          <w:sz w:val="22"/>
          <w:szCs w:val="22"/>
        </w:rPr>
      </w:pPr>
      <w:hyperlink w:anchor="_Toc477423998" w:history="1">
        <w:r w:rsidR="00E32B12" w:rsidRPr="0087337E">
          <w:rPr>
            <w:rStyle w:val="Hyperlnk"/>
          </w:rPr>
          <w:t>3.2.8 Jakt- och viltvård</w:t>
        </w:r>
        <w:r w:rsidR="00E32B12">
          <w:rPr>
            <w:webHidden/>
          </w:rPr>
          <w:tab/>
        </w:r>
        <w:r w:rsidR="00E32B12">
          <w:rPr>
            <w:webHidden/>
          </w:rPr>
          <w:fldChar w:fldCharType="begin"/>
        </w:r>
        <w:r w:rsidR="00E32B12">
          <w:rPr>
            <w:webHidden/>
          </w:rPr>
          <w:instrText xml:space="preserve"> PAGEREF _Toc477423998 \h </w:instrText>
        </w:r>
        <w:r w:rsidR="00E32B12">
          <w:rPr>
            <w:webHidden/>
          </w:rPr>
        </w:r>
        <w:r w:rsidR="00E32B12">
          <w:rPr>
            <w:webHidden/>
          </w:rPr>
          <w:fldChar w:fldCharType="separate"/>
        </w:r>
        <w:r w:rsidR="00603499">
          <w:rPr>
            <w:webHidden/>
          </w:rPr>
          <w:t>23</w:t>
        </w:r>
        <w:r w:rsidR="00E32B12">
          <w:rPr>
            <w:webHidden/>
          </w:rPr>
          <w:fldChar w:fldCharType="end"/>
        </w:r>
      </w:hyperlink>
    </w:p>
    <w:p w:rsidR="00E32B12" w:rsidRDefault="0038228F">
      <w:pPr>
        <w:pStyle w:val="Innehll3"/>
        <w:rPr>
          <w:rFonts w:asciiTheme="minorHAnsi" w:eastAsiaTheme="minorEastAsia" w:hAnsiTheme="minorHAnsi" w:cstheme="minorBidi"/>
          <w:sz w:val="22"/>
          <w:szCs w:val="22"/>
        </w:rPr>
      </w:pPr>
      <w:hyperlink w:anchor="_Toc477423999" w:history="1">
        <w:r w:rsidR="00E32B12" w:rsidRPr="0087337E">
          <w:rPr>
            <w:rStyle w:val="Hyperlnk"/>
          </w:rPr>
          <w:t>3.2.9 Miljö och hållbar utveckling</w:t>
        </w:r>
        <w:r w:rsidR="00E32B12">
          <w:rPr>
            <w:webHidden/>
          </w:rPr>
          <w:tab/>
        </w:r>
        <w:r w:rsidR="00E32B12">
          <w:rPr>
            <w:webHidden/>
          </w:rPr>
          <w:fldChar w:fldCharType="begin"/>
        </w:r>
        <w:r w:rsidR="00E32B12">
          <w:rPr>
            <w:webHidden/>
          </w:rPr>
          <w:instrText xml:space="preserve"> PAGEREF _Toc477423999 \h </w:instrText>
        </w:r>
        <w:r w:rsidR="00E32B12">
          <w:rPr>
            <w:webHidden/>
          </w:rPr>
        </w:r>
        <w:r w:rsidR="00E32B12">
          <w:rPr>
            <w:webHidden/>
          </w:rPr>
          <w:fldChar w:fldCharType="separate"/>
        </w:r>
        <w:r w:rsidR="00603499">
          <w:rPr>
            <w:webHidden/>
          </w:rPr>
          <w:t>23</w:t>
        </w:r>
        <w:r w:rsidR="00E32B12">
          <w:rPr>
            <w:webHidden/>
          </w:rPr>
          <w:fldChar w:fldCharType="end"/>
        </w:r>
      </w:hyperlink>
    </w:p>
    <w:p w:rsidR="00E32B12" w:rsidRDefault="0038228F">
      <w:pPr>
        <w:pStyle w:val="Innehll3"/>
        <w:rPr>
          <w:rFonts w:asciiTheme="minorHAnsi" w:eastAsiaTheme="minorEastAsia" w:hAnsiTheme="minorHAnsi" w:cstheme="minorBidi"/>
          <w:sz w:val="22"/>
          <w:szCs w:val="22"/>
        </w:rPr>
      </w:pPr>
      <w:hyperlink w:anchor="_Toc477424000" w:history="1">
        <w:r w:rsidR="00E32B12" w:rsidRPr="0087337E">
          <w:rPr>
            <w:rStyle w:val="Hyperlnk"/>
          </w:rPr>
          <w:t>3.2.10 Energi</w:t>
        </w:r>
        <w:r w:rsidR="00E32B12">
          <w:rPr>
            <w:webHidden/>
          </w:rPr>
          <w:tab/>
        </w:r>
        <w:r w:rsidR="00E32B12">
          <w:rPr>
            <w:webHidden/>
          </w:rPr>
          <w:fldChar w:fldCharType="begin"/>
        </w:r>
        <w:r w:rsidR="00E32B12">
          <w:rPr>
            <w:webHidden/>
          </w:rPr>
          <w:instrText xml:space="preserve"> PAGEREF _Toc477424000 \h </w:instrText>
        </w:r>
        <w:r w:rsidR="00E32B12">
          <w:rPr>
            <w:webHidden/>
          </w:rPr>
        </w:r>
        <w:r w:rsidR="00E32B12">
          <w:rPr>
            <w:webHidden/>
          </w:rPr>
          <w:fldChar w:fldCharType="separate"/>
        </w:r>
        <w:r w:rsidR="00603499">
          <w:rPr>
            <w:webHidden/>
          </w:rPr>
          <w:t>24</w:t>
        </w:r>
        <w:r w:rsidR="00E32B12">
          <w:rPr>
            <w:webHidden/>
          </w:rPr>
          <w:fldChar w:fldCharType="end"/>
        </w:r>
      </w:hyperlink>
    </w:p>
    <w:p w:rsidR="00E32B12" w:rsidRDefault="0038228F">
      <w:pPr>
        <w:pStyle w:val="Innehll3"/>
        <w:rPr>
          <w:rFonts w:asciiTheme="minorHAnsi" w:eastAsiaTheme="minorEastAsia" w:hAnsiTheme="minorHAnsi" w:cstheme="minorBidi"/>
          <w:sz w:val="22"/>
          <w:szCs w:val="22"/>
        </w:rPr>
      </w:pPr>
      <w:hyperlink w:anchor="_Toc477424001" w:history="1">
        <w:r w:rsidR="00E32B12" w:rsidRPr="0087337E">
          <w:rPr>
            <w:rStyle w:val="Hyperlnk"/>
          </w:rPr>
          <w:t>3.2.11 EU-strategin för Östersjöområdet</w:t>
        </w:r>
        <w:r w:rsidR="00E32B12">
          <w:rPr>
            <w:webHidden/>
          </w:rPr>
          <w:tab/>
        </w:r>
        <w:r w:rsidR="00E32B12">
          <w:rPr>
            <w:webHidden/>
          </w:rPr>
          <w:fldChar w:fldCharType="begin"/>
        </w:r>
        <w:r w:rsidR="00E32B12">
          <w:rPr>
            <w:webHidden/>
          </w:rPr>
          <w:instrText xml:space="preserve"> PAGEREF _Toc477424001 \h </w:instrText>
        </w:r>
        <w:r w:rsidR="00E32B12">
          <w:rPr>
            <w:webHidden/>
          </w:rPr>
        </w:r>
        <w:r w:rsidR="00E32B12">
          <w:rPr>
            <w:webHidden/>
          </w:rPr>
          <w:fldChar w:fldCharType="separate"/>
        </w:r>
        <w:r w:rsidR="00603499">
          <w:rPr>
            <w:webHidden/>
          </w:rPr>
          <w:t>25</w:t>
        </w:r>
        <w:r w:rsidR="00E32B12">
          <w:rPr>
            <w:webHidden/>
          </w:rPr>
          <w:fldChar w:fldCharType="end"/>
        </w:r>
      </w:hyperlink>
    </w:p>
    <w:p w:rsidR="00E32B12" w:rsidRDefault="0038228F">
      <w:pPr>
        <w:pStyle w:val="Innehll3"/>
        <w:rPr>
          <w:rFonts w:asciiTheme="minorHAnsi" w:eastAsiaTheme="minorEastAsia" w:hAnsiTheme="minorHAnsi" w:cstheme="minorBidi"/>
          <w:sz w:val="22"/>
          <w:szCs w:val="22"/>
        </w:rPr>
      </w:pPr>
      <w:hyperlink w:anchor="_Toc477424002" w:history="1">
        <w:r w:rsidR="00E32B12" w:rsidRPr="0087337E">
          <w:rPr>
            <w:rStyle w:val="Hyperlnk"/>
            <w:rFonts w:cs="Arial"/>
            <w:bCs/>
          </w:rPr>
          <w:t>3.2.12 Jämställdhet</w:t>
        </w:r>
        <w:r w:rsidR="00E32B12">
          <w:rPr>
            <w:webHidden/>
          </w:rPr>
          <w:tab/>
        </w:r>
        <w:r w:rsidR="00E32B12">
          <w:rPr>
            <w:webHidden/>
          </w:rPr>
          <w:fldChar w:fldCharType="begin"/>
        </w:r>
        <w:r w:rsidR="00E32B12">
          <w:rPr>
            <w:webHidden/>
          </w:rPr>
          <w:instrText xml:space="preserve"> PAGEREF _Toc477424002 \h </w:instrText>
        </w:r>
        <w:r w:rsidR="00E32B12">
          <w:rPr>
            <w:webHidden/>
          </w:rPr>
        </w:r>
        <w:r w:rsidR="00E32B12">
          <w:rPr>
            <w:webHidden/>
          </w:rPr>
          <w:fldChar w:fldCharType="separate"/>
        </w:r>
        <w:r w:rsidR="00603499">
          <w:rPr>
            <w:webHidden/>
          </w:rPr>
          <w:t>25</w:t>
        </w:r>
        <w:r w:rsidR="00E32B12">
          <w:rPr>
            <w:webHidden/>
          </w:rPr>
          <w:fldChar w:fldCharType="end"/>
        </w:r>
      </w:hyperlink>
    </w:p>
    <w:p w:rsidR="00E32B12" w:rsidRDefault="0038228F">
      <w:pPr>
        <w:pStyle w:val="Innehll3"/>
        <w:rPr>
          <w:rFonts w:asciiTheme="minorHAnsi" w:eastAsiaTheme="minorEastAsia" w:hAnsiTheme="minorHAnsi" w:cstheme="minorBidi"/>
          <w:sz w:val="22"/>
          <w:szCs w:val="22"/>
        </w:rPr>
      </w:pPr>
      <w:hyperlink w:anchor="_Toc477424003" w:history="1">
        <w:r w:rsidR="00E32B12" w:rsidRPr="0087337E">
          <w:rPr>
            <w:rStyle w:val="Hyperlnk"/>
          </w:rPr>
          <w:t>3.2.13 Integration</w:t>
        </w:r>
        <w:r w:rsidR="00E32B12">
          <w:rPr>
            <w:webHidden/>
          </w:rPr>
          <w:tab/>
        </w:r>
        <w:r w:rsidR="00E32B12">
          <w:rPr>
            <w:webHidden/>
          </w:rPr>
          <w:fldChar w:fldCharType="begin"/>
        </w:r>
        <w:r w:rsidR="00E32B12">
          <w:rPr>
            <w:webHidden/>
          </w:rPr>
          <w:instrText xml:space="preserve"> PAGEREF _Toc477424003 \h </w:instrText>
        </w:r>
        <w:r w:rsidR="00E32B12">
          <w:rPr>
            <w:webHidden/>
          </w:rPr>
        </w:r>
        <w:r w:rsidR="00E32B12">
          <w:rPr>
            <w:webHidden/>
          </w:rPr>
          <w:fldChar w:fldCharType="separate"/>
        </w:r>
        <w:r w:rsidR="00603499">
          <w:rPr>
            <w:webHidden/>
          </w:rPr>
          <w:t>26</w:t>
        </w:r>
        <w:r w:rsidR="00E32B12">
          <w:rPr>
            <w:webHidden/>
          </w:rPr>
          <w:fldChar w:fldCharType="end"/>
        </w:r>
      </w:hyperlink>
    </w:p>
    <w:p w:rsidR="00E32B12" w:rsidRDefault="0038228F">
      <w:pPr>
        <w:pStyle w:val="Innehll3"/>
        <w:rPr>
          <w:rFonts w:asciiTheme="minorHAnsi" w:eastAsiaTheme="minorEastAsia" w:hAnsiTheme="minorHAnsi" w:cstheme="minorBidi"/>
          <w:sz w:val="22"/>
          <w:szCs w:val="22"/>
        </w:rPr>
      </w:pPr>
      <w:hyperlink w:anchor="_Toc477424004" w:history="1">
        <w:r w:rsidR="00E32B12" w:rsidRPr="0087337E">
          <w:rPr>
            <w:rStyle w:val="Hyperlnk"/>
          </w:rPr>
          <w:t>3.2.14 Socialvård</w:t>
        </w:r>
        <w:r w:rsidR="00E32B12">
          <w:rPr>
            <w:webHidden/>
          </w:rPr>
          <w:tab/>
        </w:r>
        <w:r w:rsidR="00E32B12">
          <w:rPr>
            <w:webHidden/>
          </w:rPr>
          <w:fldChar w:fldCharType="begin"/>
        </w:r>
        <w:r w:rsidR="00E32B12">
          <w:rPr>
            <w:webHidden/>
          </w:rPr>
          <w:instrText xml:space="preserve"> PAGEREF _Toc477424004 \h </w:instrText>
        </w:r>
        <w:r w:rsidR="00E32B12">
          <w:rPr>
            <w:webHidden/>
          </w:rPr>
        </w:r>
        <w:r w:rsidR="00E32B12">
          <w:rPr>
            <w:webHidden/>
          </w:rPr>
          <w:fldChar w:fldCharType="separate"/>
        </w:r>
        <w:r w:rsidR="00603499">
          <w:rPr>
            <w:webHidden/>
          </w:rPr>
          <w:t>27</w:t>
        </w:r>
        <w:r w:rsidR="00E32B12">
          <w:rPr>
            <w:webHidden/>
          </w:rPr>
          <w:fldChar w:fldCharType="end"/>
        </w:r>
      </w:hyperlink>
    </w:p>
    <w:p w:rsidR="00E32B12" w:rsidRDefault="0038228F">
      <w:pPr>
        <w:pStyle w:val="Innehll2"/>
        <w:rPr>
          <w:rFonts w:asciiTheme="minorHAnsi" w:eastAsiaTheme="minorEastAsia" w:hAnsiTheme="minorHAnsi" w:cstheme="minorBidi"/>
          <w:sz w:val="22"/>
          <w:szCs w:val="22"/>
        </w:rPr>
      </w:pPr>
      <w:hyperlink w:anchor="_Toc477424005" w:history="1">
        <w:r w:rsidR="00E32B12" w:rsidRPr="0087337E">
          <w:rPr>
            <w:rStyle w:val="Hyperlnk"/>
          </w:rPr>
          <w:t>3.3 Sammanfattning av landskapsregeringens nya prioriteringar i kommissionens arbetsprogram för 2017</w:t>
        </w:r>
        <w:r w:rsidR="00E32B12">
          <w:rPr>
            <w:webHidden/>
          </w:rPr>
          <w:tab/>
        </w:r>
        <w:r w:rsidR="00E32B12">
          <w:rPr>
            <w:webHidden/>
          </w:rPr>
          <w:fldChar w:fldCharType="begin"/>
        </w:r>
        <w:r w:rsidR="00E32B12">
          <w:rPr>
            <w:webHidden/>
          </w:rPr>
          <w:instrText xml:space="preserve"> PAGEREF _Toc477424005 \h </w:instrText>
        </w:r>
        <w:r w:rsidR="00E32B12">
          <w:rPr>
            <w:webHidden/>
          </w:rPr>
        </w:r>
        <w:r w:rsidR="00E32B12">
          <w:rPr>
            <w:webHidden/>
          </w:rPr>
          <w:fldChar w:fldCharType="separate"/>
        </w:r>
        <w:r w:rsidR="00603499">
          <w:rPr>
            <w:webHidden/>
          </w:rPr>
          <w:t>27</w:t>
        </w:r>
        <w:r w:rsidR="00E32B12">
          <w:rPr>
            <w:webHidden/>
          </w:rPr>
          <w:fldChar w:fldCharType="end"/>
        </w:r>
      </w:hyperlink>
    </w:p>
    <w:p w:rsidR="00E32B12" w:rsidRDefault="0038228F">
      <w:pPr>
        <w:pStyle w:val="Innehll2"/>
        <w:rPr>
          <w:rFonts w:asciiTheme="minorHAnsi" w:eastAsiaTheme="minorEastAsia" w:hAnsiTheme="minorHAnsi" w:cstheme="minorBidi"/>
          <w:sz w:val="22"/>
          <w:szCs w:val="22"/>
        </w:rPr>
      </w:pPr>
      <w:hyperlink w:anchor="_Toc477424006" w:history="1">
        <w:r w:rsidR="00E32B12" w:rsidRPr="0087337E">
          <w:rPr>
            <w:rStyle w:val="Hyperlnk"/>
          </w:rPr>
          <w:t>3.4 Landskapets arbete med EU-ärenden år 2016</w:t>
        </w:r>
        <w:r w:rsidR="00E32B12">
          <w:rPr>
            <w:webHidden/>
          </w:rPr>
          <w:tab/>
        </w:r>
        <w:r w:rsidR="00E32B12">
          <w:rPr>
            <w:webHidden/>
          </w:rPr>
          <w:fldChar w:fldCharType="begin"/>
        </w:r>
        <w:r w:rsidR="00E32B12">
          <w:rPr>
            <w:webHidden/>
          </w:rPr>
          <w:instrText xml:space="preserve"> PAGEREF _Toc477424006 \h </w:instrText>
        </w:r>
        <w:r w:rsidR="00E32B12">
          <w:rPr>
            <w:webHidden/>
          </w:rPr>
        </w:r>
        <w:r w:rsidR="00E32B12">
          <w:rPr>
            <w:webHidden/>
          </w:rPr>
          <w:fldChar w:fldCharType="separate"/>
        </w:r>
        <w:r w:rsidR="00603499">
          <w:rPr>
            <w:webHidden/>
          </w:rPr>
          <w:t>31</w:t>
        </w:r>
        <w:r w:rsidR="00E32B12">
          <w:rPr>
            <w:webHidden/>
          </w:rPr>
          <w:fldChar w:fldCharType="end"/>
        </w:r>
      </w:hyperlink>
    </w:p>
    <w:p w:rsidR="00E32B12" w:rsidRDefault="0038228F">
      <w:pPr>
        <w:pStyle w:val="Innehll3"/>
        <w:rPr>
          <w:rFonts w:asciiTheme="minorHAnsi" w:eastAsiaTheme="minorEastAsia" w:hAnsiTheme="minorHAnsi" w:cstheme="minorBidi"/>
          <w:sz w:val="22"/>
          <w:szCs w:val="22"/>
        </w:rPr>
      </w:pPr>
      <w:hyperlink w:anchor="_Toc477424007" w:history="1">
        <w:r w:rsidR="00E32B12" w:rsidRPr="0087337E">
          <w:rPr>
            <w:rStyle w:val="Hyperlnk"/>
          </w:rPr>
          <w:t>3.4.1 Beredningen av EU-lagstiftning inom landskapet</w:t>
        </w:r>
        <w:r w:rsidR="00E32B12">
          <w:rPr>
            <w:webHidden/>
          </w:rPr>
          <w:tab/>
        </w:r>
        <w:r w:rsidR="00E32B12">
          <w:rPr>
            <w:webHidden/>
          </w:rPr>
          <w:fldChar w:fldCharType="begin"/>
        </w:r>
        <w:r w:rsidR="00E32B12">
          <w:rPr>
            <w:webHidden/>
          </w:rPr>
          <w:instrText xml:space="preserve"> PAGEREF _Toc477424007 \h </w:instrText>
        </w:r>
        <w:r w:rsidR="00E32B12">
          <w:rPr>
            <w:webHidden/>
          </w:rPr>
        </w:r>
        <w:r w:rsidR="00E32B12">
          <w:rPr>
            <w:webHidden/>
          </w:rPr>
          <w:fldChar w:fldCharType="separate"/>
        </w:r>
        <w:r w:rsidR="00603499">
          <w:rPr>
            <w:webHidden/>
          </w:rPr>
          <w:t>31</w:t>
        </w:r>
        <w:r w:rsidR="00E32B12">
          <w:rPr>
            <w:webHidden/>
          </w:rPr>
          <w:fldChar w:fldCharType="end"/>
        </w:r>
      </w:hyperlink>
    </w:p>
    <w:p w:rsidR="00E32B12" w:rsidRDefault="0038228F">
      <w:pPr>
        <w:pStyle w:val="Innehll3"/>
        <w:rPr>
          <w:rFonts w:asciiTheme="minorHAnsi" w:eastAsiaTheme="minorEastAsia" w:hAnsiTheme="minorHAnsi" w:cstheme="minorBidi"/>
          <w:sz w:val="22"/>
          <w:szCs w:val="22"/>
        </w:rPr>
      </w:pPr>
      <w:hyperlink w:anchor="_Toc477424008" w:history="1">
        <w:r w:rsidR="00E32B12" w:rsidRPr="0087337E">
          <w:rPr>
            <w:rStyle w:val="Hyperlnk"/>
          </w:rPr>
          <w:t>3.4.2 Genomförandet av EU-lagstiftning inom landskapet</w:t>
        </w:r>
        <w:r w:rsidR="00E32B12">
          <w:rPr>
            <w:webHidden/>
          </w:rPr>
          <w:tab/>
        </w:r>
        <w:r w:rsidR="00E32B12">
          <w:rPr>
            <w:webHidden/>
          </w:rPr>
          <w:fldChar w:fldCharType="begin"/>
        </w:r>
        <w:r w:rsidR="00E32B12">
          <w:rPr>
            <w:webHidden/>
          </w:rPr>
          <w:instrText xml:space="preserve"> PAGEREF _Toc477424008 \h </w:instrText>
        </w:r>
        <w:r w:rsidR="00E32B12">
          <w:rPr>
            <w:webHidden/>
          </w:rPr>
        </w:r>
        <w:r w:rsidR="00E32B12">
          <w:rPr>
            <w:webHidden/>
          </w:rPr>
          <w:fldChar w:fldCharType="separate"/>
        </w:r>
        <w:r w:rsidR="00603499">
          <w:rPr>
            <w:webHidden/>
          </w:rPr>
          <w:t>33</w:t>
        </w:r>
        <w:r w:rsidR="00E32B12">
          <w:rPr>
            <w:webHidden/>
          </w:rPr>
          <w:fldChar w:fldCharType="end"/>
        </w:r>
      </w:hyperlink>
    </w:p>
    <w:p w:rsidR="00E32B12" w:rsidRDefault="0038228F">
      <w:pPr>
        <w:pStyle w:val="Innehll4"/>
        <w:rPr>
          <w:rFonts w:asciiTheme="minorHAnsi" w:eastAsiaTheme="minorEastAsia" w:hAnsiTheme="minorHAnsi" w:cstheme="minorBidi"/>
          <w:sz w:val="22"/>
          <w:szCs w:val="22"/>
        </w:rPr>
      </w:pPr>
      <w:hyperlink w:anchor="_Toc477424009" w:history="1">
        <w:r w:rsidR="00E32B12" w:rsidRPr="0087337E">
          <w:rPr>
            <w:rStyle w:val="Hyperlnk"/>
          </w:rPr>
          <w:t>3.4.2.1 Genomförandet av EU-direktiv i landskapet</w:t>
        </w:r>
        <w:r w:rsidR="00E32B12">
          <w:rPr>
            <w:webHidden/>
          </w:rPr>
          <w:tab/>
        </w:r>
        <w:r w:rsidR="00E32B12">
          <w:rPr>
            <w:webHidden/>
          </w:rPr>
          <w:fldChar w:fldCharType="begin"/>
        </w:r>
        <w:r w:rsidR="00E32B12">
          <w:rPr>
            <w:webHidden/>
          </w:rPr>
          <w:instrText xml:space="preserve"> PAGEREF _Toc477424009 \h </w:instrText>
        </w:r>
        <w:r w:rsidR="00E32B12">
          <w:rPr>
            <w:webHidden/>
          </w:rPr>
        </w:r>
        <w:r w:rsidR="00E32B12">
          <w:rPr>
            <w:webHidden/>
          </w:rPr>
          <w:fldChar w:fldCharType="separate"/>
        </w:r>
        <w:r w:rsidR="00603499">
          <w:rPr>
            <w:webHidden/>
          </w:rPr>
          <w:t>33</w:t>
        </w:r>
        <w:r w:rsidR="00E32B12">
          <w:rPr>
            <w:webHidden/>
          </w:rPr>
          <w:fldChar w:fldCharType="end"/>
        </w:r>
      </w:hyperlink>
    </w:p>
    <w:p w:rsidR="00E32B12" w:rsidRDefault="0038228F">
      <w:pPr>
        <w:pStyle w:val="Innehll4"/>
        <w:rPr>
          <w:rFonts w:asciiTheme="minorHAnsi" w:eastAsiaTheme="minorEastAsia" w:hAnsiTheme="minorHAnsi" w:cstheme="minorBidi"/>
          <w:sz w:val="22"/>
          <w:szCs w:val="22"/>
        </w:rPr>
      </w:pPr>
      <w:hyperlink w:anchor="_Toc477424010" w:history="1">
        <w:r w:rsidR="00E32B12" w:rsidRPr="0087337E">
          <w:rPr>
            <w:rStyle w:val="Hyperlnk"/>
          </w:rPr>
          <w:t>3.4.2.2 Trafiksäkerhetspaketet</w:t>
        </w:r>
        <w:r w:rsidR="00E32B12">
          <w:rPr>
            <w:webHidden/>
          </w:rPr>
          <w:tab/>
        </w:r>
        <w:r w:rsidR="00E32B12">
          <w:rPr>
            <w:webHidden/>
          </w:rPr>
          <w:fldChar w:fldCharType="begin"/>
        </w:r>
        <w:r w:rsidR="00E32B12">
          <w:rPr>
            <w:webHidden/>
          </w:rPr>
          <w:instrText xml:space="preserve"> PAGEREF _Toc477424010 \h </w:instrText>
        </w:r>
        <w:r w:rsidR="00E32B12">
          <w:rPr>
            <w:webHidden/>
          </w:rPr>
        </w:r>
        <w:r w:rsidR="00E32B12">
          <w:rPr>
            <w:webHidden/>
          </w:rPr>
          <w:fldChar w:fldCharType="separate"/>
        </w:r>
        <w:r w:rsidR="00603499">
          <w:rPr>
            <w:webHidden/>
          </w:rPr>
          <w:t>35</w:t>
        </w:r>
        <w:r w:rsidR="00E32B12">
          <w:rPr>
            <w:webHidden/>
          </w:rPr>
          <w:fldChar w:fldCharType="end"/>
        </w:r>
      </w:hyperlink>
    </w:p>
    <w:p w:rsidR="00E32B12" w:rsidRDefault="0038228F">
      <w:pPr>
        <w:pStyle w:val="Innehll4"/>
        <w:rPr>
          <w:rFonts w:asciiTheme="minorHAnsi" w:eastAsiaTheme="minorEastAsia" w:hAnsiTheme="minorHAnsi" w:cstheme="minorBidi"/>
          <w:sz w:val="22"/>
          <w:szCs w:val="22"/>
        </w:rPr>
      </w:pPr>
      <w:hyperlink w:anchor="_Toc477424011" w:history="1">
        <w:r w:rsidR="00E32B12" w:rsidRPr="0087337E">
          <w:rPr>
            <w:rStyle w:val="Hyperlnk"/>
          </w:rPr>
          <w:t>3.4.2.3 Upphandling</w:t>
        </w:r>
        <w:r w:rsidR="00E32B12">
          <w:rPr>
            <w:webHidden/>
          </w:rPr>
          <w:tab/>
        </w:r>
        <w:r w:rsidR="00E32B12">
          <w:rPr>
            <w:webHidden/>
          </w:rPr>
          <w:fldChar w:fldCharType="begin"/>
        </w:r>
        <w:r w:rsidR="00E32B12">
          <w:rPr>
            <w:webHidden/>
          </w:rPr>
          <w:instrText xml:space="preserve"> PAGEREF _Toc477424011 \h </w:instrText>
        </w:r>
        <w:r w:rsidR="00E32B12">
          <w:rPr>
            <w:webHidden/>
          </w:rPr>
        </w:r>
        <w:r w:rsidR="00E32B12">
          <w:rPr>
            <w:webHidden/>
          </w:rPr>
          <w:fldChar w:fldCharType="separate"/>
        </w:r>
        <w:r w:rsidR="00603499">
          <w:rPr>
            <w:webHidden/>
          </w:rPr>
          <w:t>35</w:t>
        </w:r>
        <w:r w:rsidR="00E32B12">
          <w:rPr>
            <w:webHidden/>
          </w:rPr>
          <w:fldChar w:fldCharType="end"/>
        </w:r>
      </w:hyperlink>
    </w:p>
    <w:p w:rsidR="00E32B12" w:rsidRDefault="0038228F">
      <w:pPr>
        <w:pStyle w:val="Innehll4"/>
        <w:rPr>
          <w:rFonts w:asciiTheme="minorHAnsi" w:eastAsiaTheme="minorEastAsia" w:hAnsiTheme="minorHAnsi" w:cstheme="minorBidi"/>
          <w:sz w:val="22"/>
          <w:szCs w:val="22"/>
        </w:rPr>
      </w:pPr>
      <w:hyperlink w:anchor="_Toc477424012" w:history="1">
        <w:r w:rsidR="00E32B12" w:rsidRPr="0087337E">
          <w:rPr>
            <w:rStyle w:val="Hyperlnk"/>
          </w:rPr>
          <w:t>3.4.2.4 Tullkodexen och skattegränsen</w:t>
        </w:r>
        <w:r w:rsidR="00E32B12">
          <w:rPr>
            <w:webHidden/>
          </w:rPr>
          <w:tab/>
        </w:r>
        <w:r w:rsidR="00E32B12">
          <w:rPr>
            <w:webHidden/>
          </w:rPr>
          <w:fldChar w:fldCharType="begin"/>
        </w:r>
        <w:r w:rsidR="00E32B12">
          <w:rPr>
            <w:webHidden/>
          </w:rPr>
          <w:instrText xml:space="preserve"> PAGEREF _Toc477424012 \h </w:instrText>
        </w:r>
        <w:r w:rsidR="00E32B12">
          <w:rPr>
            <w:webHidden/>
          </w:rPr>
        </w:r>
        <w:r w:rsidR="00E32B12">
          <w:rPr>
            <w:webHidden/>
          </w:rPr>
          <w:fldChar w:fldCharType="separate"/>
        </w:r>
        <w:r w:rsidR="00603499">
          <w:rPr>
            <w:webHidden/>
          </w:rPr>
          <w:t>36</w:t>
        </w:r>
        <w:r w:rsidR="00E32B12">
          <w:rPr>
            <w:webHidden/>
          </w:rPr>
          <w:fldChar w:fldCharType="end"/>
        </w:r>
      </w:hyperlink>
    </w:p>
    <w:p w:rsidR="00E32B12" w:rsidRDefault="0038228F">
      <w:pPr>
        <w:pStyle w:val="Innehll4"/>
        <w:rPr>
          <w:rFonts w:asciiTheme="minorHAnsi" w:eastAsiaTheme="minorEastAsia" w:hAnsiTheme="minorHAnsi" w:cstheme="minorBidi"/>
          <w:sz w:val="22"/>
          <w:szCs w:val="22"/>
        </w:rPr>
      </w:pPr>
      <w:hyperlink w:anchor="_Toc477424013" w:history="1">
        <w:r w:rsidR="00E32B12" w:rsidRPr="0087337E">
          <w:rPr>
            <w:rStyle w:val="Hyperlnk"/>
          </w:rPr>
          <w:t>3.4.2.5 Tobaksdirektivet</w:t>
        </w:r>
        <w:r w:rsidR="00E32B12">
          <w:rPr>
            <w:webHidden/>
          </w:rPr>
          <w:tab/>
        </w:r>
        <w:r w:rsidR="00E32B12">
          <w:rPr>
            <w:webHidden/>
          </w:rPr>
          <w:fldChar w:fldCharType="begin"/>
        </w:r>
        <w:r w:rsidR="00E32B12">
          <w:rPr>
            <w:webHidden/>
          </w:rPr>
          <w:instrText xml:space="preserve"> PAGEREF _Toc477424013 \h </w:instrText>
        </w:r>
        <w:r w:rsidR="00E32B12">
          <w:rPr>
            <w:webHidden/>
          </w:rPr>
        </w:r>
        <w:r w:rsidR="00E32B12">
          <w:rPr>
            <w:webHidden/>
          </w:rPr>
          <w:fldChar w:fldCharType="separate"/>
        </w:r>
        <w:r w:rsidR="00603499">
          <w:rPr>
            <w:webHidden/>
          </w:rPr>
          <w:t>36</w:t>
        </w:r>
        <w:r w:rsidR="00E32B12">
          <w:rPr>
            <w:webHidden/>
          </w:rPr>
          <w:fldChar w:fldCharType="end"/>
        </w:r>
      </w:hyperlink>
    </w:p>
    <w:p w:rsidR="00E32B12" w:rsidRDefault="0038228F">
      <w:pPr>
        <w:pStyle w:val="Innehll4"/>
        <w:rPr>
          <w:rFonts w:asciiTheme="minorHAnsi" w:eastAsiaTheme="minorEastAsia" w:hAnsiTheme="minorHAnsi" w:cstheme="minorBidi"/>
          <w:sz w:val="22"/>
          <w:szCs w:val="22"/>
        </w:rPr>
      </w:pPr>
      <w:hyperlink w:anchor="_Toc477424014" w:history="1">
        <w:r w:rsidR="00E32B12" w:rsidRPr="0087337E">
          <w:rPr>
            <w:rStyle w:val="Hyperlnk"/>
          </w:rPr>
          <w:t>3.4.2.6 Yrkeskvalifikationer</w:t>
        </w:r>
        <w:r w:rsidR="00E32B12">
          <w:rPr>
            <w:webHidden/>
          </w:rPr>
          <w:tab/>
        </w:r>
        <w:r w:rsidR="00E32B12">
          <w:rPr>
            <w:webHidden/>
          </w:rPr>
          <w:fldChar w:fldCharType="begin"/>
        </w:r>
        <w:r w:rsidR="00E32B12">
          <w:rPr>
            <w:webHidden/>
          </w:rPr>
          <w:instrText xml:space="preserve"> PAGEREF _Toc477424014 \h </w:instrText>
        </w:r>
        <w:r w:rsidR="00E32B12">
          <w:rPr>
            <w:webHidden/>
          </w:rPr>
        </w:r>
        <w:r w:rsidR="00E32B12">
          <w:rPr>
            <w:webHidden/>
          </w:rPr>
          <w:fldChar w:fldCharType="separate"/>
        </w:r>
        <w:r w:rsidR="00603499">
          <w:rPr>
            <w:webHidden/>
          </w:rPr>
          <w:t>37</w:t>
        </w:r>
        <w:r w:rsidR="00E32B12">
          <w:rPr>
            <w:webHidden/>
          </w:rPr>
          <w:fldChar w:fldCharType="end"/>
        </w:r>
      </w:hyperlink>
    </w:p>
    <w:p w:rsidR="00E32B12" w:rsidRDefault="0038228F">
      <w:pPr>
        <w:pStyle w:val="Innehll4"/>
        <w:rPr>
          <w:rFonts w:asciiTheme="minorHAnsi" w:eastAsiaTheme="minorEastAsia" w:hAnsiTheme="minorHAnsi" w:cstheme="minorBidi"/>
          <w:sz w:val="22"/>
          <w:szCs w:val="22"/>
        </w:rPr>
      </w:pPr>
      <w:hyperlink w:anchor="_Toc477424015" w:history="1">
        <w:r w:rsidR="00E32B12" w:rsidRPr="0087337E">
          <w:rPr>
            <w:rStyle w:val="Hyperlnk"/>
          </w:rPr>
          <w:t>3.4.2.7 Onlinespel</w:t>
        </w:r>
        <w:r w:rsidR="00E32B12">
          <w:rPr>
            <w:webHidden/>
          </w:rPr>
          <w:tab/>
        </w:r>
        <w:r w:rsidR="00E32B12">
          <w:rPr>
            <w:webHidden/>
          </w:rPr>
          <w:fldChar w:fldCharType="begin"/>
        </w:r>
        <w:r w:rsidR="00E32B12">
          <w:rPr>
            <w:webHidden/>
          </w:rPr>
          <w:instrText xml:space="preserve"> PAGEREF _Toc477424015 \h </w:instrText>
        </w:r>
        <w:r w:rsidR="00E32B12">
          <w:rPr>
            <w:webHidden/>
          </w:rPr>
        </w:r>
        <w:r w:rsidR="00E32B12">
          <w:rPr>
            <w:webHidden/>
          </w:rPr>
          <w:fldChar w:fldCharType="separate"/>
        </w:r>
        <w:r w:rsidR="00603499">
          <w:rPr>
            <w:webHidden/>
          </w:rPr>
          <w:t>37</w:t>
        </w:r>
        <w:r w:rsidR="00E32B12">
          <w:rPr>
            <w:webHidden/>
          </w:rPr>
          <w:fldChar w:fldCharType="end"/>
        </w:r>
      </w:hyperlink>
    </w:p>
    <w:p w:rsidR="00E32B12" w:rsidRDefault="0038228F">
      <w:pPr>
        <w:pStyle w:val="Innehll4"/>
        <w:rPr>
          <w:rFonts w:asciiTheme="minorHAnsi" w:eastAsiaTheme="minorEastAsia" w:hAnsiTheme="minorHAnsi" w:cstheme="minorBidi"/>
          <w:sz w:val="22"/>
          <w:szCs w:val="22"/>
        </w:rPr>
      </w:pPr>
      <w:hyperlink w:anchor="_Toc477424016" w:history="1">
        <w:r w:rsidR="00E32B12" w:rsidRPr="0087337E">
          <w:rPr>
            <w:rStyle w:val="Hyperlnk"/>
          </w:rPr>
          <w:t>3.4.2.8 Överträdelseförfaranden och EU-domstolsärenden</w:t>
        </w:r>
        <w:r w:rsidR="00E32B12">
          <w:rPr>
            <w:webHidden/>
          </w:rPr>
          <w:tab/>
        </w:r>
        <w:r w:rsidR="00E32B12">
          <w:rPr>
            <w:webHidden/>
          </w:rPr>
          <w:fldChar w:fldCharType="begin"/>
        </w:r>
        <w:r w:rsidR="00E32B12">
          <w:rPr>
            <w:webHidden/>
          </w:rPr>
          <w:instrText xml:space="preserve"> PAGEREF _Toc477424016 \h </w:instrText>
        </w:r>
        <w:r w:rsidR="00E32B12">
          <w:rPr>
            <w:webHidden/>
          </w:rPr>
        </w:r>
        <w:r w:rsidR="00E32B12">
          <w:rPr>
            <w:webHidden/>
          </w:rPr>
          <w:fldChar w:fldCharType="separate"/>
        </w:r>
        <w:r w:rsidR="00603499">
          <w:rPr>
            <w:webHidden/>
          </w:rPr>
          <w:t>37</w:t>
        </w:r>
        <w:r w:rsidR="00E32B12">
          <w:rPr>
            <w:webHidden/>
          </w:rPr>
          <w:fldChar w:fldCharType="end"/>
        </w:r>
      </w:hyperlink>
    </w:p>
    <w:p w:rsidR="00E32B12" w:rsidRDefault="0038228F">
      <w:pPr>
        <w:pStyle w:val="Innehll1"/>
        <w:rPr>
          <w:rFonts w:asciiTheme="minorHAnsi" w:eastAsiaTheme="minorEastAsia" w:hAnsiTheme="minorHAnsi" w:cstheme="minorBidi"/>
          <w:sz w:val="22"/>
          <w:szCs w:val="22"/>
        </w:rPr>
      </w:pPr>
      <w:hyperlink w:anchor="_Toc477424017" w:history="1">
        <w:r w:rsidR="00E32B12" w:rsidRPr="0087337E">
          <w:rPr>
            <w:rStyle w:val="Hyperlnk"/>
          </w:rPr>
          <w:t>4. Övriga externa samarbeten</w:t>
        </w:r>
        <w:r w:rsidR="00E32B12">
          <w:rPr>
            <w:webHidden/>
          </w:rPr>
          <w:tab/>
        </w:r>
        <w:r w:rsidR="00E32B12">
          <w:rPr>
            <w:webHidden/>
          </w:rPr>
          <w:fldChar w:fldCharType="begin"/>
        </w:r>
        <w:r w:rsidR="00E32B12">
          <w:rPr>
            <w:webHidden/>
          </w:rPr>
          <w:instrText xml:space="preserve"> PAGEREF _Toc477424017 \h </w:instrText>
        </w:r>
        <w:r w:rsidR="00E32B12">
          <w:rPr>
            <w:webHidden/>
          </w:rPr>
        </w:r>
        <w:r w:rsidR="00E32B12">
          <w:rPr>
            <w:webHidden/>
          </w:rPr>
          <w:fldChar w:fldCharType="separate"/>
        </w:r>
        <w:r w:rsidR="00603499">
          <w:rPr>
            <w:webHidden/>
          </w:rPr>
          <w:t>40</w:t>
        </w:r>
        <w:r w:rsidR="00E32B12">
          <w:rPr>
            <w:webHidden/>
          </w:rPr>
          <w:fldChar w:fldCharType="end"/>
        </w:r>
      </w:hyperlink>
    </w:p>
    <w:p w:rsidR="00E32B12" w:rsidRDefault="0038228F">
      <w:pPr>
        <w:pStyle w:val="Innehll2"/>
        <w:rPr>
          <w:rFonts w:asciiTheme="minorHAnsi" w:eastAsiaTheme="minorEastAsia" w:hAnsiTheme="minorHAnsi" w:cstheme="minorBidi"/>
          <w:sz w:val="22"/>
          <w:szCs w:val="22"/>
        </w:rPr>
      </w:pPr>
      <w:hyperlink w:anchor="_Toc477424018" w:history="1">
        <w:r w:rsidR="00E32B12" w:rsidRPr="0087337E">
          <w:rPr>
            <w:rStyle w:val="Hyperlnk"/>
          </w:rPr>
          <w:t>4.1 Sjöfart och IMO</w:t>
        </w:r>
        <w:r w:rsidR="00E32B12">
          <w:rPr>
            <w:webHidden/>
          </w:rPr>
          <w:tab/>
        </w:r>
        <w:r w:rsidR="00E32B12">
          <w:rPr>
            <w:webHidden/>
          </w:rPr>
          <w:fldChar w:fldCharType="begin"/>
        </w:r>
        <w:r w:rsidR="00E32B12">
          <w:rPr>
            <w:webHidden/>
          </w:rPr>
          <w:instrText xml:space="preserve"> PAGEREF _Toc477424018 \h </w:instrText>
        </w:r>
        <w:r w:rsidR="00E32B12">
          <w:rPr>
            <w:webHidden/>
          </w:rPr>
        </w:r>
        <w:r w:rsidR="00E32B12">
          <w:rPr>
            <w:webHidden/>
          </w:rPr>
          <w:fldChar w:fldCharType="separate"/>
        </w:r>
        <w:r w:rsidR="00603499">
          <w:rPr>
            <w:webHidden/>
          </w:rPr>
          <w:t>40</w:t>
        </w:r>
        <w:r w:rsidR="00E32B12">
          <w:rPr>
            <w:webHidden/>
          </w:rPr>
          <w:fldChar w:fldCharType="end"/>
        </w:r>
      </w:hyperlink>
    </w:p>
    <w:p w:rsidR="00E32B12" w:rsidRDefault="0038228F">
      <w:pPr>
        <w:pStyle w:val="Innehll2"/>
        <w:rPr>
          <w:rFonts w:asciiTheme="minorHAnsi" w:eastAsiaTheme="minorEastAsia" w:hAnsiTheme="minorHAnsi" w:cstheme="minorBidi"/>
          <w:sz w:val="22"/>
          <w:szCs w:val="22"/>
        </w:rPr>
      </w:pPr>
      <w:hyperlink w:anchor="_Toc477424019" w:history="1">
        <w:r w:rsidR="00E32B12" w:rsidRPr="0087337E">
          <w:rPr>
            <w:rStyle w:val="Hyperlnk"/>
          </w:rPr>
          <w:t>4.2 Team Finland</w:t>
        </w:r>
        <w:r w:rsidR="00E32B12">
          <w:rPr>
            <w:webHidden/>
          </w:rPr>
          <w:tab/>
        </w:r>
        <w:r w:rsidR="00E32B12">
          <w:rPr>
            <w:webHidden/>
          </w:rPr>
          <w:fldChar w:fldCharType="begin"/>
        </w:r>
        <w:r w:rsidR="00E32B12">
          <w:rPr>
            <w:webHidden/>
          </w:rPr>
          <w:instrText xml:space="preserve"> PAGEREF _Toc477424019 \h </w:instrText>
        </w:r>
        <w:r w:rsidR="00E32B12">
          <w:rPr>
            <w:webHidden/>
          </w:rPr>
        </w:r>
        <w:r w:rsidR="00E32B12">
          <w:rPr>
            <w:webHidden/>
          </w:rPr>
          <w:fldChar w:fldCharType="separate"/>
        </w:r>
        <w:r w:rsidR="00603499">
          <w:rPr>
            <w:webHidden/>
          </w:rPr>
          <w:t>40</w:t>
        </w:r>
        <w:r w:rsidR="00E32B12">
          <w:rPr>
            <w:webHidden/>
          </w:rPr>
          <w:fldChar w:fldCharType="end"/>
        </w:r>
      </w:hyperlink>
    </w:p>
    <w:p w:rsidR="00E32B12" w:rsidRDefault="0038228F">
      <w:pPr>
        <w:pStyle w:val="Innehll2"/>
        <w:rPr>
          <w:rFonts w:asciiTheme="minorHAnsi" w:eastAsiaTheme="minorEastAsia" w:hAnsiTheme="minorHAnsi" w:cstheme="minorBidi"/>
          <w:sz w:val="22"/>
          <w:szCs w:val="22"/>
        </w:rPr>
      </w:pPr>
      <w:hyperlink w:anchor="_Toc477424020" w:history="1">
        <w:r w:rsidR="00E32B12" w:rsidRPr="0087337E">
          <w:rPr>
            <w:rStyle w:val="Hyperlnk"/>
            <w:lang w:val="sv-FI"/>
          </w:rPr>
          <w:t>4.3 Central Baltic</w:t>
        </w:r>
        <w:r w:rsidR="00E32B12">
          <w:rPr>
            <w:webHidden/>
          </w:rPr>
          <w:tab/>
        </w:r>
        <w:r w:rsidR="00E32B12">
          <w:rPr>
            <w:webHidden/>
          </w:rPr>
          <w:fldChar w:fldCharType="begin"/>
        </w:r>
        <w:r w:rsidR="00E32B12">
          <w:rPr>
            <w:webHidden/>
          </w:rPr>
          <w:instrText xml:space="preserve"> PAGEREF _Toc477424020 \h </w:instrText>
        </w:r>
        <w:r w:rsidR="00E32B12">
          <w:rPr>
            <w:webHidden/>
          </w:rPr>
        </w:r>
        <w:r w:rsidR="00E32B12">
          <w:rPr>
            <w:webHidden/>
          </w:rPr>
          <w:fldChar w:fldCharType="separate"/>
        </w:r>
        <w:r w:rsidR="00603499">
          <w:rPr>
            <w:webHidden/>
          </w:rPr>
          <w:t>41</w:t>
        </w:r>
        <w:r w:rsidR="00E32B12">
          <w:rPr>
            <w:webHidden/>
          </w:rPr>
          <w:fldChar w:fldCharType="end"/>
        </w:r>
      </w:hyperlink>
    </w:p>
    <w:p w:rsidR="00E32B12" w:rsidRDefault="0038228F">
      <w:pPr>
        <w:pStyle w:val="Innehll2"/>
        <w:rPr>
          <w:rFonts w:asciiTheme="minorHAnsi" w:eastAsiaTheme="minorEastAsia" w:hAnsiTheme="minorHAnsi" w:cstheme="minorBidi"/>
          <w:sz w:val="22"/>
          <w:szCs w:val="22"/>
        </w:rPr>
      </w:pPr>
      <w:hyperlink w:anchor="_Toc477424021" w:history="1">
        <w:r w:rsidR="00E32B12" w:rsidRPr="0087337E">
          <w:rPr>
            <w:rStyle w:val="Hyperlnk"/>
          </w:rPr>
          <w:t>4.4 B7</w:t>
        </w:r>
        <w:r w:rsidR="00E32B12">
          <w:rPr>
            <w:webHidden/>
          </w:rPr>
          <w:tab/>
        </w:r>
        <w:r w:rsidR="00E32B12">
          <w:rPr>
            <w:webHidden/>
          </w:rPr>
          <w:fldChar w:fldCharType="begin"/>
        </w:r>
        <w:r w:rsidR="00E32B12">
          <w:rPr>
            <w:webHidden/>
          </w:rPr>
          <w:instrText xml:space="preserve"> PAGEREF _Toc477424021 \h </w:instrText>
        </w:r>
        <w:r w:rsidR="00E32B12">
          <w:rPr>
            <w:webHidden/>
          </w:rPr>
        </w:r>
        <w:r w:rsidR="00E32B12">
          <w:rPr>
            <w:webHidden/>
          </w:rPr>
          <w:fldChar w:fldCharType="separate"/>
        </w:r>
        <w:r w:rsidR="00603499">
          <w:rPr>
            <w:webHidden/>
          </w:rPr>
          <w:t>42</w:t>
        </w:r>
        <w:r w:rsidR="00E32B12">
          <w:rPr>
            <w:webHidden/>
          </w:rPr>
          <w:fldChar w:fldCharType="end"/>
        </w:r>
      </w:hyperlink>
    </w:p>
    <w:p w:rsidR="00E32B12" w:rsidRDefault="0038228F">
      <w:pPr>
        <w:pStyle w:val="Innehll2"/>
        <w:rPr>
          <w:rFonts w:asciiTheme="minorHAnsi" w:eastAsiaTheme="minorEastAsia" w:hAnsiTheme="minorHAnsi" w:cstheme="minorBidi"/>
          <w:sz w:val="22"/>
          <w:szCs w:val="22"/>
        </w:rPr>
      </w:pPr>
      <w:hyperlink w:anchor="_Toc477424022" w:history="1">
        <w:r w:rsidR="00E32B12" w:rsidRPr="0087337E">
          <w:rPr>
            <w:rStyle w:val="Hyperlnk"/>
          </w:rPr>
          <w:t>4.5 Kultursamarbete</w:t>
        </w:r>
        <w:r w:rsidR="00E32B12">
          <w:rPr>
            <w:webHidden/>
          </w:rPr>
          <w:tab/>
        </w:r>
        <w:r w:rsidR="00E32B12">
          <w:rPr>
            <w:webHidden/>
          </w:rPr>
          <w:fldChar w:fldCharType="begin"/>
        </w:r>
        <w:r w:rsidR="00E32B12">
          <w:rPr>
            <w:webHidden/>
          </w:rPr>
          <w:instrText xml:space="preserve"> PAGEREF _Toc477424022 \h </w:instrText>
        </w:r>
        <w:r w:rsidR="00E32B12">
          <w:rPr>
            <w:webHidden/>
          </w:rPr>
        </w:r>
        <w:r w:rsidR="00E32B12">
          <w:rPr>
            <w:webHidden/>
          </w:rPr>
          <w:fldChar w:fldCharType="separate"/>
        </w:r>
        <w:r w:rsidR="00603499">
          <w:rPr>
            <w:webHidden/>
          </w:rPr>
          <w:t>42</w:t>
        </w:r>
        <w:r w:rsidR="00E32B12">
          <w:rPr>
            <w:webHidden/>
          </w:rPr>
          <w:fldChar w:fldCharType="end"/>
        </w:r>
      </w:hyperlink>
    </w:p>
    <w:p w:rsidR="00E32B12" w:rsidRDefault="0038228F">
      <w:pPr>
        <w:pStyle w:val="Innehll2"/>
        <w:rPr>
          <w:rFonts w:asciiTheme="minorHAnsi" w:eastAsiaTheme="minorEastAsia" w:hAnsiTheme="minorHAnsi" w:cstheme="minorBidi"/>
          <w:sz w:val="22"/>
          <w:szCs w:val="22"/>
        </w:rPr>
      </w:pPr>
      <w:hyperlink w:anchor="_Toc477424023" w:history="1">
        <w:r w:rsidR="00E32B12" w:rsidRPr="0087337E">
          <w:rPr>
            <w:rStyle w:val="Hyperlnk"/>
          </w:rPr>
          <w:t>4.6 Miljösamarbete</w:t>
        </w:r>
        <w:r w:rsidR="00E32B12">
          <w:rPr>
            <w:webHidden/>
          </w:rPr>
          <w:tab/>
        </w:r>
        <w:r w:rsidR="00E32B12">
          <w:rPr>
            <w:webHidden/>
          </w:rPr>
          <w:fldChar w:fldCharType="begin"/>
        </w:r>
        <w:r w:rsidR="00E32B12">
          <w:rPr>
            <w:webHidden/>
          </w:rPr>
          <w:instrText xml:space="preserve"> PAGEREF _Toc477424023 \h </w:instrText>
        </w:r>
        <w:r w:rsidR="00E32B12">
          <w:rPr>
            <w:webHidden/>
          </w:rPr>
        </w:r>
        <w:r w:rsidR="00E32B12">
          <w:rPr>
            <w:webHidden/>
          </w:rPr>
          <w:fldChar w:fldCharType="separate"/>
        </w:r>
        <w:r w:rsidR="00603499">
          <w:rPr>
            <w:webHidden/>
          </w:rPr>
          <w:t>43</w:t>
        </w:r>
        <w:r w:rsidR="00E32B12">
          <w:rPr>
            <w:webHidden/>
          </w:rPr>
          <w:fldChar w:fldCharType="end"/>
        </w:r>
      </w:hyperlink>
    </w:p>
    <w:p w:rsidR="00E32B12" w:rsidRDefault="0038228F">
      <w:pPr>
        <w:pStyle w:val="Innehll1"/>
        <w:rPr>
          <w:rFonts w:asciiTheme="minorHAnsi" w:eastAsiaTheme="minorEastAsia" w:hAnsiTheme="minorHAnsi" w:cstheme="minorBidi"/>
          <w:sz w:val="22"/>
          <w:szCs w:val="22"/>
        </w:rPr>
      </w:pPr>
      <w:hyperlink w:anchor="_Toc477424024" w:history="1">
        <w:r w:rsidR="00E32B12" w:rsidRPr="0087337E">
          <w:rPr>
            <w:rStyle w:val="Hyperlnk"/>
          </w:rPr>
          <w:t>5. Bilaga, Årsberättelse för aktiviteter i Nordiska ministerrådet 2016</w:t>
        </w:r>
        <w:r w:rsidR="00E32B12">
          <w:rPr>
            <w:webHidden/>
          </w:rPr>
          <w:tab/>
        </w:r>
        <w:r w:rsidR="00E32B12">
          <w:rPr>
            <w:webHidden/>
          </w:rPr>
          <w:fldChar w:fldCharType="begin"/>
        </w:r>
        <w:r w:rsidR="00E32B12">
          <w:rPr>
            <w:webHidden/>
          </w:rPr>
          <w:instrText xml:space="preserve"> PAGEREF _Toc477424024 \h </w:instrText>
        </w:r>
        <w:r w:rsidR="00E32B12">
          <w:rPr>
            <w:webHidden/>
          </w:rPr>
        </w:r>
        <w:r w:rsidR="00E32B12">
          <w:rPr>
            <w:webHidden/>
          </w:rPr>
          <w:fldChar w:fldCharType="separate"/>
        </w:r>
        <w:r w:rsidR="00603499">
          <w:rPr>
            <w:webHidden/>
          </w:rPr>
          <w:t>43</w:t>
        </w:r>
        <w:r w:rsidR="00E32B12">
          <w:rPr>
            <w:webHidden/>
          </w:rPr>
          <w:fldChar w:fldCharType="end"/>
        </w:r>
      </w:hyperlink>
    </w:p>
    <w:p w:rsidR="00E32B12" w:rsidRDefault="00E32B12">
      <w:pPr>
        <w:pStyle w:val="Innehll3"/>
        <w:rPr>
          <w:rFonts w:asciiTheme="minorHAnsi" w:eastAsiaTheme="minorEastAsia" w:hAnsiTheme="minorHAnsi" w:cstheme="minorBidi"/>
          <w:sz w:val="22"/>
          <w:szCs w:val="22"/>
        </w:rPr>
      </w:pPr>
    </w:p>
    <w:p w:rsidR="001C35D0" w:rsidRPr="00971422" w:rsidRDefault="001C35D0" w:rsidP="001C35D0">
      <w:pPr>
        <w:rPr>
          <w:b/>
          <w:bCs/>
        </w:rPr>
      </w:pPr>
      <w:r w:rsidRPr="00971422">
        <w:fldChar w:fldCharType="end"/>
      </w:r>
      <w:r w:rsidRPr="00971422">
        <w:rPr>
          <w:b/>
          <w:bCs/>
        </w:rPr>
        <w:t xml:space="preserve"> </w:t>
      </w:r>
    </w:p>
    <w:p w:rsidR="009A491A" w:rsidRPr="00971422" w:rsidRDefault="009A491A" w:rsidP="00B46389">
      <w:pPr>
        <w:rPr>
          <w:b/>
          <w:bCs/>
        </w:rPr>
      </w:pPr>
    </w:p>
    <w:p w:rsidR="001B3B6B" w:rsidRPr="00971422" w:rsidRDefault="001B3B6B" w:rsidP="00B46389"/>
    <w:p w:rsidR="001B3B6B" w:rsidRPr="00E228D0" w:rsidRDefault="001B3B6B" w:rsidP="001B3B6B">
      <w:pPr>
        <w:pStyle w:val="Rubrik1"/>
        <w:numPr>
          <w:ilvl w:val="0"/>
          <w:numId w:val="0"/>
        </w:numPr>
      </w:pPr>
      <w:bookmarkStart w:id="3" w:name="_Toc410897632"/>
      <w:bookmarkStart w:id="4" w:name="_Toc412712649"/>
      <w:bookmarkStart w:id="5" w:name="_Toc442442818"/>
      <w:bookmarkStart w:id="6" w:name="_Toc477423961"/>
      <w:r w:rsidRPr="00E228D0">
        <w:rPr>
          <w:bCs w:val="0"/>
        </w:rPr>
        <w:lastRenderedPageBreak/>
        <w:t>1.</w:t>
      </w:r>
      <w:r w:rsidRPr="00E228D0">
        <w:t xml:space="preserve"> Inledning</w:t>
      </w:r>
      <w:bookmarkEnd w:id="3"/>
      <w:bookmarkEnd w:id="4"/>
      <w:bookmarkEnd w:id="5"/>
      <w:bookmarkEnd w:id="6"/>
    </w:p>
    <w:p w:rsidR="00094667" w:rsidRDefault="00094667" w:rsidP="007E2986">
      <w:bookmarkStart w:id="7" w:name="_Toc442442819"/>
      <w:r>
        <w:t>Det självstyrda Åland påverkas, som en del av världen, Europa och Norden, av många krafter som vi inte kan styra över men ändå har att förhålla oss till.</w:t>
      </w:r>
    </w:p>
    <w:p w:rsidR="00094667" w:rsidRDefault="007E2986" w:rsidP="007E2986">
      <w:r>
        <w:tab/>
      </w:r>
      <w:r w:rsidR="00094667">
        <w:t>Den globala trenden i många av världens stora och ekonomiskt starka länder är en ökande isolationism och en växande nationalism. Detta kan ses som en motreaktion mot de utmaningar globaliseringen och den fria rörli</w:t>
      </w:r>
      <w:r w:rsidR="00094667">
        <w:t>g</w:t>
      </w:r>
      <w:r w:rsidR="00094667">
        <w:t>heten ställt och ställer på våra samhällen.</w:t>
      </w:r>
      <w:r>
        <w:t xml:space="preserve"> </w:t>
      </w:r>
      <w:r w:rsidR="00094667">
        <w:t>I Donalds Trumps USA och i ett Storbritannien på väg ut ur EU finns starka krafter för en protektionistisk ekonomisk politik, ett tillbakadragande från den internationella arenan och också från viktiga framsteg som gjorts i klimatfrågan.</w:t>
      </w:r>
    </w:p>
    <w:p w:rsidR="00094667" w:rsidRDefault="007E2986" w:rsidP="007E2986">
      <w:r>
        <w:tab/>
      </w:r>
      <w:r w:rsidR="00094667">
        <w:t>I Norden har den i fjol så brännande flyktingfrågan funnit sin tillfälliga lättnad i gränskontroller vid EU</w:t>
      </w:r>
      <w:r w:rsidR="00A058C8">
        <w:t>:</w:t>
      </w:r>
      <w:r w:rsidR="00094667">
        <w:t>s yttre gränser och även inom Norden. Den nordiska fria rörligheten är ett viktigt värde att värna om, och det är med oro landskapsregeringen ser de tydliga negativa konsekvenserna för K</w:t>
      </w:r>
      <w:r w:rsidR="00094667">
        <w:t>ö</w:t>
      </w:r>
      <w:r w:rsidR="00094667">
        <w:t>penhamn-Malmö-regionen, där en tillväxtmotor i Norden skär fast på grund av de passkontroller som införts.</w:t>
      </w:r>
    </w:p>
    <w:p w:rsidR="00094667" w:rsidRDefault="00A058C8" w:rsidP="007E2986">
      <w:r>
        <w:tab/>
      </w:r>
      <w:r w:rsidR="00094667">
        <w:t>Hur man än vill hantera flyktingfrågan finns negativa och kostsamma konsekvenser för det nordiska och europeiska samarbete som under lång tid varit en stabiliserande faktor i vår region.</w:t>
      </w:r>
    </w:p>
    <w:p w:rsidR="00094667" w:rsidRDefault="007E2986" w:rsidP="007E2986">
      <w:r>
        <w:tab/>
      </w:r>
      <w:r w:rsidR="00094667">
        <w:t>Det nordiska samarbetet är ett fortsatt prioriterat område för den åländska externpolitiken. Landskapsregeringen konstaterar att möjlighete</w:t>
      </w:r>
      <w:r w:rsidR="00094667">
        <w:t>r</w:t>
      </w:r>
      <w:r w:rsidR="00094667">
        <w:t>na att påverka och knyta kontakter endast begränsas av vår kapacitet att u</w:t>
      </w:r>
      <w:r w:rsidR="00094667">
        <w:t>t</w:t>
      </w:r>
      <w:r w:rsidR="00094667">
        <w:t>nyttja dem.</w:t>
      </w:r>
    </w:p>
    <w:p w:rsidR="00094667" w:rsidRDefault="007E2986" w:rsidP="007E2986">
      <w:r>
        <w:tab/>
      </w:r>
      <w:r w:rsidR="00094667">
        <w:t>Den faktiska makten över lagstiftning som påverkar oss direkt finns i EU, där vi inte har en egen representation. Fokus bör därför läggas på att i samband med Brexit-processen jobba för att Åland får en av de parl</w:t>
      </w:r>
      <w:r w:rsidR="00094667">
        <w:t>a</w:t>
      </w:r>
      <w:r w:rsidR="00094667">
        <w:t>mentsplatser som frigörs om och när Storbritannien utträder ur unionen.</w:t>
      </w:r>
    </w:p>
    <w:p w:rsidR="00094667" w:rsidRDefault="00094667" w:rsidP="007E2986">
      <w:r>
        <w:t>Inom förvaltningen är det avgörande att det finns tillräckliga resurser och en god samordning för att förankra, fördjupa och förbereda för de direktiv som blir en del av vår egen lagstiftning.</w:t>
      </w:r>
    </w:p>
    <w:p w:rsidR="00094667" w:rsidRDefault="007E2986" w:rsidP="007E2986">
      <w:r>
        <w:tab/>
      </w:r>
      <w:r w:rsidR="00094667">
        <w:t>Landskapsregeringen konstaterar att Ålands deltagande</w:t>
      </w:r>
      <w:r w:rsidR="00A10C71">
        <w:t xml:space="preserve"> och kommande ordförandeskap i </w:t>
      </w:r>
      <w:r w:rsidR="00094667">
        <w:t>Baltic Sea Parliamentary Conference (BSPC) erbjuder en arena för kontakter och påverkan framför allt inom två för Åland viktiga områden; Östersjöns miljö och säkerhetspolitiken. Alla sammanhang som verkar för att öka samverkan och minska friktion</w:t>
      </w:r>
      <w:r w:rsidR="00A058C8">
        <w:t>en</w:t>
      </w:r>
      <w:r w:rsidR="00094667">
        <w:t xml:space="preserve"> i Östersjö-området och som breddar nätverken för åländska politiker måste anses gagna Åland.</w:t>
      </w:r>
    </w:p>
    <w:p w:rsidR="00104F44" w:rsidRDefault="007E2986" w:rsidP="007E2986">
      <w:r>
        <w:tab/>
      </w:r>
      <w:r w:rsidR="00094667">
        <w:t>För Åland är protektionism och en exkluderande nationalism inte en rimlig möjlighet, därtill är vi för små och för beroende av omvärlden. Vår externpolitiska strategi bör därför vara att ha bättre kunskap och djupare analyser än någon annan i frågor som rör Åland, och att därtill ha något att tillföra det externa samarbete som i grunden är ett ömsesidigt utbyte av värden. Ett exempel är den åländska Utvecklings- och hållbarhetsagenda, som rönt int</w:t>
      </w:r>
      <w:r w:rsidR="002B34F0">
        <w:t>r</w:t>
      </w:r>
      <w:r w:rsidR="00094667">
        <w:t>esse både internationellt och i Norden.</w:t>
      </w:r>
    </w:p>
    <w:p w:rsidR="007D3080" w:rsidRPr="007D3080" w:rsidRDefault="007D3080" w:rsidP="007E2986">
      <w:pPr>
        <w:rPr>
          <w:color w:val="FF0000"/>
        </w:rPr>
      </w:pPr>
      <w:r>
        <w:tab/>
      </w:r>
    </w:p>
    <w:p w:rsidR="00B46389" w:rsidRPr="000D78D5" w:rsidRDefault="00B46389" w:rsidP="00006BAE">
      <w:pPr>
        <w:pStyle w:val="Rubrik1"/>
        <w:numPr>
          <w:ilvl w:val="0"/>
          <w:numId w:val="0"/>
        </w:numPr>
      </w:pPr>
      <w:bookmarkStart w:id="8" w:name="_Toc477423962"/>
      <w:r w:rsidRPr="000D78D5">
        <w:t>2. Nordiska ministerrådet</w:t>
      </w:r>
      <w:bookmarkEnd w:id="7"/>
      <w:bookmarkEnd w:id="8"/>
    </w:p>
    <w:p w:rsidR="00B46389" w:rsidRPr="000D78D5" w:rsidRDefault="00B46389" w:rsidP="007E2986">
      <w:r w:rsidRPr="000D78D5">
        <w:t>I det här kapitlet redogör landskapsregeringen för sina prioriteringar i arb</w:t>
      </w:r>
      <w:r w:rsidRPr="000D78D5">
        <w:t>e</w:t>
      </w:r>
      <w:r w:rsidRPr="000D78D5">
        <w:t>tet i Nordiska ministerrådet. Prioriteringarna är till vissa delar av övergr</w:t>
      </w:r>
      <w:r w:rsidRPr="000D78D5">
        <w:t>i</w:t>
      </w:r>
      <w:r w:rsidRPr="000D78D5">
        <w:t>pande art och kan därför sträcka sig över en längre period än det kommande året. Nordiska ministerrådets arbete består till stor del av projektbeviljnin</w:t>
      </w:r>
      <w:r w:rsidRPr="000D78D5">
        <w:t>g</w:t>
      </w:r>
      <w:r w:rsidRPr="000D78D5">
        <w:t xml:space="preserve">ar och beslut om samarbetsprogram varför en konkret ärendeförteckning </w:t>
      </w:r>
      <w:r w:rsidR="00452D0E" w:rsidRPr="000D78D5">
        <w:t>för 2017</w:t>
      </w:r>
      <w:r w:rsidRPr="000D78D5">
        <w:t xml:space="preserve"> saknas. Nedanstående prioriteringar speglar ändå de strategiskt lån</w:t>
      </w:r>
      <w:r w:rsidRPr="000D78D5">
        <w:t>g</w:t>
      </w:r>
      <w:r w:rsidRPr="000D78D5">
        <w:t xml:space="preserve">siktiga visioner som respektive ministerråd planerar sitt arbete kring.  </w:t>
      </w:r>
    </w:p>
    <w:p w:rsidR="00B46389" w:rsidRPr="000D78D5" w:rsidRDefault="007E2986" w:rsidP="007E2986">
      <w:r>
        <w:lastRenderedPageBreak/>
        <w:tab/>
      </w:r>
      <w:r w:rsidR="00B46389" w:rsidRPr="000D78D5">
        <w:t>Årsberättelsen för landskapsregeringens</w:t>
      </w:r>
      <w:r w:rsidR="00452D0E" w:rsidRPr="000D78D5">
        <w:t xml:space="preserve"> verksamhet i ministerrådet 2016</w:t>
      </w:r>
      <w:r w:rsidR="00B46389" w:rsidRPr="000D78D5">
        <w:t xml:space="preserve"> ligger som bilaga till detta meddelande.</w:t>
      </w:r>
    </w:p>
    <w:p w:rsidR="00B46389" w:rsidRPr="00685EC0" w:rsidRDefault="00B46389" w:rsidP="00B46389">
      <w:pPr>
        <w:pStyle w:val="Rubrik2"/>
        <w:numPr>
          <w:ilvl w:val="1"/>
          <w:numId w:val="4"/>
        </w:numPr>
      </w:pPr>
      <w:bookmarkStart w:id="9" w:name="_Toc410897634"/>
      <w:bookmarkStart w:id="10" w:name="_Toc412452882"/>
      <w:bookmarkStart w:id="11" w:name="_Toc442442820"/>
      <w:bookmarkStart w:id="12" w:name="_Toc477423963"/>
      <w:r w:rsidRPr="00685EC0">
        <w:t>2.1 Ålands möjlighet att påverka i det nordiska sama</w:t>
      </w:r>
      <w:r w:rsidRPr="00685EC0">
        <w:t>r</w:t>
      </w:r>
      <w:r w:rsidRPr="00685EC0">
        <w:t>betet</w:t>
      </w:r>
      <w:bookmarkEnd w:id="9"/>
      <w:bookmarkEnd w:id="10"/>
      <w:bookmarkEnd w:id="11"/>
      <w:bookmarkEnd w:id="12"/>
    </w:p>
    <w:p w:rsidR="007E2986" w:rsidRDefault="00426339" w:rsidP="007E2986">
      <w:r w:rsidRPr="00685EC0">
        <w:t>Det nordiska samarbetet utgör en av Ålands plattformar för utrikeskonta</w:t>
      </w:r>
      <w:r w:rsidRPr="00685EC0">
        <w:t>k</w:t>
      </w:r>
      <w:r w:rsidRPr="00685EC0">
        <w:t>ter.</w:t>
      </w:r>
      <w:r>
        <w:t xml:space="preserve"> </w:t>
      </w:r>
      <w:r w:rsidR="00B46389" w:rsidRPr="00685EC0">
        <w:t>Ålands landskapsregering deltar i det formella nordiska samarbetet g</w:t>
      </w:r>
      <w:r w:rsidR="00B46389" w:rsidRPr="00685EC0">
        <w:t>e</w:t>
      </w:r>
      <w:r w:rsidR="00B46389" w:rsidRPr="00685EC0">
        <w:t>nom Nordiska ministerrådet. I Nordiska ministerrådet deltar de fem no</w:t>
      </w:r>
      <w:r w:rsidR="00B46389" w:rsidRPr="00685EC0">
        <w:t>r</w:t>
      </w:r>
      <w:r w:rsidR="00B46389" w:rsidRPr="00685EC0">
        <w:t>diska länderna samt Färöarna, Grönland och Åland. Trots namnet finns det inte bara ett ministerråd utan tio fackministerråd och ett samordnande m</w:t>
      </w:r>
      <w:r w:rsidR="00B46389" w:rsidRPr="00685EC0">
        <w:t>i</w:t>
      </w:r>
      <w:r w:rsidR="00B46389" w:rsidRPr="00685EC0">
        <w:t>nisterråd. Under varje ministerråd finns ämbetsmannakommittéer, i vilka ingår tjänstemän från de fem nordiska länderna samt Färöarna, Grönland och Åland. Ämbetsmannakommittéerna förbereder och följer upp ministe</w:t>
      </w:r>
      <w:r w:rsidR="00B46389" w:rsidRPr="00685EC0">
        <w:t>r</w:t>
      </w:r>
      <w:r w:rsidR="00B46389" w:rsidRPr="00685EC0">
        <w:t>rådsmötena.</w:t>
      </w:r>
    </w:p>
    <w:p w:rsidR="00B46389" w:rsidRPr="00685EC0" w:rsidRDefault="007E2986" w:rsidP="007E2986">
      <w:r>
        <w:tab/>
      </w:r>
      <w:r w:rsidR="00B46389" w:rsidRPr="00685EC0">
        <w:t>Åland deltar i de elva ministerråden och ämbetsmannakommittéerna med full yttranderätt. I de fall en eventuell omröstning äger rum har Åland tillsammans med Färöarna och Grönland ingen rösträtt. I praktiken sker aldrig omröstningar då en princip om konsensus råder. Landskapsregerin</w:t>
      </w:r>
      <w:r w:rsidR="00B46389" w:rsidRPr="00685EC0">
        <w:t>g</w:t>
      </w:r>
      <w:r w:rsidR="00B46389" w:rsidRPr="00685EC0">
        <w:t>en anser att Åland har goda möjligheter att påverka diskussioner av bet</w:t>
      </w:r>
      <w:r w:rsidR="00B46389" w:rsidRPr="00685EC0">
        <w:t>y</w:t>
      </w:r>
      <w:r w:rsidR="00B46389" w:rsidRPr="00685EC0">
        <w:t xml:space="preserve">delse för landskapet. </w:t>
      </w:r>
    </w:p>
    <w:p w:rsidR="009D578C" w:rsidRDefault="00B46389" w:rsidP="009D578C">
      <w:pPr>
        <w:ind w:firstLine="284"/>
      </w:pPr>
      <w:r w:rsidRPr="00685EC0">
        <w:t>Landskapsregeringens ministrar är medlemmar i Ålands delegation</w:t>
      </w:r>
      <w:r w:rsidR="006A7EC1" w:rsidRPr="00685EC0">
        <w:t xml:space="preserve"> i Nordiska rådet</w:t>
      </w:r>
      <w:r w:rsidRPr="00685EC0">
        <w:t>. Landskapsregeringen har ett nära samarbete i nordiska fr</w:t>
      </w:r>
      <w:r w:rsidRPr="00685EC0">
        <w:t>å</w:t>
      </w:r>
      <w:r w:rsidRPr="00685EC0">
        <w:t xml:space="preserve">gor med Ålands lagting. Den samsyn som ofta finns i olika frågor är en unik styrka och underlättar Ålands möjligheter att göra sin röst hörd såväl i Nordiska ministerrådet som i Nordiska rådet. </w:t>
      </w:r>
      <w:bookmarkStart w:id="13" w:name="_Toc410897635"/>
      <w:bookmarkStart w:id="14" w:name="_Toc412452883"/>
      <w:bookmarkStart w:id="15" w:name="_Toc442442821"/>
    </w:p>
    <w:p w:rsidR="007C641D" w:rsidRPr="00D266D1" w:rsidRDefault="007C641D" w:rsidP="009D578C">
      <w:pPr>
        <w:pStyle w:val="Rubrik2"/>
      </w:pPr>
      <w:bookmarkStart w:id="16" w:name="_Toc477423964"/>
      <w:r w:rsidRPr="00D266D1">
        <w:t>2.2 Samarbetet med Nordiska rådet</w:t>
      </w:r>
      <w:bookmarkEnd w:id="16"/>
    </w:p>
    <w:p w:rsidR="007C641D" w:rsidRPr="00D266D1" w:rsidRDefault="007C641D" w:rsidP="007E2986">
      <w:r w:rsidRPr="00D266D1">
        <w:t>Under 2017 innehar Finland presidentskapet i Nordiska rådet. Till president för Nordiska rådet 2017 är viceordföranden i Ålands delegation vald. Lan</w:t>
      </w:r>
      <w:r w:rsidRPr="00D266D1">
        <w:t>d</w:t>
      </w:r>
      <w:r w:rsidRPr="00D266D1">
        <w:t>skapsregeringen avser att genom diskussion i delegationen stötta och sa</w:t>
      </w:r>
      <w:r w:rsidRPr="00D266D1">
        <w:t>m</w:t>
      </w:r>
      <w:r w:rsidRPr="00D266D1">
        <w:t>ordna insatser som gagnar Ålands roll i nordiska samarbetet och sätta fr</w:t>
      </w:r>
      <w:r w:rsidRPr="00D266D1">
        <w:t>å</w:t>
      </w:r>
      <w:r w:rsidRPr="00D266D1">
        <w:t>gor med åländskt intresse högt upp på den nordiska dagordningen.</w:t>
      </w:r>
    </w:p>
    <w:p w:rsidR="007C641D" w:rsidRPr="00A25DB8" w:rsidRDefault="007C641D" w:rsidP="007C641D">
      <w:pPr>
        <w:pStyle w:val="Rubrik2"/>
        <w:numPr>
          <w:ilvl w:val="1"/>
          <w:numId w:val="4"/>
        </w:numPr>
      </w:pPr>
      <w:bookmarkStart w:id="17" w:name="_Toc477423965"/>
      <w:bookmarkStart w:id="18" w:name="_Toc410897636"/>
      <w:bookmarkStart w:id="19" w:name="_Toc412452884"/>
      <w:bookmarkStart w:id="20" w:name="_Toc442442822"/>
      <w:bookmarkEnd w:id="13"/>
      <w:bookmarkEnd w:id="14"/>
      <w:bookmarkEnd w:id="15"/>
      <w:r w:rsidRPr="00A25DB8">
        <w:t>2.2 Ordförandeskap 2017</w:t>
      </w:r>
      <w:bookmarkEnd w:id="17"/>
    </w:p>
    <w:p w:rsidR="00653C2B" w:rsidRPr="00653C2B" w:rsidRDefault="007C641D" w:rsidP="007C641D">
      <w:r w:rsidRPr="00A25DB8">
        <w:t>Norge t</w:t>
      </w:r>
      <w:r w:rsidR="00426339">
        <w:t>og</w:t>
      </w:r>
      <w:r w:rsidRPr="00A25DB8">
        <w:t xml:space="preserve"> över ordförandeskapet i Nordiska ministerrådet</w:t>
      </w:r>
      <w:r w:rsidR="00426339">
        <w:t xml:space="preserve"> 2017</w:t>
      </w:r>
      <w:r w:rsidRPr="00A25DB8">
        <w:t xml:space="preserve">. Det norska </w:t>
      </w:r>
      <w:r w:rsidRPr="00653C2B">
        <w:t xml:space="preserve">ordförandeprogrammet </w:t>
      </w:r>
      <w:r w:rsidR="00426339" w:rsidRPr="00653C2B">
        <w:t>fokuserar på</w:t>
      </w:r>
      <w:r w:rsidRPr="00653C2B">
        <w:t xml:space="preserve"> tre teman: Norden i omställning, No</w:t>
      </w:r>
      <w:r w:rsidRPr="00653C2B">
        <w:t>r</w:t>
      </w:r>
      <w:r w:rsidRPr="00653C2B">
        <w:t xml:space="preserve">den i Europa och Norden i världen. </w:t>
      </w:r>
    </w:p>
    <w:p w:rsidR="007C641D" w:rsidRPr="00653C2B" w:rsidRDefault="00653C2B" w:rsidP="007C641D">
      <w:pPr>
        <w:rPr>
          <w:lang w:val="sv-FI"/>
        </w:rPr>
      </w:pPr>
      <w:r w:rsidRPr="00653C2B">
        <w:tab/>
      </w:r>
      <w:r w:rsidR="007C641D" w:rsidRPr="00653C2B">
        <w:t xml:space="preserve">De nordiska regeringscheferna har vid sina möten hösten 2015 och sommaren 2016 tagit initiativ till två områden där ministerrådet </w:t>
      </w:r>
      <w:r w:rsidRPr="00653C2B">
        <w:t>inlett sa</w:t>
      </w:r>
      <w:r w:rsidRPr="00653C2B">
        <w:t>m</w:t>
      </w:r>
      <w:r w:rsidRPr="00653C2B">
        <w:t>arbete</w:t>
      </w:r>
      <w:r w:rsidR="007C641D" w:rsidRPr="00653C2B">
        <w:t>.</w:t>
      </w:r>
      <w:r w:rsidRPr="00653C2B">
        <w:t xml:space="preserve"> Det första initiativet, </w:t>
      </w:r>
      <w:r w:rsidRPr="00653C2B">
        <w:rPr>
          <w:i/>
          <w:lang w:val="sv-FI"/>
        </w:rPr>
        <w:t>Nordiska lösningar på globala samhällsutm</w:t>
      </w:r>
      <w:r w:rsidRPr="00653C2B">
        <w:rPr>
          <w:i/>
          <w:lang w:val="sv-FI"/>
        </w:rPr>
        <w:t>a</w:t>
      </w:r>
      <w:r w:rsidRPr="00653C2B">
        <w:rPr>
          <w:i/>
          <w:lang w:val="sv-FI"/>
        </w:rPr>
        <w:t xml:space="preserve">ningar, </w:t>
      </w:r>
      <w:r w:rsidRPr="00653C2B">
        <w:rPr>
          <w:lang w:val="sv-FI"/>
        </w:rPr>
        <w:t xml:space="preserve">inleddes under </w:t>
      </w:r>
      <w:r w:rsidR="007C641D" w:rsidRPr="00653C2B">
        <w:t>regeringschefsmötet i anslutning till session</w:t>
      </w:r>
      <w:r w:rsidRPr="00653C2B">
        <w:t xml:space="preserve">en 2015. </w:t>
      </w:r>
      <w:r w:rsidRPr="00653C2B">
        <w:rPr>
          <w:lang w:val="sv-FI"/>
        </w:rPr>
        <w:t>Syftet med initiativet är att föra fram de områden där de nordiska länderna innehar spetskompetens för en bättre koordinering och ett större kunskap</w:t>
      </w:r>
      <w:r w:rsidRPr="00653C2B">
        <w:rPr>
          <w:lang w:val="sv-FI"/>
        </w:rPr>
        <w:t>s</w:t>
      </w:r>
      <w:r w:rsidRPr="00653C2B">
        <w:rPr>
          <w:lang w:val="sv-FI"/>
        </w:rPr>
        <w:t xml:space="preserve">utbyte. </w:t>
      </w:r>
      <w:r w:rsidRPr="00653C2B">
        <w:t xml:space="preserve">Under 2016 har </w:t>
      </w:r>
      <w:r w:rsidR="007C641D" w:rsidRPr="00653C2B">
        <w:rPr>
          <w:lang w:val="sv-FI"/>
        </w:rPr>
        <w:t>berörda fackministerråd formulerat och förberett olika projekt</w:t>
      </w:r>
      <w:r w:rsidRPr="00653C2B">
        <w:rPr>
          <w:lang w:val="sv-FI"/>
        </w:rPr>
        <w:t xml:space="preserve"> i anknytning till initiativet, som </w:t>
      </w:r>
      <w:r w:rsidR="007C641D" w:rsidRPr="00653C2B">
        <w:rPr>
          <w:lang w:val="sv-FI"/>
        </w:rPr>
        <w:t>sträcker sig under perioden 2017-2020. Vid sitt möte i juli 2016 godkände samarbetsministrarna förslag till projekt som fokuserar på klimat, energi, miljö, hälsa, utbildning, jä</w:t>
      </w:r>
      <w:r w:rsidR="007C641D" w:rsidRPr="00653C2B">
        <w:rPr>
          <w:lang w:val="sv-FI"/>
        </w:rPr>
        <w:t>m</w:t>
      </w:r>
      <w:r w:rsidR="007C641D" w:rsidRPr="00653C2B">
        <w:rPr>
          <w:lang w:val="sv-FI"/>
        </w:rPr>
        <w:t>likhet och infrastruktur. Fackministerråden har redan idag samarbete inom sina respektive områden. Regeringscheferna fick en första statusuppdat</w:t>
      </w:r>
      <w:r w:rsidR="007C641D" w:rsidRPr="00653C2B">
        <w:rPr>
          <w:lang w:val="sv-FI"/>
        </w:rPr>
        <w:t>e</w:t>
      </w:r>
      <w:r w:rsidR="007C641D" w:rsidRPr="00653C2B">
        <w:rPr>
          <w:lang w:val="sv-FI"/>
        </w:rPr>
        <w:t>ring vid sitt möte på Åland i september 2016 och får nästa vid sommarm</w:t>
      </w:r>
      <w:r w:rsidR="007C641D" w:rsidRPr="00653C2B">
        <w:rPr>
          <w:lang w:val="sv-FI"/>
        </w:rPr>
        <w:t>ö</w:t>
      </w:r>
      <w:r w:rsidR="007C641D" w:rsidRPr="00653C2B">
        <w:rPr>
          <w:lang w:val="sv-FI"/>
        </w:rPr>
        <w:t>tet 2017.</w:t>
      </w:r>
      <w:r w:rsidRPr="00653C2B">
        <w:rPr>
          <w:lang w:val="sv-FI"/>
        </w:rPr>
        <w:t xml:space="preserve"> </w:t>
      </w:r>
    </w:p>
    <w:p w:rsidR="007C641D" w:rsidRPr="00653C2B" w:rsidRDefault="007E2986" w:rsidP="007C641D">
      <w:pPr>
        <w:rPr>
          <w:lang w:val="sv-FI"/>
        </w:rPr>
      </w:pPr>
      <w:r w:rsidRPr="00653C2B">
        <w:rPr>
          <w:lang w:val="sv-FI"/>
        </w:rPr>
        <w:tab/>
      </w:r>
      <w:r w:rsidR="007C641D" w:rsidRPr="00653C2B">
        <w:rPr>
          <w:lang w:val="sv-FI"/>
        </w:rPr>
        <w:t>Det andra initiativet</w:t>
      </w:r>
      <w:r w:rsidR="00426339" w:rsidRPr="00653C2B">
        <w:rPr>
          <w:lang w:val="sv-FI"/>
        </w:rPr>
        <w:t xml:space="preserve">, </w:t>
      </w:r>
      <w:r w:rsidR="00426339" w:rsidRPr="00653C2B">
        <w:rPr>
          <w:i/>
          <w:lang w:val="sv-FI"/>
        </w:rPr>
        <w:t>Världens mest integrerade region</w:t>
      </w:r>
      <w:r w:rsidR="00426339" w:rsidRPr="00653C2B">
        <w:rPr>
          <w:lang w:val="sv-FI"/>
        </w:rPr>
        <w:t>, presenterades på</w:t>
      </w:r>
      <w:r w:rsidR="007C641D" w:rsidRPr="00653C2B">
        <w:rPr>
          <w:lang w:val="sv-FI"/>
        </w:rPr>
        <w:t xml:space="preserve"> sommarmötet 2016 </w:t>
      </w:r>
      <w:r w:rsidR="00426339" w:rsidRPr="00653C2B">
        <w:rPr>
          <w:lang w:val="sv-FI"/>
        </w:rPr>
        <w:t>på Åland</w:t>
      </w:r>
      <w:r w:rsidR="007C641D" w:rsidRPr="00653C2B">
        <w:rPr>
          <w:lang w:val="sv-FI"/>
        </w:rPr>
        <w:t>. Som två delar i detta arbete har initiativ tagits till ett närmare ministersamarbete om integrationsfrågor samt en analys om ett v</w:t>
      </w:r>
      <w:r w:rsidRPr="00653C2B">
        <w:rPr>
          <w:lang w:val="sv-FI"/>
        </w:rPr>
        <w:t>italiserat</w:t>
      </w:r>
      <w:r w:rsidR="007C641D" w:rsidRPr="00653C2B">
        <w:rPr>
          <w:lang w:val="sv-FI"/>
        </w:rPr>
        <w:t xml:space="preserve"> lagsamarbete mellan</w:t>
      </w:r>
      <w:r w:rsidR="000C7E5E" w:rsidRPr="00653C2B">
        <w:rPr>
          <w:lang w:val="sv-FI"/>
        </w:rPr>
        <w:t xml:space="preserve"> de fem</w:t>
      </w:r>
      <w:r w:rsidR="007C641D" w:rsidRPr="00653C2B">
        <w:rPr>
          <w:lang w:val="sv-FI"/>
        </w:rPr>
        <w:t xml:space="preserve"> länderna</w:t>
      </w:r>
      <w:r w:rsidR="000C7E5E" w:rsidRPr="00653C2B">
        <w:rPr>
          <w:lang w:val="sv-FI"/>
        </w:rPr>
        <w:t xml:space="preserve"> samt</w:t>
      </w:r>
      <w:r w:rsidR="007C641D" w:rsidRPr="00653C2B">
        <w:rPr>
          <w:lang w:val="sv-FI"/>
        </w:rPr>
        <w:t xml:space="preserve"> Färöarna, Grö</w:t>
      </w:r>
      <w:r w:rsidR="007C641D" w:rsidRPr="00653C2B">
        <w:rPr>
          <w:lang w:val="sv-FI"/>
        </w:rPr>
        <w:t>n</w:t>
      </w:r>
      <w:r w:rsidR="007C641D" w:rsidRPr="00653C2B">
        <w:rPr>
          <w:lang w:val="sv-FI"/>
        </w:rPr>
        <w:lastRenderedPageBreak/>
        <w:t xml:space="preserve">land och Åland. I initiativet ingår även gränshinderfrågor och samarbete inom digitalisering. </w:t>
      </w:r>
    </w:p>
    <w:p w:rsidR="007C641D" w:rsidRPr="00A25DB8" w:rsidRDefault="007E2986" w:rsidP="007C641D">
      <w:r w:rsidRPr="00653C2B">
        <w:rPr>
          <w:lang w:val="sv-FI"/>
        </w:rPr>
        <w:tab/>
      </w:r>
      <w:r w:rsidR="007C641D" w:rsidRPr="00653C2B">
        <w:rPr>
          <w:lang w:val="sv-FI"/>
        </w:rPr>
        <w:t>Landskapsregeringen kommer</w:t>
      </w:r>
      <w:r w:rsidR="007C641D" w:rsidRPr="00A25DB8">
        <w:rPr>
          <w:lang w:val="sv-FI"/>
        </w:rPr>
        <w:t xml:space="preserve"> </w:t>
      </w:r>
      <w:r w:rsidR="00426339" w:rsidRPr="00A25DB8">
        <w:rPr>
          <w:lang w:val="sv-FI"/>
        </w:rPr>
        <w:t xml:space="preserve">genom sina representanter i respektive ministerråd </w:t>
      </w:r>
      <w:r w:rsidR="007C641D" w:rsidRPr="00A25DB8">
        <w:rPr>
          <w:lang w:val="sv-FI"/>
        </w:rPr>
        <w:t>att delta i arbetet med initiativen och öv</w:t>
      </w:r>
      <w:r w:rsidR="00426339">
        <w:rPr>
          <w:lang w:val="sv-FI"/>
        </w:rPr>
        <w:t>riga projekt under</w:t>
      </w:r>
      <w:r w:rsidR="007C641D" w:rsidRPr="00A25DB8">
        <w:rPr>
          <w:lang w:val="sv-FI"/>
        </w:rPr>
        <w:t xml:space="preserve"> det norska ordförandeskapet. </w:t>
      </w:r>
      <w:r w:rsidR="00426339">
        <w:rPr>
          <w:lang w:val="sv-FI"/>
        </w:rPr>
        <w:t xml:space="preserve"> </w:t>
      </w:r>
    </w:p>
    <w:p w:rsidR="00B46389" w:rsidRPr="002B507B" w:rsidRDefault="00B46389" w:rsidP="00B46389">
      <w:pPr>
        <w:pStyle w:val="Rubrik2"/>
        <w:numPr>
          <w:ilvl w:val="1"/>
          <w:numId w:val="4"/>
        </w:numPr>
      </w:pPr>
      <w:bookmarkStart w:id="21" w:name="_Toc477423966"/>
      <w:r w:rsidRPr="002B507B">
        <w:t>2.3 Övergripande prioriteringar</w:t>
      </w:r>
      <w:bookmarkEnd w:id="18"/>
      <w:bookmarkEnd w:id="19"/>
      <w:bookmarkEnd w:id="20"/>
      <w:bookmarkEnd w:id="21"/>
    </w:p>
    <w:p w:rsidR="00B46389" w:rsidRPr="00241F22" w:rsidRDefault="00B46389" w:rsidP="00B46389">
      <w:pPr>
        <w:pStyle w:val="Rubrik3"/>
        <w:numPr>
          <w:ilvl w:val="2"/>
          <w:numId w:val="4"/>
        </w:numPr>
      </w:pPr>
      <w:bookmarkStart w:id="22" w:name="_Toc410897637"/>
      <w:bookmarkStart w:id="23" w:name="_Toc412452885"/>
      <w:bookmarkStart w:id="24" w:name="_Toc442442823"/>
      <w:bookmarkStart w:id="25" w:name="_Toc477423967"/>
      <w:r w:rsidRPr="00241F22">
        <w:t>2.3.1 Språket</w:t>
      </w:r>
      <w:bookmarkEnd w:id="22"/>
      <w:bookmarkEnd w:id="23"/>
      <w:bookmarkEnd w:id="24"/>
      <w:bookmarkEnd w:id="25"/>
    </w:p>
    <w:p w:rsidR="00241F22" w:rsidRPr="00241F22" w:rsidRDefault="00241F22" w:rsidP="007E2986">
      <w:bookmarkStart w:id="26" w:name="_Toc410897639"/>
      <w:bookmarkStart w:id="27" w:name="_Toc412452886"/>
      <w:bookmarkStart w:id="28" w:name="_Toc442442824"/>
      <w:r w:rsidRPr="00241F22">
        <w:t xml:space="preserve">Inom ramen för Expertgruppen Nordens språkråd (ENS) har representanter från </w:t>
      </w:r>
      <w:r w:rsidR="000C7E5E">
        <w:t>landskaps</w:t>
      </w:r>
      <w:r w:rsidRPr="00241F22">
        <w:t>regeringens utbildnings- och kulturavdelning tillsammans med representanter från de övriga nordiska länderna och områdena</w:t>
      </w:r>
      <w:r w:rsidR="000C7E5E">
        <w:t xml:space="preserve"> kont</w:t>
      </w:r>
      <w:r w:rsidR="000C7E5E">
        <w:t>i</w:t>
      </w:r>
      <w:r w:rsidR="000C7E5E">
        <w:t>nuerligt</w:t>
      </w:r>
      <w:r w:rsidRPr="00241F22">
        <w:t xml:space="preserve"> kvalitetssäkrat arbetet med den nordiska språkdeklarationen och språkkonventionen. Ett fortsatt fokus är att stärka barn och ungdomars språkförståelse av danska, norska och svenska. I grannspråksundervisnin</w:t>
      </w:r>
      <w:r w:rsidRPr="00241F22">
        <w:t>g</w:t>
      </w:r>
      <w:r w:rsidRPr="00241F22">
        <w:t xml:space="preserve">en läggs särskild vikt vid hörförståelse.  </w:t>
      </w:r>
    </w:p>
    <w:p w:rsidR="00B46389" w:rsidRPr="00E74CB6" w:rsidRDefault="00B46389" w:rsidP="00B46389">
      <w:pPr>
        <w:pStyle w:val="Rubrik3"/>
        <w:numPr>
          <w:ilvl w:val="2"/>
          <w:numId w:val="4"/>
        </w:numPr>
      </w:pPr>
      <w:bookmarkStart w:id="29" w:name="_Toc477423968"/>
      <w:r w:rsidRPr="00E74CB6">
        <w:t>2.3.2 Ålands, Färöarnas och Grönlands ställning i det nordiska samarbetet</w:t>
      </w:r>
      <w:bookmarkEnd w:id="26"/>
      <w:bookmarkEnd w:id="27"/>
      <w:bookmarkEnd w:id="28"/>
      <w:bookmarkEnd w:id="29"/>
    </w:p>
    <w:p w:rsidR="00616334" w:rsidRPr="007C1233" w:rsidRDefault="00616334" w:rsidP="00616334">
      <w:bookmarkStart w:id="30" w:name="_Toc410897640"/>
      <w:bookmarkStart w:id="31" w:name="_Toc412452887"/>
      <w:bookmarkStart w:id="32" w:name="_Toc442442825"/>
      <w:r w:rsidRPr="00E74CB6">
        <w:t xml:space="preserve">I anslutning till Nordiska rådets session i oktober 2016 lade Färöarna fram </w:t>
      </w:r>
      <w:r w:rsidR="000C7E5E">
        <w:t>e</w:t>
      </w:r>
      <w:r w:rsidRPr="00E74CB6">
        <w:t>n ansökan om fullvärdigt medlemskap i Nordiska rådet och Nordiska m</w:t>
      </w:r>
      <w:r w:rsidRPr="00E74CB6">
        <w:t>i</w:t>
      </w:r>
      <w:r w:rsidRPr="00E74CB6">
        <w:t>nisterrådet. Ansökan fick avslag av samarbetsministrarna där endast Grö</w:t>
      </w:r>
      <w:r w:rsidRPr="00E74CB6">
        <w:t>n</w:t>
      </w:r>
      <w:r w:rsidRPr="00E74CB6">
        <w:t>land och Åland gav sitt stöd. Senare avslogs ansökan även av Nordiska r</w:t>
      </w:r>
      <w:r w:rsidRPr="00E74CB6">
        <w:t>å</w:t>
      </w:r>
      <w:r w:rsidRPr="00E74CB6">
        <w:t xml:space="preserve">det. Färöarna och Danmark fick dock i uppdrag av samarbetsministrarna att utforma ett förslag </w:t>
      </w:r>
      <w:r w:rsidR="000C7E5E">
        <w:t xml:space="preserve">om </w:t>
      </w:r>
      <w:r w:rsidRPr="00E74CB6">
        <w:t>hur man kan stärka Färöarnas deltagande i det no</w:t>
      </w:r>
      <w:r w:rsidRPr="00E74CB6">
        <w:t>r</w:t>
      </w:r>
      <w:r w:rsidRPr="00E74CB6">
        <w:t>diska samarbetet inom ramen för Helsingforsavtalet. Förslaget kommer läggas fram för samarbetsministrarna under våren 2017. Landskapsreg</w:t>
      </w:r>
      <w:r w:rsidRPr="00E74CB6">
        <w:t>e</w:t>
      </w:r>
      <w:r w:rsidRPr="00E74CB6">
        <w:t>ringen som stöttade Färöarnas ansökan har inga egna ambitioner att i nul</w:t>
      </w:r>
      <w:r w:rsidRPr="00E74CB6">
        <w:t>ä</w:t>
      </w:r>
      <w:r w:rsidRPr="00E74CB6">
        <w:t>get lägga fram en liknande ansökan</w:t>
      </w:r>
      <w:r w:rsidR="00653C2B">
        <w:t xml:space="preserve">, </w:t>
      </w:r>
      <w:r w:rsidR="00653C2B" w:rsidRPr="007C1233">
        <w:t>se närmare kapitel 2.2.6 i bilagan till detta meddelande</w:t>
      </w:r>
      <w:r w:rsidRPr="007C1233">
        <w:t xml:space="preserve">. Landskapsregeringen kommer slå vakt om att eventuella förbättringar för Färöarna även ska omfatta Åland. </w:t>
      </w:r>
    </w:p>
    <w:p w:rsidR="00616334" w:rsidRPr="00E74CB6" w:rsidRDefault="00616334" w:rsidP="00616334">
      <w:pPr>
        <w:ind w:firstLine="284"/>
      </w:pPr>
      <w:r w:rsidRPr="00E74CB6">
        <w:t>I Nordiska ministerrådets moderniseringsarbete som leds av generalse</w:t>
      </w:r>
      <w:r w:rsidRPr="00E74CB6">
        <w:t>k</w:t>
      </w:r>
      <w:r w:rsidRPr="00E74CB6">
        <w:t xml:space="preserve">reteraren pågår fas två där </w:t>
      </w:r>
      <w:r w:rsidRPr="00613508">
        <w:t xml:space="preserve">Färöarna, Grönland och Åland fortsättningsvis driver frågor av gemensamt intresse. </w:t>
      </w:r>
      <w:r w:rsidR="00613508" w:rsidRPr="00613508">
        <w:t>I början av maj 2017 möts sama</w:t>
      </w:r>
      <w:r w:rsidR="00613508" w:rsidRPr="00613508">
        <w:t>r</w:t>
      </w:r>
      <w:r w:rsidR="00613508" w:rsidRPr="00613508">
        <w:t>betsministrarna från Färöarna, Grönland och Åland på Färöarna för att di</w:t>
      </w:r>
      <w:r w:rsidR="00613508" w:rsidRPr="00613508">
        <w:t>s</w:t>
      </w:r>
      <w:r w:rsidR="00613508" w:rsidRPr="00613508">
        <w:t xml:space="preserve">kutera gemensamma frågor. </w:t>
      </w:r>
      <w:r w:rsidRPr="00613508">
        <w:t xml:space="preserve">Bland </w:t>
      </w:r>
      <w:r w:rsidR="000C7E5E" w:rsidRPr="00613508">
        <w:t>dessa frågor kan nämnas</w:t>
      </w:r>
      <w:r w:rsidRPr="00613508">
        <w:t xml:space="preserve"> deltagande i arbetsgrupper </w:t>
      </w:r>
      <w:r w:rsidR="00653C2B" w:rsidRPr="00613508">
        <w:t>samt deltagande i</w:t>
      </w:r>
      <w:r w:rsidRPr="00613508">
        <w:t xml:space="preserve"> institutionernas styrelse</w:t>
      </w:r>
      <w:r w:rsidR="00653C2B" w:rsidRPr="00613508">
        <w:t>r</w:t>
      </w:r>
      <w:r w:rsidRPr="00613508">
        <w:t xml:space="preserve"> utifrån lagstif</w:t>
      </w:r>
      <w:r w:rsidRPr="00613508">
        <w:t>t</w:t>
      </w:r>
      <w:r w:rsidRPr="00613508">
        <w:t>ningskompetens, sam</w:t>
      </w:r>
      <w:r w:rsidR="00E74CB6" w:rsidRPr="00613508">
        <w:t>hällsnytta</w:t>
      </w:r>
      <w:r w:rsidR="00E74CB6" w:rsidRPr="00E74CB6">
        <w:t xml:space="preserve"> och resurser.</w:t>
      </w:r>
      <w:r w:rsidRPr="00E74CB6">
        <w:t xml:space="preserve"> Landskapsregeringen har också föreslagit </w:t>
      </w:r>
      <w:r w:rsidR="000C7E5E">
        <w:t xml:space="preserve">för </w:t>
      </w:r>
      <w:r w:rsidRPr="00E74CB6">
        <w:t>Nordiska rådets president att</w:t>
      </w:r>
      <w:r w:rsidR="005F55A4">
        <w:t xml:space="preserve"> Nordiska rådet under året ska</w:t>
      </w:r>
      <w:r w:rsidRPr="00E74CB6">
        <w:t xml:space="preserve"> arbeta för en översyn av Helsingforsavtalet.  </w:t>
      </w:r>
    </w:p>
    <w:p w:rsidR="00B46389" w:rsidRPr="00752345" w:rsidRDefault="00B46389" w:rsidP="00B46389">
      <w:pPr>
        <w:pStyle w:val="Rubrik3"/>
        <w:numPr>
          <w:ilvl w:val="2"/>
          <w:numId w:val="4"/>
        </w:numPr>
      </w:pPr>
      <w:bookmarkStart w:id="33" w:name="_Toc477423969"/>
      <w:r w:rsidRPr="00752345">
        <w:t>2.3.3 Gränshinderarbetet</w:t>
      </w:r>
      <w:bookmarkEnd w:id="30"/>
      <w:bookmarkEnd w:id="31"/>
      <w:bookmarkEnd w:id="32"/>
      <w:bookmarkEnd w:id="33"/>
    </w:p>
    <w:p w:rsidR="00984C5A" w:rsidRPr="00752345" w:rsidRDefault="00984C5A" w:rsidP="00984C5A">
      <w:bookmarkStart w:id="34" w:name="_Toc410897641"/>
      <w:bookmarkStart w:id="35" w:name="_Toc412452888"/>
      <w:bookmarkStart w:id="36" w:name="_Toc442442826"/>
      <w:r w:rsidRPr="00752345">
        <w:t>Gränshinderrådet består av medlemmar från alla åtta ministerrådsmedle</w:t>
      </w:r>
      <w:r w:rsidRPr="00752345">
        <w:t>m</w:t>
      </w:r>
      <w:r w:rsidRPr="00752345">
        <w:t>mar – landskapsregeringen deltar således i arbetet på samma villkor som de fem nordiska länderna. Flera av de åländska hindren är gemensamma med de övriga nordiska länderna, varför hinder av åländskt intresse kan vara a</w:t>
      </w:r>
      <w:r w:rsidRPr="00752345">
        <w:t>n</w:t>
      </w:r>
      <w:r w:rsidRPr="00752345">
        <w:t>givna som prioriterade av andra länder i Nordiska ministerrådets gränshi</w:t>
      </w:r>
      <w:r w:rsidRPr="00752345">
        <w:t>n</w:t>
      </w:r>
      <w:r w:rsidRPr="00752345">
        <w:t>derdatabas; detta gäller bland annat inom områden som yrkes- och e</w:t>
      </w:r>
      <w:r w:rsidRPr="00752345">
        <w:t>x</w:t>
      </w:r>
      <w:r w:rsidR="000252E5">
        <w:t xml:space="preserve">amensgiltighet </w:t>
      </w:r>
      <w:r w:rsidRPr="00752345">
        <w:t xml:space="preserve">samt socialförsäkringar. </w:t>
      </w:r>
    </w:p>
    <w:p w:rsidR="00984C5A" w:rsidRPr="007C1233" w:rsidRDefault="00984C5A" w:rsidP="00984C5A">
      <w:pPr>
        <w:ind w:firstLine="284"/>
      </w:pPr>
      <w:r w:rsidRPr="00752345">
        <w:lastRenderedPageBreak/>
        <w:t xml:space="preserve">Under 2016 listades 12 gränshinder som avklarade varav </w:t>
      </w:r>
      <w:r w:rsidR="00673047">
        <w:t>sju</w:t>
      </w:r>
      <w:r w:rsidRPr="00752345">
        <w:t xml:space="preserve"> med fra</w:t>
      </w:r>
      <w:r w:rsidRPr="00752345">
        <w:t>m</w:t>
      </w:r>
      <w:r w:rsidRPr="00752345">
        <w:t>gång.</w:t>
      </w:r>
      <w:r w:rsidR="00613508">
        <w:rPr>
          <w:rStyle w:val="Fotnotsreferens"/>
        </w:rPr>
        <w:footnoteReference w:id="1"/>
      </w:r>
      <w:r w:rsidRPr="00752345">
        <w:t xml:space="preserve"> Antalet </w:t>
      </w:r>
      <w:r w:rsidR="00673047">
        <w:t xml:space="preserve">avklarade hinder </w:t>
      </w:r>
      <w:r w:rsidRPr="00752345">
        <w:t xml:space="preserve">är samma som 2015. </w:t>
      </w:r>
      <w:r w:rsidR="00673047">
        <w:t>Se närma</w:t>
      </w:r>
      <w:r w:rsidR="00673047" w:rsidRPr="007C1233">
        <w:t>re kapitel 2.2.2 i bilagan till detta meddelande.</w:t>
      </w:r>
    </w:p>
    <w:p w:rsidR="00984C5A" w:rsidRPr="00752345" w:rsidRDefault="00274266" w:rsidP="00984C5A">
      <w:pPr>
        <w:ind w:firstLine="284"/>
      </w:pPr>
      <w:r w:rsidRPr="007C1233">
        <w:t xml:space="preserve">En viktig del av gränshinderarbetet är att säkerställa att nya </w:t>
      </w:r>
      <w:r w:rsidRPr="00752345">
        <w:t>EU-direktiv får e</w:t>
      </w:r>
      <w:r>
        <w:t>tt</w:t>
      </w:r>
      <w:r w:rsidRPr="00752345">
        <w:t xml:space="preserve"> så likarta</w:t>
      </w:r>
      <w:r>
        <w:t>t</w:t>
      </w:r>
      <w:r w:rsidRPr="00752345">
        <w:t xml:space="preserve"> </w:t>
      </w:r>
      <w:r>
        <w:t>genomförande</w:t>
      </w:r>
      <w:r w:rsidRPr="00752345">
        <w:t xml:space="preserve"> som möjligt i alla länder. </w:t>
      </w:r>
      <w:r w:rsidR="00984C5A" w:rsidRPr="00752345">
        <w:t>Un</w:t>
      </w:r>
      <w:r w:rsidR="00752345">
        <w:t>der 2017 kommer fokus att ligga</w:t>
      </w:r>
      <w:r w:rsidR="00984C5A" w:rsidRPr="00752345">
        <w:t xml:space="preserve"> på hinder inom näringslivet. Nordiska ministerr</w:t>
      </w:r>
      <w:r w:rsidR="00984C5A" w:rsidRPr="00752345">
        <w:t>å</w:t>
      </w:r>
      <w:r w:rsidR="00984C5A" w:rsidRPr="00752345">
        <w:t>dets sekretariat kommer besöka samtliga medlemmar för att hålla dialo</w:t>
      </w:r>
      <w:r w:rsidR="00984C5A" w:rsidRPr="00752345">
        <w:t>g</w:t>
      </w:r>
      <w:r w:rsidR="00984C5A" w:rsidRPr="00752345">
        <w:t>möten och informationstillfällen om gränshinderarbetet.</w:t>
      </w:r>
    </w:p>
    <w:p w:rsidR="00984C5A" w:rsidRPr="00673047" w:rsidRDefault="00984C5A" w:rsidP="00984C5A">
      <w:pPr>
        <w:ind w:firstLine="284"/>
        <w:rPr>
          <w:lang w:val="sv-FI"/>
        </w:rPr>
      </w:pPr>
      <w:r w:rsidRPr="00752345">
        <w:t xml:space="preserve">Gränshinderrådets mandat sträcker sig till och med 2017. Under </w:t>
      </w:r>
      <w:r w:rsidR="007D3080">
        <w:t>hösten</w:t>
      </w:r>
      <w:r w:rsidRPr="00752345">
        <w:t xml:space="preserve"> 2017 kommer </w:t>
      </w:r>
      <w:r w:rsidR="007D3080">
        <w:t>en extern utredare att</w:t>
      </w:r>
      <w:r w:rsidRPr="00673047">
        <w:t xml:space="preserve"> lägga fram ett förslag </w:t>
      </w:r>
      <w:r w:rsidR="007D3080">
        <w:t xml:space="preserve">om </w:t>
      </w:r>
      <w:r w:rsidRPr="00673047">
        <w:t xml:space="preserve">hur arbetet ska organiseras från och med 2018. </w:t>
      </w:r>
      <w:r w:rsidRPr="00673047">
        <w:rPr>
          <w:lang w:val="sv-FI"/>
        </w:rPr>
        <w:t>Landskapsregeringen kommer verka för att åländska hinder som ligger inom Gränshinderrådets mandat förs upp på agendan.</w:t>
      </w:r>
    </w:p>
    <w:p w:rsidR="00B46389" w:rsidRPr="00673047" w:rsidRDefault="00B46389" w:rsidP="00B46389">
      <w:pPr>
        <w:pStyle w:val="Rubrik3"/>
        <w:numPr>
          <w:ilvl w:val="2"/>
          <w:numId w:val="4"/>
        </w:numPr>
      </w:pPr>
      <w:bookmarkStart w:id="37" w:name="_Toc477423970"/>
      <w:r w:rsidRPr="00673047">
        <w:t>2.3.4 Näringsliv och arbetsmarknad</w:t>
      </w:r>
      <w:bookmarkEnd w:id="34"/>
      <w:bookmarkEnd w:id="35"/>
      <w:bookmarkEnd w:id="36"/>
      <w:bookmarkEnd w:id="37"/>
    </w:p>
    <w:p w:rsidR="0079403C" w:rsidRDefault="0079403C" w:rsidP="0079403C">
      <w:pPr>
        <w:rPr>
          <w:bCs/>
        </w:rPr>
      </w:pPr>
      <w:bookmarkStart w:id="38" w:name="_Toc410897642"/>
      <w:bookmarkStart w:id="39" w:name="_Toc412452889"/>
      <w:bookmarkStart w:id="40" w:name="_Toc442442827"/>
      <w:r w:rsidRPr="00673047">
        <w:rPr>
          <w:bCs/>
        </w:rPr>
        <w:t xml:space="preserve">De nordiska ministrarna med ansvar för regionalpolitik arbetar </w:t>
      </w:r>
      <w:r w:rsidR="00274266" w:rsidRPr="00673047">
        <w:rPr>
          <w:bCs/>
        </w:rPr>
        <w:t>utgående från</w:t>
      </w:r>
      <w:r w:rsidRPr="00673047">
        <w:rPr>
          <w:bCs/>
        </w:rPr>
        <w:t xml:space="preserve"> det nordiska samarbetsprogrammet för regionalpolitik 2017-2020 och har som utgångspunkt att möta de regionalpolitiska utmaningar som No</w:t>
      </w:r>
      <w:r w:rsidRPr="00673047">
        <w:rPr>
          <w:bCs/>
        </w:rPr>
        <w:t>r</w:t>
      </w:r>
      <w:r w:rsidRPr="00673047">
        <w:rPr>
          <w:bCs/>
        </w:rPr>
        <w:t>den står inför idag och i framtiden</w:t>
      </w:r>
      <w:r w:rsidRPr="007325B0">
        <w:rPr>
          <w:bCs/>
        </w:rPr>
        <w:t xml:space="preserve">. </w:t>
      </w:r>
      <w:r w:rsidRPr="00BE42DC">
        <w:rPr>
          <w:bCs/>
        </w:rPr>
        <w:t xml:space="preserve">Samarbetsprogrammet </w:t>
      </w:r>
      <w:r w:rsidR="00BE42DC" w:rsidRPr="00BE42DC">
        <w:rPr>
          <w:bCs/>
        </w:rPr>
        <w:t xml:space="preserve">utgår från </w:t>
      </w:r>
      <w:r w:rsidRPr="00BE42DC">
        <w:rPr>
          <w:bCs/>
        </w:rPr>
        <w:t>pri</w:t>
      </w:r>
      <w:r w:rsidRPr="00BE42DC">
        <w:rPr>
          <w:bCs/>
        </w:rPr>
        <w:t>n</w:t>
      </w:r>
      <w:r w:rsidRPr="00BE42DC">
        <w:rPr>
          <w:bCs/>
        </w:rPr>
        <w:t>ciperna</w:t>
      </w:r>
      <w:r w:rsidRPr="007325B0">
        <w:rPr>
          <w:bCs/>
        </w:rPr>
        <w:t xml:space="preserve"> om hållbar utveckling, jämställdhet samt barn och ungas perspektiv och rättigheter. Valet av insatsområden, som baseras på en bred konsultativ process </w:t>
      </w:r>
      <w:r w:rsidRPr="00274266">
        <w:rPr>
          <w:bCs/>
        </w:rPr>
        <w:t xml:space="preserve">är: </w:t>
      </w:r>
      <w:r w:rsidRPr="00274266">
        <w:rPr>
          <w:bCs/>
          <w:i/>
        </w:rPr>
        <w:t>Hållbar landsbygdsutveckling</w:t>
      </w:r>
      <w:r w:rsidRPr="007325B0">
        <w:rPr>
          <w:bCs/>
        </w:rPr>
        <w:t xml:space="preserve">, </w:t>
      </w:r>
      <w:r w:rsidRPr="00274266">
        <w:rPr>
          <w:bCs/>
          <w:i/>
        </w:rPr>
        <w:t>Innovativa och resilienta regio</w:t>
      </w:r>
      <w:r w:rsidRPr="00274266">
        <w:rPr>
          <w:bCs/>
          <w:i/>
        </w:rPr>
        <w:t>n</w:t>
      </w:r>
      <w:r w:rsidRPr="00274266">
        <w:rPr>
          <w:bCs/>
          <w:i/>
        </w:rPr>
        <w:t>er</w:t>
      </w:r>
      <w:r w:rsidRPr="007325B0">
        <w:rPr>
          <w:bCs/>
        </w:rPr>
        <w:t xml:space="preserve"> och </w:t>
      </w:r>
      <w:r w:rsidRPr="00274266">
        <w:rPr>
          <w:bCs/>
          <w:i/>
        </w:rPr>
        <w:t>Hållbara städer och stadsutveckling</w:t>
      </w:r>
      <w:r w:rsidRPr="007325B0">
        <w:rPr>
          <w:bCs/>
        </w:rPr>
        <w:t>.</w:t>
      </w:r>
      <w:r>
        <w:rPr>
          <w:bCs/>
        </w:rPr>
        <w:t xml:space="preserve"> Arbetet bedrivs i temagrupper som alla delvis har relevans för Åland</w:t>
      </w:r>
      <w:r w:rsidR="00274266">
        <w:rPr>
          <w:bCs/>
        </w:rPr>
        <w:t xml:space="preserve">, varför samtliga temagrupper </w:t>
      </w:r>
      <w:r>
        <w:rPr>
          <w:bCs/>
        </w:rPr>
        <w:t>har åländska medlemmar. Under året har nya riktlinjer för den framtida no</w:t>
      </w:r>
      <w:r>
        <w:rPr>
          <w:bCs/>
        </w:rPr>
        <w:t>r</w:t>
      </w:r>
      <w:r>
        <w:rPr>
          <w:bCs/>
        </w:rPr>
        <w:t xml:space="preserve">diska finansieringen av gränskommittéerna framtagits och finansieringen </w:t>
      </w:r>
      <w:r w:rsidR="00274266">
        <w:rPr>
          <w:bCs/>
        </w:rPr>
        <w:t>av</w:t>
      </w:r>
      <w:r>
        <w:rPr>
          <w:bCs/>
        </w:rPr>
        <w:t xml:space="preserve"> bl.a. det Nordiska Skärgårdssamarbetet fortsätter.</w:t>
      </w:r>
    </w:p>
    <w:p w:rsidR="0079403C" w:rsidRPr="0059067B" w:rsidRDefault="007E2986" w:rsidP="0079403C">
      <w:pPr>
        <w:rPr>
          <w:bCs/>
        </w:rPr>
      </w:pPr>
      <w:r>
        <w:rPr>
          <w:bCs/>
        </w:rPr>
        <w:tab/>
      </w:r>
      <w:r w:rsidR="0079403C" w:rsidRPr="009E40AE">
        <w:rPr>
          <w:bCs/>
        </w:rPr>
        <w:t>Samarbetsprogrammet för innovations- och näringspolitik 2014-2017</w:t>
      </w:r>
      <w:r w:rsidR="0079403C">
        <w:rPr>
          <w:bCs/>
        </w:rPr>
        <w:t xml:space="preserve"> som</w:t>
      </w:r>
      <w:r w:rsidR="0079403C" w:rsidRPr="009E40AE">
        <w:rPr>
          <w:bCs/>
        </w:rPr>
        <w:t xml:space="preserve"> </w:t>
      </w:r>
      <w:r w:rsidR="0079403C">
        <w:rPr>
          <w:bCs/>
        </w:rPr>
        <w:t>är inne på det avslutande året innehå</w:t>
      </w:r>
      <w:r w:rsidR="0079403C" w:rsidRPr="009E40AE">
        <w:rPr>
          <w:bCs/>
        </w:rPr>
        <w:t xml:space="preserve">ller följande fyra delar: </w:t>
      </w:r>
      <w:r w:rsidR="0079403C" w:rsidRPr="00274266">
        <w:rPr>
          <w:bCs/>
          <w:i/>
        </w:rPr>
        <w:t>Ett förs</w:t>
      </w:r>
      <w:r w:rsidR="0079403C" w:rsidRPr="00274266">
        <w:rPr>
          <w:bCs/>
          <w:i/>
        </w:rPr>
        <w:t>t</w:t>
      </w:r>
      <w:r w:rsidR="0079403C" w:rsidRPr="00274266">
        <w:rPr>
          <w:bCs/>
          <w:i/>
        </w:rPr>
        <w:t>klassigt entreprenöriellt ekosystem</w:t>
      </w:r>
      <w:r w:rsidR="0079403C" w:rsidRPr="009E40AE">
        <w:rPr>
          <w:bCs/>
        </w:rPr>
        <w:t xml:space="preserve">, </w:t>
      </w:r>
      <w:r w:rsidR="0079403C" w:rsidRPr="00274266">
        <w:rPr>
          <w:bCs/>
          <w:i/>
        </w:rPr>
        <w:t>Grön Tillväxt</w:t>
      </w:r>
      <w:r w:rsidR="0079403C" w:rsidRPr="009E40AE">
        <w:rPr>
          <w:bCs/>
        </w:rPr>
        <w:t xml:space="preserve">, </w:t>
      </w:r>
      <w:r w:rsidR="0079403C" w:rsidRPr="00274266">
        <w:rPr>
          <w:bCs/>
          <w:i/>
        </w:rPr>
        <w:t>Nya välfärdslösningar</w:t>
      </w:r>
      <w:r w:rsidR="0079403C" w:rsidRPr="009E40AE">
        <w:rPr>
          <w:bCs/>
        </w:rPr>
        <w:t xml:space="preserve"> och </w:t>
      </w:r>
      <w:r w:rsidR="0079403C" w:rsidRPr="00274266">
        <w:rPr>
          <w:bCs/>
          <w:i/>
        </w:rPr>
        <w:t>Kulturella och kreativa näringar</w:t>
      </w:r>
      <w:r w:rsidR="0079403C" w:rsidRPr="009E40AE">
        <w:rPr>
          <w:bCs/>
        </w:rPr>
        <w:t>.</w:t>
      </w:r>
      <w:r w:rsidR="0079403C">
        <w:rPr>
          <w:bCs/>
        </w:rPr>
        <w:t xml:space="preserve"> </w:t>
      </w:r>
      <w:r w:rsidR="00673047">
        <w:rPr>
          <w:bCs/>
        </w:rPr>
        <w:t>S</w:t>
      </w:r>
      <w:r w:rsidR="00673047" w:rsidRPr="0059067B">
        <w:rPr>
          <w:bCs/>
        </w:rPr>
        <w:t>amarbete kring turism ger ett no</w:t>
      </w:r>
      <w:r w:rsidR="00673047" w:rsidRPr="0059067B">
        <w:rPr>
          <w:bCs/>
        </w:rPr>
        <w:t>r</w:t>
      </w:r>
      <w:r w:rsidR="00673047" w:rsidRPr="0059067B">
        <w:rPr>
          <w:bCs/>
        </w:rPr>
        <w:t>diskt mervärde</w:t>
      </w:r>
      <w:r w:rsidR="00673047">
        <w:rPr>
          <w:bCs/>
        </w:rPr>
        <w:t>, och n</w:t>
      </w:r>
      <w:r w:rsidR="0079403C">
        <w:rPr>
          <w:bCs/>
        </w:rPr>
        <w:t>äringslivssektorn har under året fått ett större ansvar för de turistiska frågorna</w:t>
      </w:r>
      <w:r w:rsidR="0079403C" w:rsidRPr="0059067B">
        <w:rPr>
          <w:bCs/>
        </w:rPr>
        <w:t xml:space="preserve">. </w:t>
      </w:r>
      <w:r w:rsidR="0079403C">
        <w:rPr>
          <w:bCs/>
        </w:rPr>
        <w:t>Från</w:t>
      </w:r>
      <w:r w:rsidR="00673047">
        <w:rPr>
          <w:bCs/>
        </w:rPr>
        <w:t xml:space="preserve"> landskapsregeringens s</w:t>
      </w:r>
      <w:r w:rsidR="0079403C">
        <w:rPr>
          <w:bCs/>
        </w:rPr>
        <w:t>ida har det framhå</w:t>
      </w:r>
      <w:r w:rsidR="0079403C">
        <w:rPr>
          <w:bCs/>
        </w:rPr>
        <w:t>l</w:t>
      </w:r>
      <w:r w:rsidR="0079403C">
        <w:rPr>
          <w:bCs/>
        </w:rPr>
        <w:t>lits att d</w:t>
      </w:r>
      <w:r w:rsidR="0079403C" w:rsidRPr="0059067B">
        <w:rPr>
          <w:bCs/>
        </w:rPr>
        <w:t>et nordiska varumärket ska präglas av kvalitet, modernitet och hö</w:t>
      </w:r>
      <w:r w:rsidR="0079403C" w:rsidRPr="0059067B">
        <w:rPr>
          <w:bCs/>
        </w:rPr>
        <w:t>g</w:t>
      </w:r>
      <w:r w:rsidR="0079403C" w:rsidRPr="0059067B">
        <w:rPr>
          <w:bCs/>
        </w:rPr>
        <w:t>teknologisk standard.</w:t>
      </w:r>
      <w:r w:rsidR="0079403C">
        <w:rPr>
          <w:bCs/>
        </w:rPr>
        <w:t xml:space="preserve"> Inför det kommande samarbetsprogrammet har beslut fattats att beakta FN:s hållbarhetsagenda 2030. Landskapsregeringen verkar på flera plan för att hållbarhetsarbetet ska genomsyra verksamheterna. </w:t>
      </w:r>
      <w:r w:rsidR="00274266">
        <w:rPr>
          <w:bCs/>
        </w:rPr>
        <w:t xml:space="preserve">Enighet har nåtts gällande ett namnbyte </w:t>
      </w:r>
      <w:r w:rsidR="0079403C" w:rsidRPr="001978BF">
        <w:rPr>
          <w:bCs/>
        </w:rPr>
        <w:t>till ministerrådet för hållbar til</w:t>
      </w:r>
      <w:r w:rsidR="0079403C" w:rsidRPr="001978BF">
        <w:rPr>
          <w:bCs/>
        </w:rPr>
        <w:t>l</w:t>
      </w:r>
      <w:r w:rsidR="0079403C" w:rsidRPr="001978BF">
        <w:rPr>
          <w:bCs/>
        </w:rPr>
        <w:t>växt.</w:t>
      </w:r>
    </w:p>
    <w:p w:rsidR="00B46389" w:rsidRPr="00571ACB" w:rsidRDefault="00B46389" w:rsidP="00B46389">
      <w:pPr>
        <w:pStyle w:val="Rubrik3"/>
        <w:numPr>
          <w:ilvl w:val="2"/>
          <w:numId w:val="4"/>
        </w:numPr>
      </w:pPr>
      <w:bookmarkStart w:id="41" w:name="_Toc477423971"/>
      <w:r w:rsidRPr="00571ACB">
        <w:t>2.3.5 Ny Nordisk Mat</w:t>
      </w:r>
      <w:bookmarkEnd w:id="38"/>
      <w:bookmarkEnd w:id="39"/>
      <w:bookmarkEnd w:id="40"/>
      <w:bookmarkEnd w:id="41"/>
    </w:p>
    <w:p w:rsidR="003D0F7E" w:rsidRPr="00571ACB" w:rsidRDefault="003D0F7E" w:rsidP="003D0F7E">
      <w:pPr>
        <w:rPr>
          <w:szCs w:val="22"/>
          <w:lang w:val="sv-FI" w:eastAsia="sv-FI"/>
        </w:rPr>
      </w:pPr>
      <w:bookmarkStart w:id="42" w:name="_Toc410897643"/>
      <w:bookmarkStart w:id="43" w:name="_Toc412452890"/>
      <w:bookmarkStart w:id="44" w:name="_Toc442442828"/>
      <w:r w:rsidRPr="00571ACB">
        <w:rPr>
          <w:szCs w:val="22"/>
          <w:lang w:eastAsia="sv-FI"/>
        </w:rPr>
        <w:t>Nordiska ministerrådets program Ny Nordisk Mat (NNM) har från 2015 fortsatt med en ny struktur. Ordförandeskapet i Ny Nordisk Mat följer or</w:t>
      </w:r>
      <w:r w:rsidRPr="00571ACB">
        <w:rPr>
          <w:szCs w:val="22"/>
          <w:lang w:eastAsia="sv-FI"/>
        </w:rPr>
        <w:t>d</w:t>
      </w:r>
      <w:r w:rsidRPr="00571ACB">
        <w:rPr>
          <w:szCs w:val="22"/>
          <w:lang w:eastAsia="sv-FI"/>
        </w:rPr>
        <w:t>förandeskapet i Nordiska Ministerrådet. Styrgruppen har prioriterat tre o</w:t>
      </w:r>
      <w:r w:rsidRPr="00571ACB">
        <w:rPr>
          <w:szCs w:val="22"/>
          <w:lang w:eastAsia="sv-FI"/>
        </w:rPr>
        <w:t>m</w:t>
      </w:r>
      <w:r w:rsidRPr="00571ACB">
        <w:rPr>
          <w:szCs w:val="22"/>
          <w:lang w:eastAsia="sv-FI"/>
        </w:rPr>
        <w:t>råden; Offentlig mat, Nordisk mattävling och Mat och turism. Visionen är att det nordiska köket ska skapa och inspirera till matglädje, innovation, smak och mångfald, samt nå ut såväl nationellt som internationellt. NNM bygger på det Nordiska Köksmanifestet med värdeord som rent, friskt, e</w:t>
      </w:r>
      <w:r w:rsidRPr="00571ACB">
        <w:rPr>
          <w:szCs w:val="22"/>
          <w:lang w:eastAsia="sv-FI"/>
        </w:rPr>
        <w:t>n</w:t>
      </w:r>
      <w:r w:rsidRPr="00571ACB">
        <w:rPr>
          <w:szCs w:val="22"/>
          <w:lang w:eastAsia="sv-FI"/>
        </w:rPr>
        <w:t>kelt och etiskt. Norden har en stark regional matkultur som resten av vär</w:t>
      </w:r>
      <w:r w:rsidRPr="00571ACB">
        <w:rPr>
          <w:szCs w:val="22"/>
          <w:lang w:eastAsia="sv-FI"/>
        </w:rPr>
        <w:t>l</w:t>
      </w:r>
      <w:r w:rsidRPr="00571ACB">
        <w:rPr>
          <w:szCs w:val="22"/>
          <w:lang w:eastAsia="sv-FI"/>
        </w:rPr>
        <w:t xml:space="preserve">den har börjat upptäcka. </w:t>
      </w:r>
    </w:p>
    <w:p w:rsidR="003D0F7E" w:rsidRPr="00571ACB" w:rsidRDefault="003D0F7E" w:rsidP="003D0F7E">
      <w:pPr>
        <w:ind w:firstLine="284"/>
        <w:rPr>
          <w:szCs w:val="22"/>
          <w:lang w:val="sv-FI" w:eastAsia="sv-FI"/>
        </w:rPr>
      </w:pPr>
      <w:r w:rsidRPr="00571ACB">
        <w:rPr>
          <w:szCs w:val="22"/>
          <w:lang w:eastAsia="sv-FI"/>
        </w:rPr>
        <w:t>Åland är ett tydligt avgränsat område, där livsmedelsprodukternas u</w:t>
      </w:r>
      <w:r w:rsidRPr="00571ACB">
        <w:rPr>
          <w:szCs w:val="22"/>
          <w:lang w:eastAsia="sv-FI"/>
        </w:rPr>
        <w:t>r</w:t>
      </w:r>
      <w:r w:rsidRPr="00571ACB">
        <w:rPr>
          <w:szCs w:val="22"/>
          <w:lang w:eastAsia="sv-FI"/>
        </w:rPr>
        <w:t>sprung lätt kan spåras och där det bedrivs ett ambitiöst arbete med hållba</w:t>
      </w:r>
      <w:r w:rsidRPr="00571ACB">
        <w:rPr>
          <w:szCs w:val="22"/>
          <w:lang w:eastAsia="sv-FI"/>
        </w:rPr>
        <w:t>r</w:t>
      </w:r>
      <w:r w:rsidRPr="00571ACB">
        <w:rPr>
          <w:szCs w:val="22"/>
          <w:lang w:eastAsia="sv-FI"/>
        </w:rPr>
        <w:lastRenderedPageBreak/>
        <w:t>het inom livsmedelsproduktionen. Landskapsregeringen ser en stor potent</w:t>
      </w:r>
      <w:r w:rsidRPr="00571ACB">
        <w:rPr>
          <w:szCs w:val="22"/>
          <w:lang w:eastAsia="sv-FI"/>
        </w:rPr>
        <w:t>i</w:t>
      </w:r>
      <w:r w:rsidRPr="00571ACB">
        <w:rPr>
          <w:szCs w:val="22"/>
          <w:lang w:eastAsia="sv-FI"/>
        </w:rPr>
        <w:t>al i att internationellt profilera Åland som en gastronomisk region med ett aktivt hållbarhetsarbete i Norden.</w:t>
      </w:r>
    </w:p>
    <w:p w:rsidR="003D0F7E" w:rsidRPr="00571ACB" w:rsidRDefault="003D0F7E" w:rsidP="003D0F7E">
      <w:pPr>
        <w:ind w:firstLine="284"/>
        <w:rPr>
          <w:szCs w:val="22"/>
          <w:lang w:val="sv-FI" w:eastAsia="sv-FI"/>
        </w:rPr>
      </w:pPr>
      <w:r w:rsidRPr="00571ACB">
        <w:rPr>
          <w:szCs w:val="22"/>
          <w:lang w:eastAsia="sv-FI"/>
        </w:rPr>
        <w:t>Landskapsregering</w:t>
      </w:r>
      <w:r w:rsidR="00274266">
        <w:rPr>
          <w:szCs w:val="22"/>
          <w:lang w:eastAsia="sv-FI"/>
        </w:rPr>
        <w:t>en</w:t>
      </w:r>
      <w:r w:rsidRPr="00571ACB">
        <w:rPr>
          <w:szCs w:val="22"/>
          <w:lang w:eastAsia="sv-FI"/>
        </w:rPr>
        <w:t xml:space="preserve"> har tillsatt en åländsk referensgrupp för Ny No</w:t>
      </w:r>
      <w:r w:rsidRPr="00571ACB">
        <w:rPr>
          <w:szCs w:val="22"/>
          <w:lang w:eastAsia="sv-FI"/>
        </w:rPr>
        <w:t>r</w:t>
      </w:r>
      <w:r w:rsidRPr="00571ACB">
        <w:rPr>
          <w:szCs w:val="22"/>
          <w:lang w:eastAsia="sv-FI"/>
        </w:rPr>
        <w:t>disk Mat. Referensgruppen fungerar som ett stöd för den åländska represe</w:t>
      </w:r>
      <w:r w:rsidRPr="00571ACB">
        <w:rPr>
          <w:szCs w:val="22"/>
          <w:lang w:eastAsia="sv-FI"/>
        </w:rPr>
        <w:t>n</w:t>
      </w:r>
      <w:r w:rsidRPr="00571ACB">
        <w:rPr>
          <w:szCs w:val="22"/>
          <w:lang w:eastAsia="sv-FI"/>
        </w:rPr>
        <w:t>tanten i Ny Nordisk Mat. Dessutom driver referensgruppen lokala frågor på Åland som bygger på arbetet inom Ny Nordisk Mat.</w:t>
      </w:r>
    </w:p>
    <w:p w:rsidR="00B46389" w:rsidRPr="00C273C8" w:rsidRDefault="00B46389" w:rsidP="00B46389">
      <w:pPr>
        <w:pStyle w:val="Rubrik3"/>
        <w:numPr>
          <w:ilvl w:val="2"/>
          <w:numId w:val="4"/>
        </w:numPr>
      </w:pPr>
      <w:bookmarkStart w:id="45" w:name="_Toc477423972"/>
      <w:r w:rsidRPr="00C273C8">
        <w:t>2.3.6 Kultur</w:t>
      </w:r>
      <w:bookmarkEnd w:id="42"/>
      <w:bookmarkEnd w:id="43"/>
      <w:bookmarkEnd w:id="44"/>
      <w:bookmarkEnd w:id="45"/>
    </w:p>
    <w:p w:rsidR="006F4B23" w:rsidRPr="00C273C8" w:rsidRDefault="006F4B23" w:rsidP="006F4B23">
      <w:pPr>
        <w:jc w:val="both"/>
        <w:rPr>
          <w:bCs/>
        </w:rPr>
      </w:pPr>
      <w:bookmarkStart w:id="46" w:name="_Toc412452891"/>
      <w:bookmarkStart w:id="47" w:name="_Toc442442829"/>
      <w:r w:rsidRPr="00C273C8">
        <w:rPr>
          <w:bCs/>
        </w:rPr>
        <w:t>Landskapsregeringen arbetar för att det nordiska kultursamarbetet ska u</w:t>
      </w:r>
      <w:r w:rsidRPr="00C273C8">
        <w:rPr>
          <w:bCs/>
        </w:rPr>
        <w:t>t</w:t>
      </w:r>
      <w:r w:rsidRPr="00C273C8">
        <w:rPr>
          <w:bCs/>
        </w:rPr>
        <w:t>göra en stark helhet där konst och kultur är hörnstenarna i den gemenskap som binder samman de nordiska länderna. Kultursamarbetet har stort infl</w:t>
      </w:r>
      <w:r w:rsidRPr="00C273C8">
        <w:rPr>
          <w:bCs/>
        </w:rPr>
        <w:t>y</w:t>
      </w:r>
      <w:r w:rsidRPr="00C273C8">
        <w:rPr>
          <w:bCs/>
        </w:rPr>
        <w:t>tande på sin omvärld och återspeglar den grund av gemensamma värd</w:t>
      </w:r>
      <w:r w:rsidRPr="00C273C8">
        <w:rPr>
          <w:bCs/>
        </w:rPr>
        <w:t>e</w:t>
      </w:r>
      <w:r w:rsidRPr="00C273C8">
        <w:rPr>
          <w:bCs/>
        </w:rPr>
        <w:t>ringar som de nordiska länderna står på. Tjänstemän inom landskapsfö</w:t>
      </w:r>
      <w:r w:rsidRPr="00C273C8">
        <w:rPr>
          <w:bCs/>
        </w:rPr>
        <w:t>r</w:t>
      </w:r>
      <w:r w:rsidRPr="00C273C8">
        <w:rPr>
          <w:bCs/>
        </w:rPr>
        <w:t>valtningen är delaktiga i arbetet i styrelserna för de nordiska husen på Fär</w:t>
      </w:r>
      <w:r w:rsidRPr="00C273C8">
        <w:rPr>
          <w:bCs/>
        </w:rPr>
        <w:t>ö</w:t>
      </w:r>
      <w:r w:rsidRPr="00C273C8">
        <w:rPr>
          <w:bCs/>
        </w:rPr>
        <w:t xml:space="preserve">arna, Grönland och Island. Även i styrelsen för Nordens institut på Åland (NIPÅ) är landskapsregeringen representerad. Representationen medverkar till ett högfrekvent kulturutbyte med de övriga nordiska länderna. </w:t>
      </w:r>
    </w:p>
    <w:p w:rsidR="006F4B23" w:rsidRPr="00C273C8" w:rsidRDefault="00332585" w:rsidP="006F4B23">
      <w:pPr>
        <w:jc w:val="both"/>
        <w:rPr>
          <w:bCs/>
        </w:rPr>
      </w:pPr>
      <w:r>
        <w:rPr>
          <w:bCs/>
        </w:rPr>
        <w:tab/>
        <w:t>L</w:t>
      </w:r>
      <w:r w:rsidR="006F4B23" w:rsidRPr="00C273C8">
        <w:rPr>
          <w:bCs/>
        </w:rPr>
        <w:t xml:space="preserve">andskapsregeringen </w:t>
      </w:r>
      <w:r w:rsidR="00274266">
        <w:rPr>
          <w:bCs/>
        </w:rPr>
        <w:t>följer</w:t>
      </w:r>
      <w:r w:rsidR="006F4B23" w:rsidRPr="00C273C8">
        <w:rPr>
          <w:bCs/>
        </w:rPr>
        <w:t xml:space="preserve"> särskilt med utvecklingen beträffande den nordiska kulturbudgeten. Neddragningar i budgetanslagen kan leda till att det nordiska kulturutbytet minskar och en mångårig uppbyggnad av ver</w:t>
      </w:r>
      <w:r w:rsidR="006F4B23" w:rsidRPr="00C273C8">
        <w:rPr>
          <w:bCs/>
        </w:rPr>
        <w:t>k</w:t>
      </w:r>
      <w:r w:rsidR="006F4B23" w:rsidRPr="00C273C8">
        <w:rPr>
          <w:bCs/>
        </w:rPr>
        <w:t>samheten och olik</w:t>
      </w:r>
      <w:r>
        <w:rPr>
          <w:bCs/>
        </w:rPr>
        <w:t>a kulturella nätverk tar skada.</w:t>
      </w:r>
    </w:p>
    <w:p w:rsidR="006F4B23" w:rsidRPr="00C273C8" w:rsidRDefault="00332585" w:rsidP="006F4B23">
      <w:pPr>
        <w:jc w:val="both"/>
      </w:pPr>
      <w:r>
        <w:rPr>
          <w:bCs/>
        </w:rPr>
        <w:tab/>
      </w:r>
      <w:r w:rsidR="006F4B23" w:rsidRPr="00C273C8">
        <w:rPr>
          <w:bCs/>
        </w:rPr>
        <w:t>Beträffande landskapsregeringens dokument- och arkivhantering utgör landskapsarkivet en specialfunktion. Efter ett beslut i ministerrådet 2014 ska en nordisk arkivportal utvecklas och landskapsregeringen avser att a</w:t>
      </w:r>
      <w:r w:rsidR="006F4B23" w:rsidRPr="00C273C8">
        <w:rPr>
          <w:bCs/>
        </w:rPr>
        <w:t>k</w:t>
      </w:r>
      <w:r w:rsidR="006F4B23" w:rsidRPr="00C273C8">
        <w:rPr>
          <w:bCs/>
        </w:rPr>
        <w:t xml:space="preserve">tivt ta del av arbetet. </w:t>
      </w:r>
      <w:r w:rsidR="006F4B23" w:rsidRPr="00C273C8">
        <w:t>Ålands landskapsarkiv deltar i ett utredningsarbete kring möjligheterna att erbjuda fjärraccess till digital information mellan Kungliga Biblioteket, Åbo Akademis bibliotek, Nationalbiblioteket och landskapsarkivet. Ett annat utredningsarbete har inletts där olika samarbet</w:t>
      </w:r>
      <w:r w:rsidR="006F4B23" w:rsidRPr="00C273C8">
        <w:t>s</w:t>
      </w:r>
      <w:r w:rsidR="006F4B23" w:rsidRPr="00C273C8">
        <w:t>former inom ett mer begränsat område, dagstidningar, utreds mellan lan</w:t>
      </w:r>
      <w:r w:rsidR="006F4B23" w:rsidRPr="00C273C8">
        <w:t>d</w:t>
      </w:r>
      <w:r w:rsidR="006F4B23" w:rsidRPr="00C273C8">
        <w:t>skapsarkivet, Svenska litteratursällskapet i Finland samt Nationalbibli</w:t>
      </w:r>
      <w:r w:rsidR="006F4B23" w:rsidRPr="00C273C8">
        <w:t>o</w:t>
      </w:r>
      <w:r w:rsidR="006F4B23" w:rsidRPr="00C273C8">
        <w:t>teket.</w:t>
      </w:r>
    </w:p>
    <w:p w:rsidR="006F4B23" w:rsidRPr="000850FA" w:rsidRDefault="00332585" w:rsidP="006F4B23">
      <w:pPr>
        <w:jc w:val="both"/>
        <w:rPr>
          <w:bCs/>
        </w:rPr>
      </w:pPr>
      <w:r>
        <w:rPr>
          <w:bCs/>
        </w:rPr>
        <w:tab/>
      </w:r>
      <w:r w:rsidR="006F4B23" w:rsidRPr="000850FA">
        <w:rPr>
          <w:bCs/>
        </w:rPr>
        <w:t>Den nordiska kulturbegivenheten Nordic cool, som hölls i samarbete med Kennedy Center i Washington 2013, var framgångsrik och får en for</w:t>
      </w:r>
      <w:r w:rsidR="006F4B23" w:rsidRPr="000850FA">
        <w:rPr>
          <w:bCs/>
        </w:rPr>
        <w:t>t</w:t>
      </w:r>
      <w:r w:rsidR="006F4B23" w:rsidRPr="000850FA">
        <w:rPr>
          <w:bCs/>
        </w:rPr>
        <w:t>sättning i London 2017. Kulturministrarna har beslutat att utveckla konce</w:t>
      </w:r>
      <w:r w:rsidR="006F4B23" w:rsidRPr="000850FA">
        <w:rPr>
          <w:bCs/>
        </w:rPr>
        <w:t>p</w:t>
      </w:r>
      <w:r w:rsidR="006F4B23" w:rsidRPr="000850FA">
        <w:rPr>
          <w:bCs/>
        </w:rPr>
        <w:t xml:space="preserve">tet för att marknadsföra nordiska kultursatsningar utomlands. Southbank Centre i London </w:t>
      </w:r>
      <w:r w:rsidR="00603C3C">
        <w:rPr>
          <w:bCs/>
        </w:rPr>
        <w:t>är</w:t>
      </w:r>
      <w:r w:rsidR="006F4B23" w:rsidRPr="000850FA">
        <w:rPr>
          <w:bCs/>
        </w:rPr>
        <w:t xml:space="preserve"> värd för nästa gemensamma nordiska kulturevenemang i utlandet år 2017. En arbetsgrupp, där sakkunniga tjänstemän inom lan</w:t>
      </w:r>
      <w:r w:rsidR="006F4B23" w:rsidRPr="000850FA">
        <w:rPr>
          <w:bCs/>
        </w:rPr>
        <w:t>d</w:t>
      </w:r>
      <w:r w:rsidR="006F4B23" w:rsidRPr="000850FA">
        <w:rPr>
          <w:bCs/>
        </w:rPr>
        <w:t>skapsregeringens utbildnings- och kulturavdelning ingått i styrgruppen, har utarbetat förslag på aktiviteter som kommer att genomföras under 2017.</w:t>
      </w:r>
    </w:p>
    <w:p w:rsidR="006F4B23" w:rsidRPr="00E37E6E" w:rsidRDefault="00332585" w:rsidP="00332585">
      <w:pPr>
        <w:jc w:val="both"/>
        <w:rPr>
          <w:bCs/>
        </w:rPr>
      </w:pPr>
      <w:r>
        <w:rPr>
          <w:bCs/>
        </w:rPr>
        <w:tab/>
      </w:r>
      <w:r w:rsidR="006F4B23" w:rsidRPr="00E37E6E">
        <w:rPr>
          <w:bCs/>
        </w:rPr>
        <w:t xml:space="preserve">Under 2016 var landskapsregeringen värd för </w:t>
      </w:r>
      <w:r w:rsidR="006F4B23" w:rsidRPr="00E37E6E">
        <w:rPr>
          <w:rStyle w:val="hyphen"/>
        </w:rPr>
        <w:t>Nordiska ämbetsmann</w:t>
      </w:r>
      <w:r w:rsidR="006F4B23" w:rsidRPr="00E37E6E">
        <w:rPr>
          <w:rStyle w:val="hyphen"/>
        </w:rPr>
        <w:t>a</w:t>
      </w:r>
      <w:r w:rsidR="006F4B23" w:rsidRPr="00E37E6E">
        <w:rPr>
          <w:rStyle w:val="hyphen"/>
        </w:rPr>
        <w:t>kommittén för kulturellt samarbete</w:t>
      </w:r>
      <w:r w:rsidR="006F4B23" w:rsidRPr="00E37E6E">
        <w:rPr>
          <w:bCs/>
        </w:rPr>
        <w:t xml:space="preserve"> (ÄK-K) under dess höstmöte i septe</w:t>
      </w:r>
      <w:r w:rsidR="006F4B23" w:rsidRPr="00E37E6E">
        <w:rPr>
          <w:bCs/>
        </w:rPr>
        <w:t>m</w:t>
      </w:r>
      <w:r w:rsidR="006F4B23" w:rsidRPr="00E37E6E">
        <w:rPr>
          <w:bCs/>
        </w:rPr>
        <w:t>ber, vilket för kulturbyrån föranledde förberedelser av mötestillfället och kringprogram tillsammans med det finska ordförandeskapet. Under 2017 ordnas två möten som Åland har anledning att uppmärksamma. Det första gäller ett nordiskt idrottstoppmöte (MR-K) på Svalbard i april.  Under m</w:t>
      </w:r>
      <w:r w:rsidR="006F4B23" w:rsidRPr="00E37E6E">
        <w:rPr>
          <w:bCs/>
        </w:rPr>
        <w:t>ö</w:t>
      </w:r>
      <w:r w:rsidR="006F4B23" w:rsidRPr="00E37E6E">
        <w:rPr>
          <w:bCs/>
        </w:rPr>
        <w:t>tet avhandlas bland annat kvinnors idrottande. Ett annat tema är doping och återupprättande av förtroendet för toppidrotten. Det andra mötet är en m</w:t>
      </w:r>
      <w:r w:rsidR="006F4B23" w:rsidRPr="00E37E6E">
        <w:rPr>
          <w:bCs/>
        </w:rPr>
        <w:t>e</w:t>
      </w:r>
      <w:r w:rsidR="006F4B23" w:rsidRPr="00E37E6E">
        <w:rPr>
          <w:bCs/>
        </w:rPr>
        <w:t xml:space="preserve">diepolitisk konferens i Bergen i maj som ordnas av </w:t>
      </w:r>
      <w:r w:rsidR="006F4B23" w:rsidRPr="00E37E6E">
        <w:rPr>
          <w:rStyle w:val="hyphen"/>
        </w:rPr>
        <w:t>ÄK-K</w:t>
      </w:r>
      <w:r w:rsidR="006F4B23" w:rsidRPr="00E37E6E">
        <w:rPr>
          <w:bCs/>
        </w:rPr>
        <w:t>. Konferensen ska bland annat handla om yttrandefrihet på nätet och de stora nätaktörernas i</w:t>
      </w:r>
      <w:r w:rsidR="006F4B23" w:rsidRPr="00E37E6E">
        <w:rPr>
          <w:bCs/>
        </w:rPr>
        <w:t>n</w:t>
      </w:r>
      <w:r w:rsidR="006F4B23" w:rsidRPr="00E37E6E">
        <w:rPr>
          <w:bCs/>
        </w:rPr>
        <w:t>flytande. B</w:t>
      </w:r>
      <w:r w:rsidR="00274266">
        <w:rPr>
          <w:bCs/>
        </w:rPr>
        <w:t>åda ovannämnda</w:t>
      </w:r>
      <w:r w:rsidR="006F4B23" w:rsidRPr="00E37E6E">
        <w:rPr>
          <w:bCs/>
        </w:rPr>
        <w:t xml:space="preserve"> möten </w:t>
      </w:r>
      <w:r w:rsidR="00274266">
        <w:rPr>
          <w:bCs/>
        </w:rPr>
        <w:t>är relevanta</w:t>
      </w:r>
      <w:r w:rsidR="006F4B23" w:rsidRPr="00E37E6E">
        <w:rPr>
          <w:bCs/>
        </w:rPr>
        <w:t xml:space="preserve"> för landskapsregeringen som för närvarande arbetar med ett idrottspolitiskt program och inom kort avser inleda arbetet med ett mediepolitiskt program.</w:t>
      </w:r>
    </w:p>
    <w:p w:rsidR="00B46389" w:rsidRPr="00B96AEE" w:rsidRDefault="00B46389" w:rsidP="00B46389">
      <w:pPr>
        <w:pStyle w:val="Rubrik3"/>
        <w:numPr>
          <w:ilvl w:val="2"/>
          <w:numId w:val="4"/>
        </w:numPr>
      </w:pPr>
      <w:bookmarkStart w:id="48" w:name="_Toc477423973"/>
      <w:r w:rsidRPr="00B96AEE">
        <w:lastRenderedPageBreak/>
        <w:t>2.3.7 Utbildning</w:t>
      </w:r>
      <w:bookmarkEnd w:id="46"/>
      <w:bookmarkEnd w:id="47"/>
      <w:bookmarkEnd w:id="48"/>
    </w:p>
    <w:p w:rsidR="001E7F76" w:rsidRPr="00B96AEE" w:rsidRDefault="001E7F76" w:rsidP="001E7F76">
      <w:pPr>
        <w:jc w:val="both"/>
      </w:pPr>
      <w:bookmarkStart w:id="49" w:name="_Toc410897645"/>
      <w:bookmarkStart w:id="50" w:name="_Toc412452892"/>
      <w:bookmarkStart w:id="51" w:name="_Toc442442830"/>
      <w:r w:rsidRPr="00B96AEE">
        <w:t>En övergripande prioritering inom landskapsregeringens utbildningspolitik är att värna om och stärka det nordiska utbildningssamarbetet och utveckla möjligheterna för unga och vuxna ålänningar att studera i andra länder. G</w:t>
      </w:r>
      <w:r w:rsidRPr="00B96AEE">
        <w:t>e</w:t>
      </w:r>
      <w:r w:rsidRPr="00B96AEE">
        <w:t>nom gränshinderarbetet vidtas kontinuerligt åtgärder särskilt för att u</w:t>
      </w:r>
      <w:r w:rsidRPr="00B96AEE">
        <w:t>t</w:t>
      </w:r>
      <w:r w:rsidRPr="00B96AEE">
        <w:t xml:space="preserve">veckla förutsättningarna för ålänningarna att studera i Sverige, bl.a. </w:t>
      </w:r>
      <w:r w:rsidR="00B96AEE">
        <w:t>v</w:t>
      </w:r>
      <w:r w:rsidRPr="00B96AEE">
        <w:t>i</w:t>
      </w:r>
      <w:r w:rsidR="00B96AEE">
        <w:t>d</w:t>
      </w:r>
      <w:r w:rsidRPr="00B96AEE">
        <w:t xml:space="preserve"> högskolor och universitet. Gränshinderarbetet omfattar samtidigt åtgärder för att erbjuda studieplatser på Åland för andra nordbor.</w:t>
      </w:r>
    </w:p>
    <w:p w:rsidR="001E7F76" w:rsidRPr="00CB00B8" w:rsidRDefault="00332585" w:rsidP="001E7F76">
      <w:pPr>
        <w:jc w:val="both"/>
      </w:pPr>
      <w:r>
        <w:tab/>
      </w:r>
      <w:r w:rsidR="001E7F76" w:rsidRPr="00CB00B8">
        <w:t xml:space="preserve">Det nordiska samarbetet inom utbildningsområdet </w:t>
      </w:r>
      <w:r w:rsidR="00092096">
        <w:t>strävar till</w:t>
      </w:r>
      <w:r w:rsidR="001E7F76" w:rsidRPr="00CB00B8">
        <w:t xml:space="preserve"> att Norden ska kunna hävda sig på en global kunskapsmarknad. Gemensamma no</w:t>
      </w:r>
      <w:r w:rsidR="001E7F76" w:rsidRPr="00CB00B8">
        <w:t>r</w:t>
      </w:r>
      <w:r w:rsidR="001E7F76" w:rsidRPr="00CB00B8">
        <w:t xml:space="preserve">diska möten och projekt är ett instrument för att främja en fördjupad dialog och förtydliga den nordiska samhörigheten och därmed även stärka </w:t>
      </w:r>
      <w:r w:rsidR="00092096">
        <w:t>Färöa</w:t>
      </w:r>
      <w:r w:rsidR="00092096">
        <w:t>r</w:t>
      </w:r>
      <w:r w:rsidR="00092096">
        <w:t>nas, Grönlands och Ålands</w:t>
      </w:r>
      <w:r w:rsidR="001E7F76" w:rsidRPr="00CB00B8">
        <w:t xml:space="preserve"> roll och position. </w:t>
      </w:r>
    </w:p>
    <w:p w:rsidR="001E7F76" w:rsidRPr="00CB00B8" w:rsidRDefault="00332585" w:rsidP="001E7F76">
      <w:pPr>
        <w:jc w:val="both"/>
      </w:pPr>
      <w:r>
        <w:tab/>
      </w:r>
      <w:r w:rsidR="001E7F76" w:rsidRPr="00CB00B8">
        <w:t>Kunskap är en konkurrensfaktor för att länder ska kunna attrahera t</w:t>
      </w:r>
      <w:r w:rsidR="001E7F76" w:rsidRPr="00CB00B8">
        <w:t>a</w:t>
      </w:r>
      <w:r w:rsidR="001E7F76" w:rsidRPr="00CB00B8">
        <w:t>langer och öka sin tillväxt. Högre utbildning, såsom universitet och högsk</w:t>
      </w:r>
      <w:r w:rsidR="001E7F76" w:rsidRPr="00CB00B8">
        <w:t>o</w:t>
      </w:r>
      <w:r w:rsidR="001E7F76" w:rsidRPr="00CB00B8">
        <w:t xml:space="preserve">lor, blir viktiga producenter av kunskap. Inom organisationen för forskning och forskarutbildning (NordForsk) går arbetet generellt ut på att finansiera forskning i Norden. </w:t>
      </w:r>
    </w:p>
    <w:p w:rsidR="001E7F76" w:rsidRPr="00A8749F" w:rsidRDefault="00332585" w:rsidP="001E7F76">
      <w:pPr>
        <w:jc w:val="both"/>
      </w:pPr>
      <w:r>
        <w:tab/>
      </w:r>
      <w:r w:rsidR="001E7F76" w:rsidRPr="00A8749F">
        <w:t>Samverkan i nordiska nätverk som bidrar till kunskapsförmedling och policyutveckling i Norden och åländsk vuxenutbildning betonas inom r</w:t>
      </w:r>
      <w:r w:rsidR="001E7F76" w:rsidRPr="00A8749F">
        <w:t>a</w:t>
      </w:r>
      <w:r w:rsidR="001E7F76" w:rsidRPr="00A8749F">
        <w:t xml:space="preserve">men för </w:t>
      </w:r>
      <w:r w:rsidR="001E7F76" w:rsidRPr="00A8749F">
        <w:rPr>
          <w:i/>
        </w:rPr>
        <w:t xml:space="preserve">Nordiskt nätverk för vuxnas lärande </w:t>
      </w:r>
      <w:r w:rsidR="001E7F76" w:rsidRPr="00092096">
        <w:t>(NVL).</w:t>
      </w:r>
      <w:r w:rsidR="001E7F76" w:rsidRPr="00A8749F">
        <w:t xml:space="preserve"> Tyngdpunktsområden inom nätverket är vägledning, validering och distansstudier. Ålands sa</w:t>
      </w:r>
      <w:r w:rsidR="001E7F76" w:rsidRPr="00A8749F">
        <w:t>m</w:t>
      </w:r>
      <w:r w:rsidR="001E7F76" w:rsidRPr="00A8749F">
        <w:t>verkan i nätverket syftar till att bland annat stärka tyngdpunktsområdet i</w:t>
      </w:r>
      <w:r w:rsidR="001E7F76" w:rsidRPr="00A8749F">
        <w:t>n</w:t>
      </w:r>
      <w:r w:rsidR="001E7F76" w:rsidRPr="00A8749F">
        <w:t>tegration och utbildningsarrangemang specifikt för till Åland inflyttade pe</w:t>
      </w:r>
      <w:r w:rsidR="001E7F76" w:rsidRPr="00A8749F">
        <w:t>r</w:t>
      </w:r>
      <w:r w:rsidR="001E7F76" w:rsidRPr="00A8749F">
        <w:t>soner. Landskapsregeringen deltar även i ett nyligen startat nätverk på vu</w:t>
      </w:r>
      <w:r w:rsidR="001E7F76" w:rsidRPr="00A8749F">
        <w:t>x</w:t>
      </w:r>
      <w:r w:rsidR="001E7F76" w:rsidRPr="00A8749F">
        <w:t xml:space="preserve">enutbildningsområdet mellan öarna Bornholm, Gotland och Åland. </w:t>
      </w:r>
    </w:p>
    <w:p w:rsidR="001E7F76" w:rsidRPr="00A8749F" w:rsidRDefault="001E7F76" w:rsidP="001E7F76">
      <w:pPr>
        <w:ind w:firstLine="284"/>
        <w:jc w:val="both"/>
      </w:pPr>
      <w:r w:rsidRPr="00A8749F">
        <w:t xml:space="preserve">Utbildnings- och kulturavdelningen har sedan hösten 2015 medverkat i en nordisk arbetsgrupp inom ramen för NVL kring temat </w:t>
      </w:r>
      <w:r w:rsidRPr="00A8749F">
        <w:rPr>
          <w:i/>
        </w:rPr>
        <w:t>IKT och vägle</w:t>
      </w:r>
      <w:r w:rsidRPr="00A8749F">
        <w:rPr>
          <w:i/>
        </w:rPr>
        <w:t>d</w:t>
      </w:r>
      <w:r w:rsidRPr="00A8749F">
        <w:rPr>
          <w:i/>
        </w:rPr>
        <w:t>ning</w:t>
      </w:r>
      <w:r w:rsidRPr="00A8749F">
        <w:t>. Gruppen ska under 2017 utarbeta och publicera en rapport kring t</w:t>
      </w:r>
      <w:r w:rsidRPr="00A8749F">
        <w:t>e</w:t>
      </w:r>
      <w:r w:rsidRPr="00A8749F">
        <w:t>mat. Gruppens arbete ska bidra till im</w:t>
      </w:r>
      <w:r w:rsidR="00092096">
        <w:t xml:space="preserve">plementering av MR-U:s program </w:t>
      </w:r>
      <w:r w:rsidRPr="00092096">
        <w:rPr>
          <w:i/>
        </w:rPr>
        <w:t>Kvalitet og rel</w:t>
      </w:r>
      <w:r w:rsidR="00092096" w:rsidRPr="00092096">
        <w:rPr>
          <w:i/>
        </w:rPr>
        <w:t>evans i uddannelse og forskning</w:t>
      </w:r>
      <w:r w:rsidRPr="00A8749F">
        <w:t xml:space="preserve"> och är ett samarbete mellan NVL:s vägledningsnätverk och distansnätverk. Arbetsgruppens uppgift är att stöda en god övergång mellan utbildning och arbetsliv och lyfta fram aktuella frågor inom vägledning på Färöarna, Grönland och Åland. Arbet</w:t>
      </w:r>
      <w:r w:rsidRPr="00A8749F">
        <w:t>s</w:t>
      </w:r>
      <w:r w:rsidRPr="00A8749F">
        <w:t>gruppens uppgift är att undersöka möjligheter och mervärde av att använda nya metoder och IKT</w:t>
      </w:r>
      <w:r w:rsidR="00092096">
        <w:t>-</w:t>
      </w:r>
      <w:r w:rsidRPr="00A8749F">
        <w:t>stöd i vägledningstjänster i de tre självstyrande o</w:t>
      </w:r>
      <w:r w:rsidRPr="00A8749F">
        <w:t>m</w:t>
      </w:r>
      <w:r w:rsidRPr="00A8749F">
        <w:t>rådena.</w:t>
      </w:r>
    </w:p>
    <w:p w:rsidR="001E7F76" w:rsidRPr="00DB4F4B" w:rsidRDefault="001E7F76" w:rsidP="001E7F76">
      <w:pPr>
        <w:ind w:firstLine="284"/>
        <w:jc w:val="both"/>
      </w:pPr>
      <w:r w:rsidRPr="00DB4F4B">
        <w:t>Landskapsregeringens ut</w:t>
      </w:r>
      <w:r w:rsidR="00F70B67" w:rsidRPr="00DB4F4B">
        <w:t>bildnings- och kulturavdelning</w:t>
      </w:r>
      <w:r w:rsidRPr="00DB4F4B">
        <w:t xml:space="preserve"> deltar i Nor</w:t>
      </w:r>
      <w:r w:rsidRPr="00DB4F4B">
        <w:t>d</w:t>
      </w:r>
      <w:r w:rsidRPr="00DB4F4B">
        <w:t xml:space="preserve">plus Horizontal projektet </w:t>
      </w:r>
      <w:r w:rsidRPr="00DB4F4B">
        <w:rPr>
          <w:i/>
        </w:rPr>
        <w:t>Vägledare i samverkan</w:t>
      </w:r>
      <w:r w:rsidR="00092096">
        <w:t xml:space="preserve"> under 2016</w:t>
      </w:r>
      <w:r w:rsidRPr="00DB4F4B">
        <w:t>-2018 tillsa</w:t>
      </w:r>
      <w:r w:rsidRPr="00DB4F4B">
        <w:t>m</w:t>
      </w:r>
      <w:r w:rsidRPr="00DB4F4B">
        <w:t>mans med Centret för livslångt lärande vid Åbo akademi, Vägledningscen</w:t>
      </w:r>
      <w:r w:rsidRPr="00DB4F4B">
        <w:t>t</w:t>
      </w:r>
      <w:r w:rsidRPr="00DB4F4B">
        <w:t>rum i Göteborg och Karrierveiledning i Østfold fylkeskommun. Syftet med projektet är att erbjuda kompetensutveckling och utbyta erfarenheter med nordiska kollegor inom livslång vägledning. Deltagarna får nya nordiska kontakter, kan ta del av expertföreläsningar i samband med seminarier, få ökad inspiration för det egna arbetet och stöd för professionell utveckling.</w:t>
      </w:r>
    </w:p>
    <w:p w:rsidR="001E7F76" w:rsidRPr="00A571B4" w:rsidRDefault="00332585" w:rsidP="001E7F76">
      <w:pPr>
        <w:jc w:val="both"/>
      </w:pPr>
      <w:r>
        <w:tab/>
      </w:r>
      <w:r w:rsidR="001E7F76" w:rsidRPr="00A571B4">
        <w:t xml:space="preserve">Inom projektet </w:t>
      </w:r>
      <w:r w:rsidR="001E7F76" w:rsidRPr="00A571B4">
        <w:rPr>
          <w:i/>
        </w:rPr>
        <w:t>Den nordiska vägen till en inkluderande grundläggande utbildning</w:t>
      </w:r>
      <w:r w:rsidR="001E7F76" w:rsidRPr="00A571B4">
        <w:t xml:space="preserve"> kommer de nordiska kontakterna att fortgå. De nordiska sama</w:t>
      </w:r>
      <w:r w:rsidR="001E7F76" w:rsidRPr="00A571B4">
        <w:t>r</w:t>
      </w:r>
      <w:r w:rsidR="001E7F76" w:rsidRPr="00A571B4">
        <w:t xml:space="preserve">betsformerna inom utbildnings- och kulturområdet finansieras med medel ur Nordiska </w:t>
      </w:r>
      <w:r w:rsidR="001E7F76" w:rsidRPr="007112EC">
        <w:t>ministerrådets stödprogram</w:t>
      </w:r>
      <w:r w:rsidR="001E7F76" w:rsidRPr="00A571B4">
        <w:rPr>
          <w:i/>
        </w:rPr>
        <w:t xml:space="preserve"> Nordplus</w:t>
      </w:r>
      <w:r w:rsidR="001E7F76" w:rsidRPr="00A571B4">
        <w:t xml:space="preserve"> under administration och tillsyn </w:t>
      </w:r>
      <w:r w:rsidR="001E7F76" w:rsidRPr="007112EC">
        <w:t>av Nordplus programkommitté, i vilken Åland har två</w:t>
      </w:r>
      <w:r w:rsidR="001E7F76" w:rsidRPr="00A571B4">
        <w:t xml:space="preserve"> observatör</w:t>
      </w:r>
      <w:r w:rsidR="001E7F76" w:rsidRPr="00A571B4">
        <w:t>s</w:t>
      </w:r>
      <w:r w:rsidR="001E7F76" w:rsidRPr="00A571B4">
        <w:t>platser. Programmet ger skolor på alla nivåer möjlighet att söka medel för mobilitet mellan länderna och självstyrande områden (elev-, klass- och l</w:t>
      </w:r>
      <w:r w:rsidR="001E7F76" w:rsidRPr="00A571B4">
        <w:t>ä</w:t>
      </w:r>
      <w:r w:rsidR="001E7F76" w:rsidRPr="00A571B4">
        <w:t>rarutbyten) samt för nätverksaktiviteter. Syftet är att stärka och utveckla det nordiska samarbetet på skolnivå, bidra till att etablera en nordisk-baltisk u</w:t>
      </w:r>
      <w:r w:rsidR="001E7F76" w:rsidRPr="00A571B4">
        <w:t>t</w:t>
      </w:r>
      <w:r w:rsidR="001E7F76" w:rsidRPr="00A571B4">
        <w:t xml:space="preserve">bildningsregion, stöda och utveckla utbildningen för ett livslångt lärande, </w:t>
      </w:r>
      <w:r w:rsidR="001E7F76" w:rsidRPr="00A571B4">
        <w:lastRenderedPageBreak/>
        <w:t>stärka kunskaperna i nordiska språk och nordisk kultur samt främja en språklig och kulturell förståelse länderna emellan.</w:t>
      </w:r>
    </w:p>
    <w:p w:rsidR="001E7F76" w:rsidRPr="008F3C56" w:rsidRDefault="00332585" w:rsidP="001E7F76">
      <w:pPr>
        <w:jc w:val="both"/>
      </w:pPr>
      <w:r>
        <w:tab/>
      </w:r>
      <w:r w:rsidR="001E7F76" w:rsidRPr="008F3C56">
        <w:t>Landskapsregeringen avser fortsättningsvis aktivt bevaka penningtil</w:t>
      </w:r>
      <w:r w:rsidR="001E7F76" w:rsidRPr="008F3C56">
        <w:t>l</w:t>
      </w:r>
      <w:r w:rsidR="001E7F76" w:rsidRPr="008F3C56">
        <w:t>delningen till Nordplus</w:t>
      </w:r>
      <w:r w:rsidR="007112EC">
        <w:t>-</w:t>
      </w:r>
      <w:r w:rsidR="001E7F76" w:rsidRPr="008F3C56">
        <w:t>programmet och belysa Ålands roll i det nordiska samarbetet. Enligt ett avtal med Nordiska ministerrådet har landskapsreg</w:t>
      </w:r>
      <w:r w:rsidR="001E7F76" w:rsidRPr="008F3C56">
        <w:t>e</w:t>
      </w:r>
      <w:r w:rsidR="001E7F76" w:rsidRPr="008F3C56">
        <w:t xml:space="preserve">ringen som ett självstyrt område ansvar för att informera om programmet på Åland. Inom </w:t>
      </w:r>
      <w:r w:rsidR="007112EC">
        <w:t>landskaps</w:t>
      </w:r>
      <w:r w:rsidR="001E7F76" w:rsidRPr="008F3C56">
        <w:t xml:space="preserve">regeringens utbildnings- och kulturavdelning upprätthålls på dessa grunder ett informationssystem i form av </w:t>
      </w:r>
      <w:r w:rsidR="001E7F76" w:rsidRPr="008F3C56">
        <w:rPr>
          <w:i/>
        </w:rPr>
        <w:t>Nordplus I</w:t>
      </w:r>
      <w:r w:rsidR="001E7F76" w:rsidRPr="008F3C56">
        <w:rPr>
          <w:i/>
        </w:rPr>
        <w:t>n</w:t>
      </w:r>
      <w:r w:rsidR="001E7F76" w:rsidRPr="008F3C56">
        <w:rPr>
          <w:i/>
        </w:rPr>
        <w:t>formationspunkt Åland (InfoP-Å)</w:t>
      </w:r>
      <w:r w:rsidR="001E7F76" w:rsidRPr="008F3C56">
        <w:t xml:space="preserve"> med interna och externa nätverk.</w:t>
      </w:r>
    </w:p>
    <w:p w:rsidR="00B46389" w:rsidRPr="002F28CB" w:rsidRDefault="00B46389" w:rsidP="00B46389">
      <w:pPr>
        <w:pStyle w:val="Rubrik3"/>
        <w:numPr>
          <w:ilvl w:val="2"/>
          <w:numId w:val="4"/>
        </w:numPr>
      </w:pPr>
      <w:bookmarkStart w:id="52" w:name="_Toc477423974"/>
      <w:r w:rsidRPr="002F28CB">
        <w:t>2.3.8 Jämställdhet</w:t>
      </w:r>
      <w:bookmarkEnd w:id="49"/>
      <w:bookmarkEnd w:id="50"/>
      <w:bookmarkEnd w:id="51"/>
      <w:bookmarkEnd w:id="52"/>
    </w:p>
    <w:p w:rsidR="002F28CB" w:rsidRPr="00312685" w:rsidRDefault="002F28CB" w:rsidP="0078401D">
      <w:r w:rsidRPr="00312685">
        <w:t>Målsättningen för det nordiska samarbetet under 2015-2018 är bland annat att bidra till ett effektivt jämställdhetsarbete samt att höja kunskapen om jämställdhet i Norden bland såväl medborgare, parlamentariker som reg</w:t>
      </w:r>
      <w:r w:rsidRPr="00312685">
        <w:t>e</w:t>
      </w:r>
      <w:r w:rsidRPr="00312685">
        <w:t>ringar.</w:t>
      </w:r>
    </w:p>
    <w:p w:rsidR="002F28CB" w:rsidRPr="00312685" w:rsidRDefault="002F28CB" w:rsidP="002F28CB">
      <w:pPr>
        <w:ind w:firstLine="284"/>
        <w:rPr>
          <w:szCs w:val="22"/>
        </w:rPr>
      </w:pPr>
      <w:r w:rsidRPr="000E4641">
        <w:rPr>
          <w:szCs w:val="22"/>
        </w:rPr>
        <w:t>Det nordiska samarbetsprogrammet innehåller två övergripande teman: det</w:t>
      </w:r>
      <w:r w:rsidRPr="00312685">
        <w:rPr>
          <w:szCs w:val="22"/>
        </w:rPr>
        <w:t xml:space="preserve"> offentliga rummet samt välfärd och innovation. Tvärgående teman är hållbar utveckling med fokus på mångfald, samt pojkars och mäns aktiva deltagande i jämställdhetsarbetet. Jämställdhetsintegrering är strategin för genomförandet.</w:t>
      </w:r>
    </w:p>
    <w:p w:rsidR="002F28CB" w:rsidRPr="00312685" w:rsidRDefault="002F28CB" w:rsidP="002F28CB">
      <w:pPr>
        <w:ind w:firstLine="284"/>
        <w:rPr>
          <w:szCs w:val="22"/>
        </w:rPr>
      </w:pPr>
      <w:r w:rsidRPr="00312685">
        <w:rPr>
          <w:szCs w:val="22"/>
        </w:rPr>
        <w:t>Inom programpunkten välfärd har könsperspektiv inom vården lyfts fram som ett prioriterat område. MR-S och MR-JÄM har under året sama</w:t>
      </w:r>
      <w:r w:rsidRPr="00312685">
        <w:rPr>
          <w:szCs w:val="22"/>
        </w:rPr>
        <w:t>r</w:t>
      </w:r>
      <w:r w:rsidRPr="00312685">
        <w:rPr>
          <w:szCs w:val="22"/>
        </w:rPr>
        <w:t>betat kring frågeställningar rörande kvinnors och mäns hälsa och har då lagt stor vikt vid att öka kunskaperna och att dela erfarenheter kring kvinnors och mäns och flickors och pojkars hälsa och på att skapa likvärdig tillgång till hälsovård.</w:t>
      </w:r>
      <w:r w:rsidR="000E03B4">
        <w:rPr>
          <w:szCs w:val="22"/>
        </w:rPr>
        <w:t xml:space="preserve"> </w:t>
      </w:r>
      <w:r w:rsidRPr="00312685">
        <w:rPr>
          <w:szCs w:val="22"/>
        </w:rPr>
        <w:t>Nordiskt ministeråd och Ålands landskapsregering arrang</w:t>
      </w:r>
      <w:r w:rsidRPr="00312685">
        <w:rPr>
          <w:szCs w:val="22"/>
        </w:rPr>
        <w:t>e</w:t>
      </w:r>
      <w:r w:rsidRPr="00312685">
        <w:rPr>
          <w:szCs w:val="22"/>
        </w:rPr>
        <w:t>rade under sommaren konferensen Genus och hälsa som ett led i förverkl</w:t>
      </w:r>
      <w:r w:rsidRPr="00312685">
        <w:rPr>
          <w:szCs w:val="22"/>
        </w:rPr>
        <w:t>i</w:t>
      </w:r>
      <w:r w:rsidRPr="00312685">
        <w:rPr>
          <w:szCs w:val="22"/>
        </w:rPr>
        <w:t>gandet av det finska ordförandeskapets prioriteringar.</w:t>
      </w:r>
    </w:p>
    <w:p w:rsidR="002F28CB" w:rsidRPr="00312685" w:rsidRDefault="002F28CB" w:rsidP="002F28CB">
      <w:pPr>
        <w:ind w:firstLine="284"/>
        <w:rPr>
          <w:szCs w:val="22"/>
        </w:rPr>
      </w:pPr>
      <w:r w:rsidRPr="00312685">
        <w:rPr>
          <w:szCs w:val="22"/>
        </w:rPr>
        <w:t>Ålands landskapsregering följer under 2017 upp det nordiska sama</w:t>
      </w:r>
      <w:r w:rsidRPr="00312685">
        <w:rPr>
          <w:szCs w:val="22"/>
        </w:rPr>
        <w:t>r</w:t>
      </w:r>
      <w:r w:rsidRPr="00312685">
        <w:rPr>
          <w:szCs w:val="22"/>
        </w:rPr>
        <w:t>betsprogrammet gällande hälsa/ohälsa genom att det åländska jämställ</w:t>
      </w:r>
      <w:r w:rsidRPr="00312685">
        <w:rPr>
          <w:szCs w:val="22"/>
        </w:rPr>
        <w:t>d</w:t>
      </w:r>
      <w:r w:rsidRPr="00312685">
        <w:rPr>
          <w:szCs w:val="22"/>
        </w:rPr>
        <w:t>hetsarbetet har hälsa, vård och jämställdhet som fokusområde under året.</w:t>
      </w:r>
    </w:p>
    <w:p w:rsidR="002F28CB" w:rsidRPr="00312685" w:rsidRDefault="002F28CB" w:rsidP="002F28CB">
      <w:pPr>
        <w:ind w:firstLine="284"/>
        <w:rPr>
          <w:szCs w:val="22"/>
        </w:rPr>
      </w:pPr>
      <w:r w:rsidRPr="00312685">
        <w:rPr>
          <w:szCs w:val="22"/>
        </w:rPr>
        <w:t>Utsatthet för våld är ett stort ohälso/folkhälsoproblem och konsekve</w:t>
      </w:r>
      <w:r w:rsidRPr="00312685">
        <w:rPr>
          <w:szCs w:val="22"/>
        </w:rPr>
        <w:t>n</w:t>
      </w:r>
      <w:r w:rsidRPr="00312685">
        <w:rPr>
          <w:szCs w:val="22"/>
        </w:rPr>
        <w:t>serna är omfattande för hela samhället.</w:t>
      </w:r>
      <w:r w:rsidR="009877DD">
        <w:rPr>
          <w:szCs w:val="22"/>
        </w:rPr>
        <w:t xml:space="preserve"> </w:t>
      </w:r>
      <w:r w:rsidRPr="00312685">
        <w:rPr>
          <w:szCs w:val="22"/>
        </w:rPr>
        <w:t>Landskapsregeringen konstaterar att Åland har en unik möjlighet till följd av sin storlek att införa nolltolerans mot våld. Landskapsregeringen kommer under året att arbeta förebyggande mot våld genom att påbörja arbetet med en förändring av normen för ma</w:t>
      </w:r>
      <w:r w:rsidRPr="00312685">
        <w:rPr>
          <w:szCs w:val="22"/>
        </w:rPr>
        <w:t>s</w:t>
      </w:r>
      <w:r w:rsidRPr="00312685">
        <w:rPr>
          <w:szCs w:val="22"/>
        </w:rPr>
        <w:t>kulinitet som ett sätt att förbättra ålänningars hälsa, skapa ett tryggare sa</w:t>
      </w:r>
      <w:r w:rsidRPr="00312685">
        <w:rPr>
          <w:szCs w:val="22"/>
        </w:rPr>
        <w:t>m</w:t>
      </w:r>
      <w:r w:rsidRPr="00312685">
        <w:rPr>
          <w:szCs w:val="22"/>
        </w:rPr>
        <w:t>hälle och ge våldsutsatta personer som lever i relationer en möjlighet att u</w:t>
      </w:r>
      <w:r w:rsidRPr="00312685">
        <w:rPr>
          <w:szCs w:val="22"/>
        </w:rPr>
        <w:t>t</w:t>
      </w:r>
      <w:r w:rsidRPr="00312685">
        <w:rPr>
          <w:szCs w:val="22"/>
        </w:rPr>
        <w:t>vecklas till fria individer.</w:t>
      </w:r>
    </w:p>
    <w:p w:rsidR="002F28CB" w:rsidRPr="00312685" w:rsidRDefault="002F28CB" w:rsidP="002F28CB">
      <w:pPr>
        <w:ind w:firstLine="284"/>
        <w:rPr>
          <w:szCs w:val="22"/>
        </w:rPr>
      </w:pPr>
      <w:r w:rsidRPr="00312685">
        <w:rPr>
          <w:szCs w:val="22"/>
        </w:rPr>
        <w:t>I landskapsregeringens målsättning att uppnå social hållbarhet är jä</w:t>
      </w:r>
      <w:r w:rsidRPr="00312685">
        <w:rPr>
          <w:szCs w:val="22"/>
        </w:rPr>
        <w:t>m</w:t>
      </w:r>
      <w:r w:rsidRPr="00312685">
        <w:rPr>
          <w:szCs w:val="22"/>
        </w:rPr>
        <w:t>ställdhet en viktig grundsten. För att uppnå detta krävs kunskap om hur könsroller formar och påverkar individer, strukturer och samhälle. Jä</w:t>
      </w:r>
      <w:r w:rsidRPr="00312685">
        <w:rPr>
          <w:szCs w:val="22"/>
        </w:rPr>
        <w:t>m</w:t>
      </w:r>
      <w:r w:rsidRPr="00312685">
        <w:rPr>
          <w:szCs w:val="22"/>
        </w:rPr>
        <w:t>ställdhetsarbete och jämställdhetsutbildning har därför stärkts gällande o</w:t>
      </w:r>
      <w:r w:rsidRPr="00312685">
        <w:rPr>
          <w:szCs w:val="22"/>
        </w:rPr>
        <w:t>m</w:t>
      </w:r>
      <w:r w:rsidRPr="00312685">
        <w:rPr>
          <w:szCs w:val="22"/>
        </w:rPr>
        <w:t>råden som berör social verksamhet, fritid, representation och våld i nära r</w:t>
      </w:r>
      <w:r w:rsidRPr="00312685">
        <w:rPr>
          <w:szCs w:val="22"/>
        </w:rPr>
        <w:t>e</w:t>
      </w:r>
      <w:r w:rsidRPr="00312685">
        <w:rPr>
          <w:szCs w:val="22"/>
        </w:rPr>
        <w:t>lationer.</w:t>
      </w:r>
    </w:p>
    <w:p w:rsidR="002F28CB" w:rsidRPr="00312685" w:rsidRDefault="002F28CB" w:rsidP="002F28CB">
      <w:pPr>
        <w:ind w:firstLine="284"/>
        <w:rPr>
          <w:szCs w:val="22"/>
        </w:rPr>
      </w:pPr>
      <w:r w:rsidRPr="00312685">
        <w:rPr>
          <w:szCs w:val="22"/>
        </w:rPr>
        <w:t>Kunskap om flickors, pojkars, kvinnors och mäns livsvillkor är föru</w:t>
      </w:r>
      <w:r w:rsidRPr="00312685">
        <w:rPr>
          <w:szCs w:val="22"/>
        </w:rPr>
        <w:t>t</w:t>
      </w:r>
      <w:r w:rsidRPr="00312685">
        <w:rPr>
          <w:szCs w:val="22"/>
        </w:rPr>
        <w:t>sättning och grund för åtgärder som på sikt motverkar och förändrar stru</w:t>
      </w:r>
      <w:r w:rsidRPr="00312685">
        <w:rPr>
          <w:szCs w:val="22"/>
        </w:rPr>
        <w:t>k</w:t>
      </w:r>
      <w:r w:rsidRPr="00312685">
        <w:rPr>
          <w:szCs w:val="22"/>
        </w:rPr>
        <w:t xml:space="preserve">turer som bidrar till ojämställdhet på samhällelig nivå. </w:t>
      </w:r>
    </w:p>
    <w:p w:rsidR="002F28CB" w:rsidRPr="00312685" w:rsidRDefault="002F28CB" w:rsidP="002F28CB">
      <w:pPr>
        <w:ind w:firstLine="284"/>
        <w:rPr>
          <w:szCs w:val="22"/>
        </w:rPr>
      </w:pPr>
      <w:r w:rsidRPr="00312685">
        <w:rPr>
          <w:szCs w:val="22"/>
        </w:rPr>
        <w:t>Landskapsregeringen har under 2016 prioriterat omfattande utbildnings- och kompetenshöjande insatser för att skapa en grundläggande förståelse för genus- och jämställdhetsfrågor. Alla som använder sig av skattefinans</w:t>
      </w:r>
      <w:r w:rsidRPr="00312685">
        <w:rPr>
          <w:szCs w:val="22"/>
        </w:rPr>
        <w:t>i</w:t>
      </w:r>
      <w:r w:rsidRPr="00312685">
        <w:rPr>
          <w:szCs w:val="22"/>
        </w:rPr>
        <w:t xml:space="preserve">erad verksamhet ska känna trygghet i att bemötande och service utformas och att resurser fördelas likvärdigt så att de svarar mot flickors/kvinnors och pojkars/mäns livsvillkor och behov. </w:t>
      </w:r>
    </w:p>
    <w:p w:rsidR="002F28CB" w:rsidRPr="00312685" w:rsidRDefault="002F28CB" w:rsidP="002F28CB">
      <w:pPr>
        <w:ind w:firstLine="284"/>
        <w:rPr>
          <w:szCs w:val="22"/>
        </w:rPr>
      </w:pPr>
      <w:r w:rsidRPr="00312685">
        <w:rPr>
          <w:szCs w:val="22"/>
        </w:rPr>
        <w:t xml:space="preserve"> Landskapsregeringen konstaterar ändå att jämställdhet eller ojämställ</w:t>
      </w:r>
      <w:r w:rsidRPr="00312685">
        <w:rPr>
          <w:szCs w:val="22"/>
        </w:rPr>
        <w:t>d</w:t>
      </w:r>
      <w:r w:rsidRPr="00312685">
        <w:rPr>
          <w:szCs w:val="22"/>
        </w:rPr>
        <w:t xml:space="preserve">het skapas där ordinarie beslut fattas, resurser fördelas och normer skapas </w:t>
      </w:r>
      <w:r w:rsidRPr="00312685">
        <w:rPr>
          <w:szCs w:val="22"/>
        </w:rPr>
        <w:lastRenderedPageBreak/>
        <w:t>och därför ska genus- och jämställdhetsperspektivet finnas med i lan</w:t>
      </w:r>
      <w:r w:rsidRPr="00312685">
        <w:rPr>
          <w:szCs w:val="22"/>
        </w:rPr>
        <w:t>d</w:t>
      </w:r>
      <w:r w:rsidRPr="00312685">
        <w:rPr>
          <w:szCs w:val="22"/>
        </w:rPr>
        <w:t>skapsregeringens dagliga arbete – från förslag till genomförande och utvä</w:t>
      </w:r>
      <w:r w:rsidRPr="00312685">
        <w:rPr>
          <w:szCs w:val="22"/>
        </w:rPr>
        <w:t>r</w:t>
      </w:r>
      <w:r w:rsidRPr="00312685">
        <w:rPr>
          <w:szCs w:val="22"/>
        </w:rPr>
        <w:t xml:space="preserve">dering. </w:t>
      </w:r>
    </w:p>
    <w:p w:rsidR="002F28CB" w:rsidRPr="00312685" w:rsidRDefault="002F28CB" w:rsidP="002F28CB">
      <w:pPr>
        <w:ind w:firstLine="284"/>
        <w:rPr>
          <w:szCs w:val="22"/>
        </w:rPr>
      </w:pPr>
      <w:r w:rsidRPr="00312685">
        <w:rPr>
          <w:szCs w:val="22"/>
        </w:rPr>
        <w:t>Landskapsregeringen fortsätter samarbetet med Nationellt Centrum för Kvinnofrid i Uppsala gällande kvinnofridslinjen och med Alternativ til Vold i Oslo gällande gruppverksamhet för förövare. Utbildning, kontinue</w:t>
      </w:r>
      <w:r w:rsidRPr="00312685">
        <w:rPr>
          <w:szCs w:val="22"/>
        </w:rPr>
        <w:t>r</w:t>
      </w:r>
      <w:r w:rsidRPr="00312685">
        <w:rPr>
          <w:szCs w:val="22"/>
        </w:rPr>
        <w:t>lig kompetensutveckling och handledning för berörda aktörer ingår i det nordiska samarbetet.</w:t>
      </w:r>
    </w:p>
    <w:p w:rsidR="002F28CB" w:rsidRPr="00312685" w:rsidRDefault="002F28CB" w:rsidP="006948CE">
      <w:pPr>
        <w:ind w:firstLine="284"/>
        <w:rPr>
          <w:szCs w:val="22"/>
        </w:rPr>
      </w:pPr>
      <w:r w:rsidRPr="00312685">
        <w:rPr>
          <w:szCs w:val="22"/>
        </w:rPr>
        <w:t>Under 2016 höll ämbetsmannakommittén för jämställdhet ett av sina tre möten på Åland.</w:t>
      </w:r>
    </w:p>
    <w:p w:rsidR="00FB0489" w:rsidRPr="00332585" w:rsidRDefault="00FB0489" w:rsidP="00FB0489">
      <w:pPr>
        <w:pStyle w:val="Rubrik3"/>
      </w:pPr>
      <w:bookmarkStart w:id="53" w:name="_Toc477423975"/>
      <w:r w:rsidRPr="00AF169A">
        <w:t>2.3.</w:t>
      </w:r>
      <w:r w:rsidRPr="004F297E">
        <w:t xml:space="preserve">9 </w:t>
      </w:r>
      <w:r w:rsidR="004F297E" w:rsidRPr="00332585">
        <w:t>I</w:t>
      </w:r>
      <w:r w:rsidRPr="00332585">
        <w:t>ntegration</w:t>
      </w:r>
      <w:bookmarkEnd w:id="53"/>
    </w:p>
    <w:p w:rsidR="00D756D0" w:rsidRPr="004F297E" w:rsidRDefault="00D756D0" w:rsidP="00D756D0">
      <w:bookmarkStart w:id="54" w:name="_Toc410897646"/>
      <w:bookmarkStart w:id="55" w:name="_Toc412452893"/>
      <w:bookmarkStart w:id="56" w:name="_Toc442442831"/>
      <w:r w:rsidRPr="00332585">
        <w:t>Under 2017 kommer arbetet med det nordiska samarbetsprogrammet om integration som antogs 2016 att fortsätta. Målsättningen är att stödja lä</w:t>
      </w:r>
      <w:r w:rsidRPr="00332585">
        <w:t>n</w:t>
      </w:r>
      <w:r w:rsidRPr="00332585">
        <w:t>dernas integrationsarbete genom utbyte av erfarenheter och skapande av ny kunskap. Nordens</w:t>
      </w:r>
      <w:r w:rsidRPr="004F297E">
        <w:t xml:space="preserve"> välfärdscenter har fått uppdraget att upprätta en idébank i samarbete med Nordregio. En kartläggning av befintlig kunskap och fors</w:t>
      </w:r>
      <w:r w:rsidRPr="004F297E">
        <w:t>k</w:t>
      </w:r>
      <w:r w:rsidRPr="004F297E">
        <w:t>ning om integration görs och kommer presenteras på en egen hemsida. Se</w:t>
      </w:r>
      <w:r w:rsidRPr="004F297E">
        <w:t>k</w:t>
      </w:r>
      <w:r w:rsidRPr="004F297E">
        <w:t>retariatet i Köpenhamn har anställt en rådgivare som inleder sitt arbete i j</w:t>
      </w:r>
      <w:r w:rsidRPr="004F297E">
        <w:t>a</w:t>
      </w:r>
      <w:r w:rsidRPr="004F297E">
        <w:t>nuari 2017.</w:t>
      </w:r>
    </w:p>
    <w:p w:rsidR="00D756D0" w:rsidRPr="004F297E" w:rsidRDefault="008C2E2C" w:rsidP="00D756D0">
      <w:r>
        <w:tab/>
      </w:r>
      <w:r w:rsidR="00D756D0" w:rsidRPr="004F297E">
        <w:t xml:space="preserve">Integrationsfrågor behandlas därutöver inom ramen för det sektoriella samarbetet. </w:t>
      </w:r>
      <w:r w:rsidR="00663BC8">
        <w:t>År 20</w:t>
      </w:r>
      <w:r w:rsidR="00603C3C">
        <w:t>1</w:t>
      </w:r>
      <w:r w:rsidR="00663BC8">
        <w:t>6 b</w:t>
      </w:r>
      <w:r w:rsidR="00D756D0" w:rsidRPr="004F297E">
        <w:t>eslöts</w:t>
      </w:r>
      <w:r w:rsidR="00663BC8">
        <w:t xml:space="preserve"> </w:t>
      </w:r>
      <w:r w:rsidR="00D756D0" w:rsidRPr="004F297E">
        <w:t>att inte tillsätta ett ad hoc ministerråd för inte</w:t>
      </w:r>
      <w:r w:rsidR="00D756D0" w:rsidRPr="004F297E">
        <w:t>g</w:t>
      </w:r>
      <w:r w:rsidR="00D756D0" w:rsidRPr="004F297E">
        <w:t xml:space="preserve">ration, utan däremot hålla informella möten med de nordiska ministrarna som ansvarar för integration. Ett första informellt möte hölls i november 2016 under det finländska ordförandeskapet och Norges ordförandeskap planerar hålla ett möte under 2017. Det norska ordförandeskapet planerar även en konferens på tema flyktingar och arbete i Oslo i juni 2017. </w:t>
      </w:r>
    </w:p>
    <w:p w:rsidR="00D756D0" w:rsidRPr="004F297E" w:rsidRDefault="00332585" w:rsidP="00D756D0">
      <w:r>
        <w:tab/>
      </w:r>
      <w:r w:rsidR="00D756D0" w:rsidRPr="004F297E">
        <w:t>Landskapsregeringen följer integrationssamarbetet på ett övergripande plan, inom ramen för de olika ministerråden samt genom representanter i vissa nordiska nätverk och projekt. Som exempel kan nämnas ö-nätverket inom Nordiskt nätverk för vuxnas lärande (NVL) som haft integration som tema 2015 och 2016. Landskapsregeringen deltar även som observatör i ett två-årigt nordiskt projekt på tema hur man kan förhindra människohandel för tvångsarbete. Att lära oss om hur man kan säkerställa schyssta arbet</w:t>
      </w:r>
      <w:r w:rsidR="00D756D0" w:rsidRPr="004F297E">
        <w:t>s</w:t>
      </w:r>
      <w:r w:rsidR="00D756D0" w:rsidRPr="004F297E">
        <w:t>villkor för inflyttad och utländsk arbetskraft är en fråga som är viktig med tanke på Ålands förhållandevis stora arbetskraftsinvandring. Projektet i</w:t>
      </w:r>
      <w:r w:rsidR="00D756D0" w:rsidRPr="004F297E">
        <w:t>n</w:t>
      </w:r>
      <w:r w:rsidR="00D756D0" w:rsidRPr="004F297E">
        <w:t xml:space="preserve">leddes i september 2016 och beräknas pågå under två år. </w:t>
      </w:r>
    </w:p>
    <w:p w:rsidR="00B46389" w:rsidRPr="003A738C" w:rsidRDefault="00B46389" w:rsidP="00B46389">
      <w:pPr>
        <w:pStyle w:val="Rubrik3"/>
        <w:numPr>
          <w:ilvl w:val="2"/>
          <w:numId w:val="4"/>
        </w:numPr>
      </w:pPr>
      <w:bookmarkStart w:id="57" w:name="_Toc477423976"/>
      <w:r w:rsidRPr="003A738C">
        <w:t>2.3.</w:t>
      </w:r>
      <w:r w:rsidR="00804770" w:rsidRPr="003A738C">
        <w:t>10</w:t>
      </w:r>
      <w:r w:rsidRPr="003A738C">
        <w:t xml:space="preserve"> Finans</w:t>
      </w:r>
      <w:bookmarkEnd w:id="54"/>
      <w:bookmarkEnd w:id="55"/>
      <w:bookmarkEnd w:id="56"/>
      <w:bookmarkEnd w:id="57"/>
    </w:p>
    <w:p w:rsidR="00203611" w:rsidRPr="003A738C" w:rsidRDefault="00203611" w:rsidP="00203611">
      <w:bookmarkStart w:id="58" w:name="_Toc410897647"/>
      <w:bookmarkStart w:id="59" w:name="_Toc412452894"/>
      <w:bookmarkStart w:id="60" w:name="_Toc442442832"/>
      <w:r w:rsidRPr="003A738C">
        <w:t>De nordiska regeringarnas samarbete inom ekonomi- och finansområdet leds av de nordiska finansministrarna, vilka utgör ministerrådet för finans. Samarbetet lägger grunden för att främja nordiska intressen internationellt samt för en mer omfattande global och nordisk ekonomisk integration. Vid ministerrådsmötena utbyts även aktuell information om den ekonomiska s</w:t>
      </w:r>
      <w:r w:rsidRPr="003A738C">
        <w:t>i</w:t>
      </w:r>
      <w:r w:rsidRPr="003A738C">
        <w:t>tuationen i respektive land och om den förda ekonomiska politiken. Därtill tas vissa gränshinderärenden och skatteavtalsfrågor upp.</w:t>
      </w:r>
    </w:p>
    <w:p w:rsidR="00203611" w:rsidRPr="003A738C" w:rsidRDefault="00203611" w:rsidP="00203611">
      <w:pPr>
        <w:ind w:firstLine="284"/>
      </w:pPr>
      <w:r w:rsidRPr="003A738C">
        <w:t>Ämbetsmannakommittén för finans har främst till uppgift att förbereda ministerrådets möten och ta ställning till olika projektansökningar. Lan</w:t>
      </w:r>
      <w:r w:rsidRPr="003A738C">
        <w:t>d</w:t>
      </w:r>
      <w:r w:rsidRPr="003A738C">
        <w:t>skapsregeringens finansavdelning kommer att stärka deltagandet i det no</w:t>
      </w:r>
      <w:r w:rsidRPr="003A738C">
        <w:t>r</w:t>
      </w:r>
      <w:r w:rsidRPr="003A738C">
        <w:t>diska finanssamarbetets ministerråd, särskilt i frågor med koppling till gränshinder med anknytning till skattegränshanteringen, initiativ till än</w:t>
      </w:r>
      <w:r w:rsidRPr="003A738C">
        <w:t>d</w:t>
      </w:r>
      <w:r w:rsidRPr="003A738C">
        <w:t xml:space="preserve">ringar av det nordiska dubbelbeskattningsavtalet eller ärenden initierade av </w:t>
      </w:r>
      <w:r w:rsidR="00663BC8">
        <w:t>Färöarna eller Grönland</w:t>
      </w:r>
      <w:r w:rsidRPr="003A738C">
        <w:t>.</w:t>
      </w:r>
    </w:p>
    <w:p w:rsidR="00B46389" w:rsidRPr="007F1488" w:rsidRDefault="00B46389" w:rsidP="00B46389">
      <w:pPr>
        <w:pStyle w:val="Rubrik3"/>
        <w:numPr>
          <w:ilvl w:val="2"/>
          <w:numId w:val="4"/>
        </w:numPr>
      </w:pPr>
      <w:bookmarkStart w:id="61" w:name="_Toc477423977"/>
      <w:r w:rsidRPr="007F1488">
        <w:lastRenderedPageBreak/>
        <w:t>2.3.1</w:t>
      </w:r>
      <w:r w:rsidR="00804770" w:rsidRPr="007F1488">
        <w:t>1</w:t>
      </w:r>
      <w:r w:rsidRPr="007F1488">
        <w:t xml:space="preserve"> Energi</w:t>
      </w:r>
      <w:bookmarkEnd w:id="58"/>
      <w:bookmarkEnd w:id="59"/>
      <w:bookmarkEnd w:id="60"/>
      <w:bookmarkEnd w:id="61"/>
    </w:p>
    <w:p w:rsidR="00AA5D0A" w:rsidRPr="007F1488" w:rsidRDefault="00AA5D0A" w:rsidP="00AA5D0A">
      <w:bookmarkStart w:id="62" w:name="_Toc410897648"/>
      <w:bookmarkStart w:id="63" w:name="_Toc412452895"/>
      <w:bookmarkStart w:id="64" w:name="_Toc442442833"/>
      <w:r w:rsidRPr="007F1488">
        <w:rPr>
          <w:bCs/>
          <w:lang w:eastAsia="sv-FI"/>
        </w:rPr>
        <w:t>Det nordiska samarbetet inom energisektorn är dynamiskt och aktivt. Under våren 2017 offentliggörs en strategisk genomlysning av den nordiska ene</w:t>
      </w:r>
      <w:r w:rsidRPr="007F1488">
        <w:rPr>
          <w:bCs/>
          <w:lang w:eastAsia="sv-FI"/>
        </w:rPr>
        <w:t>r</w:t>
      </w:r>
      <w:r w:rsidRPr="007F1488">
        <w:rPr>
          <w:bCs/>
          <w:lang w:eastAsia="sv-FI"/>
        </w:rPr>
        <w:t>gis</w:t>
      </w:r>
      <w:r w:rsidR="00830646">
        <w:rPr>
          <w:bCs/>
          <w:lang w:eastAsia="sv-FI"/>
        </w:rPr>
        <w:t>ektorn</w:t>
      </w:r>
      <w:r w:rsidR="00107A3B">
        <w:rPr>
          <w:bCs/>
          <w:lang w:eastAsia="sv-FI"/>
        </w:rPr>
        <w:t xml:space="preserve"> utförd av Jorma Ollila, som även besökt Åland i samband med </w:t>
      </w:r>
      <w:r w:rsidR="00A372C3">
        <w:rPr>
          <w:bCs/>
          <w:lang w:eastAsia="sv-FI"/>
        </w:rPr>
        <w:t>genomlysningen</w:t>
      </w:r>
      <w:r w:rsidR="00830646">
        <w:rPr>
          <w:bCs/>
          <w:lang w:eastAsia="sv-FI"/>
        </w:rPr>
        <w:t>.</w:t>
      </w:r>
      <w:r w:rsidRPr="007F1488">
        <w:rPr>
          <w:bCs/>
          <w:lang w:eastAsia="sv-FI"/>
        </w:rPr>
        <w:t xml:space="preserve"> Mot bakgrund </w:t>
      </w:r>
      <w:r w:rsidR="00663BC8">
        <w:rPr>
          <w:bCs/>
          <w:lang w:eastAsia="sv-FI"/>
        </w:rPr>
        <w:t>av</w:t>
      </w:r>
      <w:r w:rsidRPr="007F1488">
        <w:rPr>
          <w:bCs/>
          <w:lang w:eastAsia="sv-FI"/>
        </w:rPr>
        <w:t xml:space="preserve"> slutsatserna av genomlysningen fattas beslut om ett nytt samarbetsprogram för 2018-2021. I slutet av 2016 lans</w:t>
      </w:r>
      <w:r w:rsidRPr="007F1488">
        <w:rPr>
          <w:bCs/>
          <w:lang w:eastAsia="sv-FI"/>
        </w:rPr>
        <w:t>e</w:t>
      </w:r>
      <w:r w:rsidRPr="007F1488">
        <w:rPr>
          <w:bCs/>
          <w:lang w:eastAsia="sv-FI"/>
        </w:rPr>
        <w:t>rade EU-kommissionen detaljerade planer för genomfö</w:t>
      </w:r>
      <w:r w:rsidR="00663BC8">
        <w:rPr>
          <w:bCs/>
          <w:lang w:eastAsia="sv-FI"/>
        </w:rPr>
        <w:t>randet av EU:</w:t>
      </w:r>
      <w:r w:rsidRPr="007F1488">
        <w:rPr>
          <w:bCs/>
          <w:lang w:eastAsia="sv-FI"/>
        </w:rPr>
        <w:t>s energiunion, vilket ger upphov till ett betydande fortsatt nordiskt energ</w:t>
      </w:r>
      <w:r w:rsidRPr="007F1488">
        <w:rPr>
          <w:bCs/>
          <w:lang w:eastAsia="sv-FI"/>
        </w:rPr>
        <w:t>i</w:t>
      </w:r>
      <w:r w:rsidRPr="007F1488">
        <w:rPr>
          <w:bCs/>
          <w:lang w:eastAsia="sv-FI"/>
        </w:rPr>
        <w:t>samarbete inom områden som energieffektivitet, förnybar energi och e</w:t>
      </w:r>
      <w:r w:rsidRPr="007F1488">
        <w:rPr>
          <w:bCs/>
          <w:lang w:eastAsia="sv-FI"/>
        </w:rPr>
        <w:t>l</w:t>
      </w:r>
      <w:r w:rsidRPr="007F1488">
        <w:rPr>
          <w:bCs/>
          <w:lang w:eastAsia="sv-FI"/>
        </w:rPr>
        <w:t>marknaderna.</w:t>
      </w:r>
    </w:p>
    <w:p w:rsidR="00B46389" w:rsidRPr="00F01DBF" w:rsidRDefault="00B46389" w:rsidP="00B46389">
      <w:pPr>
        <w:pStyle w:val="Rubrik3"/>
        <w:numPr>
          <w:ilvl w:val="2"/>
          <w:numId w:val="4"/>
        </w:numPr>
      </w:pPr>
      <w:bookmarkStart w:id="65" w:name="_Toc477423978"/>
      <w:r w:rsidRPr="00F01DBF">
        <w:t>2.3.1</w:t>
      </w:r>
      <w:r w:rsidR="00804770" w:rsidRPr="00F01DBF">
        <w:t>2</w:t>
      </w:r>
      <w:r w:rsidRPr="00F01DBF">
        <w:t xml:space="preserve"> Miljö</w:t>
      </w:r>
      <w:bookmarkEnd w:id="62"/>
      <w:bookmarkEnd w:id="63"/>
      <w:bookmarkEnd w:id="64"/>
      <w:bookmarkEnd w:id="65"/>
    </w:p>
    <w:p w:rsidR="00D4139F" w:rsidRPr="00F01DBF" w:rsidRDefault="00D4139F" w:rsidP="00332585">
      <w:bookmarkStart w:id="66" w:name="_Toc442442834"/>
      <w:r w:rsidRPr="00F01DBF">
        <w:t>Det nordiska miljösamarbetet styrs i första hand av det nordiska miljöhan</w:t>
      </w:r>
      <w:r w:rsidRPr="00F01DBF">
        <w:t>d</w:t>
      </w:r>
      <w:r w:rsidRPr="00F01DBF">
        <w:t>lingsprogrammet 2013-2018.  Även nya aktuella frågor som är intressanta ur ett nordiskt perspektiv behandlas. För landskapsregeringen är frågor kopplade till EU-bestämmelser eller planerade nya EU-bestämmelser sä</w:t>
      </w:r>
      <w:r w:rsidRPr="00F01DBF">
        <w:t>r</w:t>
      </w:r>
      <w:r w:rsidRPr="00F01DBF">
        <w:t>skilt intressanta. Det gäller exempelvis skyddet av Östersjön och avfall</w:t>
      </w:r>
      <w:r w:rsidRPr="00F01DBF">
        <w:t>s</w:t>
      </w:r>
      <w:r w:rsidRPr="00F01DBF">
        <w:t>hantering.</w:t>
      </w:r>
      <w:r w:rsidR="00F01DBF" w:rsidRPr="00F01DBF">
        <w:t xml:space="preserve"> Arbetet utförs till stor del i</w:t>
      </w:r>
      <w:r w:rsidRPr="00F01DBF">
        <w:t xml:space="preserve"> nordiska arbetsgrupper där lan</w:t>
      </w:r>
      <w:r w:rsidRPr="00F01DBF">
        <w:t>d</w:t>
      </w:r>
      <w:r w:rsidRPr="00F01DBF">
        <w:t xml:space="preserve">skapsregeringen är aktiv eller i olika grad följer med arbetet. </w:t>
      </w:r>
    </w:p>
    <w:p w:rsidR="00D4139F" w:rsidRPr="00FA752D" w:rsidRDefault="00332585" w:rsidP="00332585">
      <w:r>
        <w:tab/>
      </w:r>
      <w:r w:rsidR="00D4139F" w:rsidRPr="00FA752D">
        <w:t>En av de grupper i vilken landskapsregeringen länge har varit aktiv är havgruppen, som arbetar med miljöfrågor kopplade till kust och hav. Havgruppen fokuserar sitt arbete på ekosystembaserad förvaltning, öve</w:t>
      </w:r>
      <w:r w:rsidR="00D4139F" w:rsidRPr="00FA752D">
        <w:t>r</w:t>
      </w:r>
      <w:r w:rsidR="00D4139F" w:rsidRPr="00FA752D">
        <w:t>gödning, farliga ämnen och biologisk mångfald. Landskapsregeringen kommer under året delta i ett projekt om värdering av ekosystemtjänster som havgruppen varit med och tagit initiativet till och kommer så långt r</w:t>
      </w:r>
      <w:r w:rsidR="00D4139F" w:rsidRPr="00FA752D">
        <w:t>e</w:t>
      </w:r>
      <w:r w:rsidR="00D4139F" w:rsidRPr="00FA752D">
        <w:t>surserna räcker följa även övrigt arbete i gruppen.</w:t>
      </w:r>
    </w:p>
    <w:p w:rsidR="00D4139F" w:rsidRPr="00FA752D" w:rsidRDefault="00332585" w:rsidP="00332585">
      <w:r>
        <w:tab/>
      </w:r>
      <w:r w:rsidR="00D4139F" w:rsidRPr="00FA752D">
        <w:t>Landskapsregeringen kommer delta i nordiska avfallsgruppens arbete för att ta fram kunskapsunderlag så att det ska finnas bra förutsättningar för att ställa om till cirkulär ekonomi samt att öka återanvändningen och för</w:t>
      </w:r>
      <w:r w:rsidR="00D4139F" w:rsidRPr="00FA752D">
        <w:t>e</w:t>
      </w:r>
      <w:r w:rsidR="00D4139F" w:rsidRPr="00FA752D">
        <w:t>bygga avfall.  Landskapsregeringen kommer även att delta i expertgrup</w:t>
      </w:r>
      <w:r w:rsidR="00FA752D" w:rsidRPr="00FA752D">
        <w:t>pen för hållbar utveckling där</w:t>
      </w:r>
      <w:r w:rsidR="00D4139F" w:rsidRPr="00FA752D">
        <w:t xml:space="preserve"> fokusområden är styrmedel för grön ekonomi, r</w:t>
      </w:r>
      <w:r w:rsidR="00D4139F" w:rsidRPr="00FA752D">
        <w:t>e</w:t>
      </w:r>
      <w:r w:rsidR="00D4139F" w:rsidRPr="00FA752D">
        <w:t>surseffektivitet och cirkulär ekonomi, samt konsumtion och hållbara livsst</w:t>
      </w:r>
      <w:r w:rsidR="00D4139F" w:rsidRPr="00FA752D">
        <w:t>i</w:t>
      </w:r>
      <w:r w:rsidR="00D4139F" w:rsidRPr="00FA752D">
        <w:t>lar.</w:t>
      </w:r>
    </w:p>
    <w:p w:rsidR="00D4139F" w:rsidRPr="008F140D" w:rsidRDefault="00332585" w:rsidP="00D4139F">
      <w:pPr>
        <w:rPr>
          <w:rFonts w:ascii="Calibri" w:hAnsi="Calibri"/>
        </w:rPr>
      </w:pPr>
      <w:r>
        <w:tab/>
      </w:r>
      <w:r w:rsidR="00D4139F" w:rsidRPr="008F140D">
        <w:t>Inom NordGen, som också arbetar under Nordiska Rådet, har Åland en nationell koordinator inom området husdjur med ansvar för den nationella strategin för Ålands del. Arbetet i NordGen handlar om bevarandet av ge</w:t>
      </w:r>
      <w:r w:rsidR="00D4139F" w:rsidRPr="008F140D">
        <w:t>n</w:t>
      </w:r>
      <w:r w:rsidR="00D4139F" w:rsidRPr="008F140D">
        <w:t>resurser med anknytning till bevarandet av den biologiska mångfalden.</w:t>
      </w:r>
    </w:p>
    <w:p w:rsidR="00B46389" w:rsidRPr="000401A7" w:rsidRDefault="00804770" w:rsidP="00B46389">
      <w:pPr>
        <w:pStyle w:val="Rubrik3"/>
        <w:numPr>
          <w:ilvl w:val="2"/>
          <w:numId w:val="4"/>
        </w:numPr>
      </w:pPr>
      <w:bookmarkStart w:id="67" w:name="_Toc477423979"/>
      <w:r w:rsidRPr="000401A7">
        <w:t>2.3.13</w:t>
      </w:r>
      <w:r w:rsidR="00B46389" w:rsidRPr="000401A7">
        <w:t xml:space="preserve"> Social- och hälsopolitik</w:t>
      </w:r>
      <w:bookmarkEnd w:id="66"/>
      <w:bookmarkEnd w:id="67"/>
    </w:p>
    <w:p w:rsidR="00C11A09" w:rsidRPr="000401A7" w:rsidRDefault="00C11A09" w:rsidP="00332585">
      <w:pPr>
        <w:rPr>
          <w:rFonts w:ascii="Calibri" w:hAnsi="Calibri"/>
        </w:rPr>
      </w:pPr>
      <w:bookmarkStart w:id="68" w:name="_Toc412452896"/>
      <w:bookmarkStart w:id="69" w:name="_Toc442442835"/>
      <w:r w:rsidRPr="00332585">
        <w:t>Det nordiska samarbetet inom social</w:t>
      </w:r>
      <w:r w:rsidR="00663BC8">
        <w:t>-</w:t>
      </w:r>
      <w:r w:rsidRPr="00332585">
        <w:t xml:space="preserve"> och hälsoområdet är baserat på g</w:t>
      </w:r>
      <w:r w:rsidRPr="00332585">
        <w:t>e</w:t>
      </w:r>
      <w:r w:rsidRPr="00332585">
        <w:t xml:space="preserve">mensamma </w:t>
      </w:r>
      <w:r w:rsidRPr="006C615E">
        <w:t>nordiska värderingar, som utgör fundamentet i den nordiska välfärdsmodellen. Landskapsregeringen kommer att fortsatt medverka i samarbetet kring funktionshinder</w:t>
      </w:r>
      <w:r w:rsidR="006C615E" w:rsidRPr="006C615E">
        <w:t xml:space="preserve">, med fokus på </w:t>
      </w:r>
      <w:r w:rsidRPr="006C615E">
        <w:t>mänskliga rättigheter, mångfald och fri rörlighet. Inom Rådet för nordiskt samarbete om funk</w:t>
      </w:r>
      <w:r w:rsidRPr="006C615E">
        <w:t>t</w:t>
      </w:r>
      <w:r w:rsidRPr="006C615E">
        <w:t>ionshinder deltar landskapsregeringen i arbetet som täcker flera olika pol</w:t>
      </w:r>
      <w:r w:rsidRPr="006C615E">
        <w:t>i</w:t>
      </w:r>
      <w:r w:rsidRPr="006C615E">
        <w:t>tikområden. I fråga om de mänskliga rättigheterna stärks arbetet med na</w:t>
      </w:r>
      <w:r w:rsidRPr="006C615E">
        <w:t>t</w:t>
      </w:r>
      <w:r w:rsidRPr="006C615E">
        <w:t>ionellt genomförande</w:t>
      </w:r>
      <w:r w:rsidRPr="00332585">
        <w:t xml:space="preserve"> och övervakning av FN:s konvention om rättigheter för personer med funktionsnedsättning.</w:t>
      </w:r>
      <w:r w:rsidR="00332585">
        <w:tab/>
      </w:r>
      <w:r w:rsidRPr="00332585">
        <w:t>Utifrån ett mångfaldsperspektiv handlar det om att stärka inkludering, främja jämlikhet och motverka di</w:t>
      </w:r>
      <w:r w:rsidRPr="00332585">
        <w:t>s</w:t>
      </w:r>
      <w:r w:rsidRPr="00332585">
        <w:t>kriminering av personer med funktionsnedsättning.  En annan viktig del är att främja fri rörlighet och avvärja gränshinder som drabbar personer med funktionsnedsättning.</w:t>
      </w:r>
    </w:p>
    <w:p w:rsidR="00C11A09" w:rsidRPr="00CC1444" w:rsidRDefault="00332585" w:rsidP="00332585">
      <w:r>
        <w:tab/>
      </w:r>
      <w:r w:rsidR="00663BC8">
        <w:t>Inom det n</w:t>
      </w:r>
      <w:r w:rsidR="00C11A09" w:rsidRPr="00CC1444">
        <w:t>ordisk</w:t>
      </w:r>
      <w:r w:rsidR="00663BC8">
        <w:t>a</w:t>
      </w:r>
      <w:r w:rsidR="00C11A09" w:rsidRPr="00CC1444">
        <w:t xml:space="preserve"> </w:t>
      </w:r>
      <w:r w:rsidR="00C11A09" w:rsidRPr="00663BC8">
        <w:t>expertnätverk</w:t>
      </w:r>
      <w:r w:rsidR="00663BC8" w:rsidRPr="00663BC8">
        <w:t>et</w:t>
      </w:r>
      <w:r w:rsidR="00C11A09" w:rsidRPr="00663BC8">
        <w:t xml:space="preserve"> för FN:s konvention om rättigheter för personer med funktionsnedsättning medverkar landskapsregeringen för att stärka </w:t>
      </w:r>
      <w:r w:rsidR="00663BC8" w:rsidRPr="00663BC8">
        <w:t xml:space="preserve">tillämpningen av FN-konventionen. Konventionen strävar till att </w:t>
      </w:r>
      <w:r w:rsidR="00C11A09" w:rsidRPr="00663BC8">
        <w:lastRenderedPageBreak/>
        <w:t>förbättra rättigheter</w:t>
      </w:r>
      <w:r w:rsidR="00663BC8" w:rsidRPr="00663BC8">
        <w:t>na</w:t>
      </w:r>
      <w:r w:rsidR="00C11A09" w:rsidRPr="00663BC8">
        <w:t xml:space="preserve"> för män och kvinnor med funktionsnedsättning samt bidra till ett mer universellt utformat samhälle. Nätverket har årliga möten och kontinuerliga kontakter.</w:t>
      </w:r>
      <w:r w:rsidR="00C11A09" w:rsidRPr="00CC1444">
        <w:t xml:space="preserve"> </w:t>
      </w:r>
    </w:p>
    <w:p w:rsidR="00C11A09" w:rsidRPr="00CC1444" w:rsidRDefault="00332585" w:rsidP="00332585">
      <w:r>
        <w:tab/>
      </w:r>
      <w:r w:rsidR="00C11A09" w:rsidRPr="00CC1444">
        <w:t xml:space="preserve">Inom den Nordiska tjänstemannagruppen </w:t>
      </w:r>
      <w:r w:rsidR="00F10D8D">
        <w:t>för</w:t>
      </w:r>
      <w:r w:rsidR="00C11A09" w:rsidRPr="00CC1444">
        <w:t xml:space="preserve"> alkoholpolitiskt samarbete ger landskapsregeringens medverkan ett mervärde genom att förändringar av det nordiska alkoholsamarbetet föreslås och i gruppen koordineras ett nordiskt perspektiv och inspel inom EU och internationellt. Arbetsgruppen samarbetar med tjänstemannagrupperna för narkotika- och tobaksfrågor.</w:t>
      </w:r>
    </w:p>
    <w:p w:rsidR="00C11A09" w:rsidRPr="00395050" w:rsidRDefault="00332585" w:rsidP="00332585">
      <w:r>
        <w:tab/>
      </w:r>
      <w:r w:rsidR="00C11A09" w:rsidRPr="00663BC8">
        <w:t>Landskapsregeringen har en representant</w:t>
      </w:r>
      <w:r w:rsidR="00C11A09" w:rsidRPr="00395050">
        <w:t xml:space="preserve"> i den s.k. Svalbardgruppen och kunnat medverka i utbytet av information kring asylsökande i nordiska lä</w:t>
      </w:r>
      <w:r w:rsidR="00C11A09" w:rsidRPr="00395050">
        <w:t>n</w:t>
      </w:r>
      <w:r w:rsidR="00C11A09" w:rsidRPr="00395050">
        <w:t>der, frågor som gäller terrorhot, tillgång till kritiska läkemedel och andra beredskapsfrågor. Svalbardgruppens uppgift är att följa upp, främja och u</w:t>
      </w:r>
      <w:r w:rsidR="00C11A09" w:rsidRPr="00395050">
        <w:t>t</w:t>
      </w:r>
      <w:r w:rsidR="00C11A09" w:rsidRPr="00395050">
        <w:t>värdera hur det nordiska hälsoberedskapsavtalet genomförs och fungerar. År 2016 har gruppen mest arbetat med sin framtidsstrategi.</w:t>
      </w:r>
    </w:p>
    <w:p w:rsidR="00C11A09" w:rsidRPr="00395050" w:rsidRDefault="00332585" w:rsidP="00332585">
      <w:r>
        <w:tab/>
      </w:r>
      <w:r w:rsidR="00C11A09" w:rsidRPr="00395050">
        <w:t>Patientrörligheten över nationsgränserna växer snabbt men i den nuv</w:t>
      </w:r>
      <w:r w:rsidR="00C11A09" w:rsidRPr="00395050">
        <w:t>a</w:t>
      </w:r>
      <w:r w:rsidR="00C11A09" w:rsidRPr="00395050">
        <w:t>rande statistikproduktionen fins det bara begränsade möjligheter att få ku</w:t>
      </w:r>
      <w:r w:rsidR="00C11A09" w:rsidRPr="00395050">
        <w:t>n</w:t>
      </w:r>
      <w:r w:rsidR="00C11A09" w:rsidRPr="00395050">
        <w:t>skap om detta fenomen. En ny grupp inom Norden, Patientrörelse i No</w:t>
      </w:r>
      <w:r w:rsidR="00C11A09" w:rsidRPr="00395050">
        <w:t>r</w:t>
      </w:r>
      <w:r w:rsidR="00C11A09" w:rsidRPr="00395050">
        <w:t xml:space="preserve">diska länder, bildades för att göra en förstudie om hur olika patientgrupper, </w:t>
      </w:r>
      <w:r w:rsidR="00C11A09" w:rsidRPr="00663BC8">
        <w:t>papperslösa m.m. får vård i Norden. Landskapsregeringen har en represe</w:t>
      </w:r>
      <w:r w:rsidR="00C11A09" w:rsidRPr="00663BC8">
        <w:t>n</w:t>
      </w:r>
      <w:r w:rsidR="00C11A09" w:rsidRPr="00663BC8">
        <w:t>tant</w:t>
      </w:r>
      <w:r w:rsidR="00C11A09" w:rsidRPr="00395050">
        <w:t xml:space="preserve"> i projektgruppen och förstudien presenteras våren 2017 för Nordiska ministerrådet.</w:t>
      </w:r>
    </w:p>
    <w:p w:rsidR="00C11A09" w:rsidRPr="00C73CB9" w:rsidRDefault="00663BC8" w:rsidP="00332585">
      <w:r>
        <w:tab/>
      </w:r>
      <w:r w:rsidR="00C11A09" w:rsidRPr="00C73CB9">
        <w:t xml:space="preserve">Landskapsregeringen har </w:t>
      </w:r>
      <w:r>
        <w:t>del</w:t>
      </w:r>
      <w:r w:rsidR="00C11A09" w:rsidRPr="00C73CB9">
        <w:t>tagit i den nygrundade Nordiska Folkhäls</w:t>
      </w:r>
      <w:r w:rsidR="00C11A09" w:rsidRPr="00C73CB9">
        <w:t>o</w:t>
      </w:r>
      <w:r w:rsidR="00C11A09" w:rsidRPr="00C73CB9">
        <w:t>arenan som skall fungera tvärsektoriellt och samverka med befintliga a</w:t>
      </w:r>
      <w:r w:rsidR="00C11A09" w:rsidRPr="00C73CB9">
        <w:t>r</w:t>
      </w:r>
      <w:r w:rsidR="00C11A09" w:rsidRPr="00C73CB9">
        <w:t>betsgrupper, nätverk, institutioner etc. på den nordiska nivån inom folkhä</w:t>
      </w:r>
      <w:r w:rsidR="00C11A09" w:rsidRPr="00C73CB9">
        <w:t>l</w:t>
      </w:r>
      <w:r w:rsidR="00C11A09" w:rsidRPr="00C73CB9">
        <w:t xml:space="preserve">soområdet. Verksamheten har börjat med sektorerna </w:t>
      </w:r>
      <w:r w:rsidRPr="00663BC8">
        <w:rPr>
          <w:i/>
        </w:rPr>
        <w:t>Ojämlikhet i hälsa</w:t>
      </w:r>
      <w:r>
        <w:t xml:space="preserve">, </w:t>
      </w:r>
      <w:r w:rsidR="00C11A09" w:rsidRPr="00663BC8">
        <w:rPr>
          <w:i/>
        </w:rPr>
        <w:t>A</w:t>
      </w:r>
      <w:r w:rsidR="00C11A09" w:rsidRPr="00663BC8">
        <w:rPr>
          <w:i/>
        </w:rPr>
        <w:t>l</w:t>
      </w:r>
      <w:r w:rsidR="00C11A09" w:rsidRPr="00663BC8">
        <w:rPr>
          <w:i/>
        </w:rPr>
        <w:t>kohol, narkotika &amp; tobak</w:t>
      </w:r>
      <w:r w:rsidR="00C11A09" w:rsidRPr="00C73CB9">
        <w:t xml:space="preserve"> samt </w:t>
      </w:r>
      <w:r w:rsidR="00C11A09" w:rsidRPr="00663BC8">
        <w:rPr>
          <w:i/>
        </w:rPr>
        <w:t>Psykisk hälsa</w:t>
      </w:r>
      <w:r w:rsidR="00C11A09" w:rsidRPr="00C73CB9">
        <w:t>.</w:t>
      </w:r>
    </w:p>
    <w:p w:rsidR="00C11A09" w:rsidRPr="00C73CB9" w:rsidRDefault="00332585" w:rsidP="00332585">
      <w:r>
        <w:tab/>
      </w:r>
      <w:r w:rsidR="00C11A09" w:rsidRPr="00C73CB9">
        <w:t>I Nordisk Medicinalstatistisk Kommit</w:t>
      </w:r>
      <w:r w:rsidR="006C615E">
        <w:t>té (Nomesko) insamlas årligen hälsosta</w:t>
      </w:r>
      <w:r w:rsidR="00C11A09" w:rsidRPr="00C73CB9">
        <w:t xml:space="preserve">tistik </w:t>
      </w:r>
      <w:r w:rsidR="006C615E">
        <w:t xml:space="preserve">från de nordiska länderna, för Ålands del </w:t>
      </w:r>
      <w:r w:rsidR="00C11A09" w:rsidRPr="00C73CB9">
        <w:t>över Ålands hälso- och sjukvårdspersonal. Gruppen ansvarar för publi</w:t>
      </w:r>
      <w:r w:rsidR="00F10D8D">
        <w:t>ceringen</w:t>
      </w:r>
      <w:r w:rsidR="00C11A09" w:rsidRPr="00C73CB9">
        <w:t xml:space="preserve"> av statistiken. Arbetet i gruppen ger möjligheten för Åland att göra jämförelser med ö</w:t>
      </w:r>
      <w:r w:rsidR="00C11A09" w:rsidRPr="00C73CB9">
        <w:t>v</w:t>
      </w:r>
      <w:r w:rsidR="00C11A09" w:rsidRPr="00C73CB9">
        <w:t>riga Norden.</w:t>
      </w:r>
    </w:p>
    <w:p w:rsidR="00C11A09" w:rsidRPr="006C615E" w:rsidRDefault="00332585" w:rsidP="00332585">
      <w:r>
        <w:tab/>
      </w:r>
      <w:r w:rsidR="00F10D8D">
        <w:t>Landskapsregeringen deltar</w:t>
      </w:r>
      <w:r w:rsidR="00C11A09" w:rsidRPr="008816C8">
        <w:t xml:space="preserve"> i </w:t>
      </w:r>
      <w:r w:rsidR="00F10D8D">
        <w:t xml:space="preserve">den </w:t>
      </w:r>
      <w:r w:rsidR="00C11A09" w:rsidRPr="008816C8">
        <w:t>nordisk</w:t>
      </w:r>
      <w:r w:rsidR="00F10D8D">
        <w:t>a</w:t>
      </w:r>
      <w:r w:rsidR="00C11A09" w:rsidRPr="008816C8">
        <w:t xml:space="preserve"> grupp</w:t>
      </w:r>
      <w:r w:rsidR="00F10D8D">
        <w:t>en</w:t>
      </w:r>
      <w:r w:rsidR="00C11A09" w:rsidRPr="008816C8">
        <w:t xml:space="preserve"> för hälsovårdspe</w:t>
      </w:r>
      <w:r w:rsidR="00C11A09" w:rsidRPr="008816C8">
        <w:t>r</w:t>
      </w:r>
      <w:r w:rsidR="00C11A09" w:rsidRPr="008816C8">
        <w:t>sonal</w:t>
      </w:r>
      <w:r w:rsidR="00F10D8D">
        <w:t>,</w:t>
      </w:r>
      <w:r w:rsidR="00C11A09" w:rsidRPr="008816C8">
        <w:t xml:space="preserve"> </w:t>
      </w:r>
      <w:r w:rsidR="00C73CB9" w:rsidRPr="008816C8">
        <w:t>den s.k. Arjeplog-</w:t>
      </w:r>
      <w:r w:rsidR="00C11A09" w:rsidRPr="008816C8">
        <w:t>gruppen. Gruppens syfte är att främja patientsäke</w:t>
      </w:r>
      <w:r w:rsidR="00C11A09" w:rsidRPr="008816C8">
        <w:t>r</w:t>
      </w:r>
      <w:r w:rsidR="00C11A09" w:rsidRPr="008816C8">
        <w:t xml:space="preserve">het och motverka onödiga gränshinder mellan de nordiska länderna. </w:t>
      </w:r>
      <w:r w:rsidR="00F10D8D">
        <w:t>Under se</w:t>
      </w:r>
      <w:r w:rsidR="00C11A09" w:rsidRPr="008816C8">
        <w:t>naste ti</w:t>
      </w:r>
      <w:r w:rsidR="00F10D8D">
        <w:t xml:space="preserve">d </w:t>
      </w:r>
      <w:r w:rsidR="00C11A09" w:rsidRPr="008816C8">
        <w:t xml:space="preserve">har gruppen </w:t>
      </w:r>
      <w:r w:rsidR="00C11A09" w:rsidRPr="00F83D2B">
        <w:t>arbetat med förnyandet av Arjeplog</w:t>
      </w:r>
      <w:r w:rsidR="00F83D2B" w:rsidRPr="00F83D2B">
        <w:t>-</w:t>
      </w:r>
      <w:r w:rsidR="00C11A09" w:rsidRPr="00F83D2B">
        <w:t>avtalet samt diskuterat implementeringen av IMI</w:t>
      </w:r>
      <w:r w:rsidR="00F83D2B" w:rsidRPr="00F83D2B">
        <w:t xml:space="preserve">-förordningen om ett </w:t>
      </w:r>
      <w:r w:rsidR="00F83D2B" w:rsidRPr="00F83D2B">
        <w:rPr>
          <w:bCs/>
        </w:rPr>
        <w:t>informationss</w:t>
      </w:r>
      <w:r w:rsidR="00F83D2B" w:rsidRPr="00F83D2B">
        <w:rPr>
          <w:bCs/>
        </w:rPr>
        <w:t>y</w:t>
      </w:r>
      <w:r w:rsidR="00F83D2B" w:rsidRPr="00F83D2B">
        <w:rPr>
          <w:bCs/>
        </w:rPr>
        <w:t>stem för EU:s inre marknad</w:t>
      </w:r>
      <w:r w:rsidR="00F10D8D" w:rsidRPr="00F83D2B">
        <w:t>, samt</w:t>
      </w:r>
      <w:r w:rsidR="00F10D8D">
        <w:t xml:space="preserve"> diskuterat ett</w:t>
      </w:r>
      <w:r w:rsidR="00C11A09" w:rsidRPr="008816C8">
        <w:t xml:space="preserve"> varni</w:t>
      </w:r>
      <w:r w:rsidR="008816C8" w:rsidRPr="008816C8">
        <w:t>ngsregist</w:t>
      </w:r>
      <w:r w:rsidR="00F10D8D">
        <w:t>e</w:t>
      </w:r>
      <w:r w:rsidR="008816C8" w:rsidRPr="008816C8">
        <w:t xml:space="preserve">r i Norden gällande </w:t>
      </w:r>
      <w:r w:rsidR="00C11A09" w:rsidRPr="008816C8">
        <w:t xml:space="preserve">hälso- och sjukvårdspersonalens behörighetsgränsningar. Gruppen följer också hur EU:s yrkeskvalifikationsdirektiv 2005/36/EG har </w:t>
      </w:r>
      <w:r w:rsidR="00F10D8D">
        <w:t>impl</w:t>
      </w:r>
      <w:r w:rsidR="00F10D8D">
        <w:t>e</w:t>
      </w:r>
      <w:r w:rsidR="00F10D8D">
        <w:t>menterats</w:t>
      </w:r>
      <w:r w:rsidR="00C11A09" w:rsidRPr="008816C8">
        <w:t xml:space="preserve"> i </w:t>
      </w:r>
      <w:r w:rsidR="00F10D8D">
        <w:t xml:space="preserve">de </w:t>
      </w:r>
      <w:r w:rsidR="00C11A09" w:rsidRPr="006C615E">
        <w:t>nordiska länderna.</w:t>
      </w:r>
    </w:p>
    <w:p w:rsidR="00C11A09" w:rsidRPr="006C615E" w:rsidRDefault="00332585" w:rsidP="00332585">
      <w:r w:rsidRPr="006C615E">
        <w:tab/>
      </w:r>
      <w:r w:rsidR="00C11A09" w:rsidRPr="006C615E">
        <w:t>Landskapsregeringen följer även arbetet i grupperna som arbetar med högspecialiserad vård, psykiatri och prioriteringar men har ingen fast me</w:t>
      </w:r>
      <w:r w:rsidR="00C11A09" w:rsidRPr="006C615E">
        <w:t>d</w:t>
      </w:r>
      <w:r w:rsidR="00C11A09" w:rsidRPr="006C615E">
        <w:t>lem i dessa grupper.</w:t>
      </w:r>
    </w:p>
    <w:p w:rsidR="00B46389" w:rsidRPr="006C615E" w:rsidRDefault="00B46389" w:rsidP="00B46389">
      <w:pPr>
        <w:pStyle w:val="Rubrik3"/>
        <w:numPr>
          <w:ilvl w:val="2"/>
          <w:numId w:val="4"/>
        </w:numPr>
      </w:pPr>
      <w:bookmarkStart w:id="70" w:name="_Toc477423980"/>
      <w:r w:rsidRPr="006C615E">
        <w:t>2.3.1</w:t>
      </w:r>
      <w:r w:rsidR="00804770" w:rsidRPr="006C615E">
        <w:t>4</w:t>
      </w:r>
      <w:r w:rsidRPr="006C615E">
        <w:t xml:space="preserve"> Informella nordiska ministermöten</w:t>
      </w:r>
      <w:bookmarkEnd w:id="68"/>
      <w:bookmarkEnd w:id="69"/>
      <w:bookmarkEnd w:id="70"/>
    </w:p>
    <w:p w:rsidR="004D1A36" w:rsidRPr="00986C79" w:rsidRDefault="004D1A36" w:rsidP="00BF1F8A">
      <w:bookmarkStart w:id="71" w:name="_Toc442442836"/>
      <w:r w:rsidRPr="006C615E">
        <w:t>Då Nordiska ministerrådet 2006 genomgick en reform där antalet ministe</w:t>
      </w:r>
      <w:r w:rsidRPr="006C615E">
        <w:t>r</w:t>
      </w:r>
      <w:r w:rsidRPr="006C615E">
        <w:t>råd minskades från 18 till 11, försvann frågor från det formella nordiska samarbetet i vilka Åland har intresse och egen behörighet. Bland dessa fr</w:t>
      </w:r>
      <w:r w:rsidRPr="006C615E">
        <w:t>å</w:t>
      </w:r>
      <w:r w:rsidRPr="006C615E">
        <w:t xml:space="preserve">gor finns ministerrådet för transport samt fackområden inom kommunal förvaltning, exempelvis byggande och boende. De nordiska transport- och </w:t>
      </w:r>
      <w:r w:rsidRPr="006948CE">
        <w:t>kommunministrarna har utanför Nordiska ministerrådets regi fortsatt sina kontakter i ett informellt samarbete. Det är landskapsregeringens uppfat</w:t>
      </w:r>
      <w:r w:rsidRPr="006948CE">
        <w:t>t</w:t>
      </w:r>
      <w:r w:rsidRPr="006948CE">
        <w:t>ning att Ålands infrastruktur- och kansliminister ska delta i dessa fackm</w:t>
      </w:r>
      <w:r w:rsidRPr="006948CE">
        <w:t>i</w:t>
      </w:r>
      <w:r w:rsidRPr="006948CE">
        <w:t xml:space="preserve">nistermöten. </w:t>
      </w:r>
      <w:r w:rsidR="006948CE" w:rsidRPr="006948CE">
        <w:t>De nordiska kommunministrarna har inbjudits till ett möte i Köpenhamn i augusti 2017, till vilket även Ålands kansli- och kommunm</w:t>
      </w:r>
      <w:r w:rsidR="006948CE" w:rsidRPr="006948CE">
        <w:t>i</w:t>
      </w:r>
      <w:r w:rsidR="006948CE" w:rsidRPr="006948CE">
        <w:t xml:space="preserve">nister inbjudits. Ålands infrastrukturminister brukar inbjudas att delta i det </w:t>
      </w:r>
      <w:r w:rsidR="006948CE" w:rsidRPr="006948CE">
        <w:lastRenderedPageBreak/>
        <w:t xml:space="preserve">årliga nordiska transportministermötet, som i år troligen ordnas i november 2017. </w:t>
      </w:r>
      <w:r w:rsidRPr="006948CE">
        <w:t>I samband med arbetet Nyt Norden 2.0 diskuteras ministerrådsstru</w:t>
      </w:r>
      <w:r w:rsidRPr="006948CE">
        <w:t>k</w:t>
      </w:r>
      <w:r w:rsidRPr="006948CE">
        <w:t>turen där det</w:t>
      </w:r>
      <w:r w:rsidRPr="006C615E">
        <w:t xml:space="preserve"> utöver ovanstående samarbeten även förts fram turismfrågor. Landskapsregeringen</w:t>
      </w:r>
      <w:r w:rsidRPr="00986C79">
        <w:t xml:space="preserve"> </w:t>
      </w:r>
      <w:r w:rsidR="00146A02">
        <w:t>understöder</w:t>
      </w:r>
      <w:r w:rsidRPr="00986C79">
        <w:t xml:space="preserve"> en sådan utveckling.</w:t>
      </w:r>
    </w:p>
    <w:bookmarkEnd w:id="71"/>
    <w:p w:rsidR="00B46389" w:rsidRPr="00833C21" w:rsidRDefault="00B46389" w:rsidP="00BF1F8A"/>
    <w:p w:rsidR="004406DE" w:rsidRPr="00A25530" w:rsidRDefault="00B46389" w:rsidP="002E41F7">
      <w:pPr>
        <w:pStyle w:val="Rubrik1"/>
        <w:numPr>
          <w:ilvl w:val="0"/>
          <w:numId w:val="0"/>
        </w:numPr>
      </w:pPr>
      <w:r>
        <w:rPr>
          <w:color w:val="C00000"/>
        </w:rPr>
        <w:br w:type="page"/>
      </w:r>
      <w:bookmarkStart w:id="72" w:name="_Toc442442837"/>
      <w:bookmarkStart w:id="73" w:name="_Toc477423981"/>
      <w:r w:rsidR="004406DE" w:rsidRPr="00711DEC">
        <w:lastRenderedPageBreak/>
        <w:t xml:space="preserve">3. </w:t>
      </w:r>
      <w:r w:rsidR="004406DE" w:rsidRPr="00A25530">
        <w:t>EU</w:t>
      </w:r>
      <w:bookmarkEnd w:id="0"/>
      <w:bookmarkEnd w:id="1"/>
      <w:bookmarkEnd w:id="72"/>
      <w:bookmarkEnd w:id="73"/>
    </w:p>
    <w:p w:rsidR="006B72A0" w:rsidRPr="00A25530" w:rsidRDefault="00F00AEF" w:rsidP="006B72A0">
      <w:r w:rsidRPr="00A25530">
        <w:t>E</w:t>
      </w:r>
      <w:r w:rsidR="006B72A0" w:rsidRPr="00A25530">
        <w:t>fter</w:t>
      </w:r>
      <w:r w:rsidRPr="00A25530">
        <w:t xml:space="preserve"> Storbritanniens folk</w:t>
      </w:r>
      <w:r w:rsidR="006B72A0" w:rsidRPr="00A25530">
        <w:t>omröstning</w:t>
      </w:r>
      <w:r w:rsidRPr="00A25530">
        <w:t xml:space="preserve"> om ett eventuellt utträde ur EU </w:t>
      </w:r>
      <w:r w:rsidR="006B72A0" w:rsidRPr="00A25530">
        <w:t xml:space="preserve">i </w:t>
      </w:r>
      <w:r w:rsidRPr="00A25530">
        <w:t>juni 2016</w:t>
      </w:r>
      <w:r w:rsidR="006B72A0" w:rsidRPr="00A25530">
        <w:t xml:space="preserve"> </w:t>
      </w:r>
      <w:r w:rsidR="00A25530" w:rsidRPr="00A25530">
        <w:t>inledde</w:t>
      </w:r>
      <w:r w:rsidR="006B72A0" w:rsidRPr="00A25530">
        <w:t xml:space="preserve"> </w:t>
      </w:r>
      <w:r w:rsidR="00E32B12">
        <w:t>stats- och regeringscheferna i Europeiska rådet</w:t>
      </w:r>
      <w:r w:rsidR="006B72A0" w:rsidRPr="00A25530">
        <w:t xml:space="preserve"> </w:t>
      </w:r>
      <w:r w:rsidR="00A25530" w:rsidRPr="00A25530">
        <w:t xml:space="preserve">ett arbete med att </w:t>
      </w:r>
      <w:r w:rsidR="006B72A0" w:rsidRPr="00A25530">
        <w:t xml:space="preserve">fundera på hur det framtida samarbetet skulle </w:t>
      </w:r>
      <w:r w:rsidR="00A25530" w:rsidRPr="00A25530">
        <w:t xml:space="preserve">kunna </w:t>
      </w:r>
      <w:r w:rsidR="006B72A0" w:rsidRPr="00A25530">
        <w:t xml:space="preserve">se ut. I september </w:t>
      </w:r>
      <w:r w:rsidR="00A25530" w:rsidRPr="00A25530">
        <w:t xml:space="preserve">2016 </w:t>
      </w:r>
      <w:r w:rsidR="006B72A0" w:rsidRPr="00A25530">
        <w:t xml:space="preserve">enades </w:t>
      </w:r>
      <w:r w:rsidR="00A25530" w:rsidRPr="00A25530">
        <w:t>E</w:t>
      </w:r>
      <w:r w:rsidR="00E32B12">
        <w:t>uropeiska rådet</w:t>
      </w:r>
      <w:r w:rsidR="006B72A0" w:rsidRPr="00A25530">
        <w:t xml:space="preserve"> om den så kallade Bratislava</w:t>
      </w:r>
      <w:r w:rsidR="00A25530" w:rsidRPr="00A25530">
        <w:t>-</w:t>
      </w:r>
      <w:r w:rsidR="006B72A0" w:rsidRPr="00A25530">
        <w:t xml:space="preserve">deklarationen </w:t>
      </w:r>
      <w:r w:rsidR="00A25530" w:rsidRPr="00A25530">
        <w:t xml:space="preserve">i vilken de </w:t>
      </w:r>
      <w:r w:rsidR="006B72A0" w:rsidRPr="00A25530">
        <w:t xml:space="preserve">viktigaste politikområden mejslades ut. Kommissionen har </w:t>
      </w:r>
      <w:r w:rsidR="00A25530" w:rsidRPr="00A25530">
        <w:t>däre</w:t>
      </w:r>
      <w:r w:rsidR="00A25530" w:rsidRPr="00A25530">
        <w:t>f</w:t>
      </w:r>
      <w:r w:rsidR="00A25530" w:rsidRPr="00A25530">
        <w:t>ter</w:t>
      </w:r>
      <w:r w:rsidR="006B72A0" w:rsidRPr="00A25530">
        <w:t xml:space="preserve"> formaliserat debatten om EU:s framtid genom att i </w:t>
      </w:r>
      <w:r w:rsidR="00A25530" w:rsidRPr="00A25530">
        <w:t xml:space="preserve">mars 2017 </w:t>
      </w:r>
      <w:r w:rsidR="006B72A0" w:rsidRPr="00A25530">
        <w:t>publicera en s</w:t>
      </w:r>
      <w:r w:rsidR="00A25530" w:rsidRPr="00A25530">
        <w:t>å kallad</w:t>
      </w:r>
      <w:r w:rsidR="006B72A0" w:rsidRPr="00A25530">
        <w:t xml:space="preserve"> vitbok, i vilken man lägger fram fem möjliga scenarier för hur unionen s</w:t>
      </w:r>
      <w:r w:rsidR="00A25530" w:rsidRPr="00A25530">
        <w:t>kulle kunna utvecklas efter Storbritanniens utträde</w:t>
      </w:r>
      <w:r w:rsidR="006B72A0" w:rsidRPr="00A25530">
        <w:t>. I vitboken tar man upp hur EU kommer att utvecklas under de närmaste tio åren. Frågor som behandlas är den nya teknikens inverkan på samhället och sysselsät</w:t>
      </w:r>
      <w:r w:rsidR="006B72A0" w:rsidRPr="00A25530">
        <w:t>t</w:t>
      </w:r>
      <w:r w:rsidR="006B72A0" w:rsidRPr="00A25530">
        <w:t xml:space="preserve">ningen, globalisering, säkerhetsfrågor och </w:t>
      </w:r>
      <w:r w:rsidR="00A25530" w:rsidRPr="00A25530">
        <w:t xml:space="preserve">den </w:t>
      </w:r>
      <w:r w:rsidR="006B72A0" w:rsidRPr="00A25530">
        <w:t>växande populism</w:t>
      </w:r>
      <w:r w:rsidR="00A25530" w:rsidRPr="00A25530">
        <w:t>en i Europa</w:t>
      </w:r>
      <w:r w:rsidR="006B72A0" w:rsidRPr="00A25530">
        <w:t>. I vitboken anges fem scenarier, som vart och ett ger en inblick i hur unionen kan se ut år 2025</w:t>
      </w:r>
      <w:r w:rsidR="00A25530" w:rsidRPr="00A25530">
        <w:t>,</w:t>
      </w:r>
      <w:r w:rsidR="006B72A0" w:rsidRPr="00A25530">
        <w:t xml:space="preserve"> beroende på vilka val </w:t>
      </w:r>
      <w:r w:rsidR="00A25530" w:rsidRPr="00A25530">
        <w:t xml:space="preserve">unionen </w:t>
      </w:r>
      <w:r w:rsidR="006B72A0" w:rsidRPr="00A25530">
        <w:t>gör. Scenar</w:t>
      </w:r>
      <w:r w:rsidR="006B72A0" w:rsidRPr="00A25530">
        <w:t>i</w:t>
      </w:r>
      <w:r w:rsidR="006B72A0" w:rsidRPr="00A25530">
        <w:t xml:space="preserve">erna utesluter inte varandra och är inte heller uttömmande. Utgångspunkten i alla scenarier är att de 27 medlemsländerna fortsätter tillsammans som en union. </w:t>
      </w:r>
    </w:p>
    <w:p w:rsidR="006B72A0" w:rsidRPr="00A25530" w:rsidRDefault="00A25530" w:rsidP="006B72A0">
      <w:pPr>
        <w:numPr>
          <w:ilvl w:val="0"/>
          <w:numId w:val="36"/>
        </w:numPr>
        <w:ind w:left="567"/>
      </w:pPr>
      <w:r w:rsidRPr="00A25530">
        <w:t>S</w:t>
      </w:r>
      <w:r w:rsidR="006B72A0" w:rsidRPr="00A25530">
        <w:t>cenario 1</w:t>
      </w:r>
      <w:r w:rsidRPr="00A25530">
        <w:t>:</w:t>
      </w:r>
      <w:r w:rsidR="006B72A0" w:rsidRPr="00A25530">
        <w:t xml:space="preserve"> EU </w:t>
      </w:r>
      <w:r w:rsidRPr="00A25530">
        <w:t xml:space="preserve">fortsätter </w:t>
      </w:r>
      <w:r w:rsidR="006B72A0" w:rsidRPr="00A25530">
        <w:t>som förut, dvs. EU27 satsar på att geno</w:t>
      </w:r>
      <w:r w:rsidR="006B72A0" w:rsidRPr="00A25530">
        <w:t>m</w:t>
      </w:r>
      <w:r w:rsidR="006B72A0" w:rsidRPr="00A25530">
        <w:t xml:space="preserve">föra sin reformagenda enligt kommissionens riktlinjer </w:t>
      </w:r>
      <w:r w:rsidRPr="00A25530">
        <w:t xml:space="preserve">från </w:t>
      </w:r>
      <w:r w:rsidR="006B72A0" w:rsidRPr="00A25530">
        <w:t xml:space="preserve">2014. </w:t>
      </w:r>
    </w:p>
    <w:p w:rsidR="006B72A0" w:rsidRPr="00A25530" w:rsidRDefault="00A25530" w:rsidP="006B72A0">
      <w:pPr>
        <w:numPr>
          <w:ilvl w:val="0"/>
          <w:numId w:val="36"/>
        </w:numPr>
        <w:ind w:left="567"/>
      </w:pPr>
      <w:r w:rsidRPr="00A25530">
        <w:t>S</w:t>
      </w:r>
      <w:r w:rsidR="006B72A0" w:rsidRPr="00A25530">
        <w:t>cenario 2</w:t>
      </w:r>
      <w:r w:rsidRPr="00A25530">
        <w:t>:</w:t>
      </w:r>
      <w:r w:rsidR="006B72A0" w:rsidRPr="00A25530">
        <w:t xml:space="preserve"> </w:t>
      </w:r>
      <w:r w:rsidRPr="00A25530">
        <w:t xml:space="preserve">Fokus </w:t>
      </w:r>
      <w:r w:rsidR="006B72A0" w:rsidRPr="00A25530">
        <w:t>skiftar gradvis till</w:t>
      </w:r>
      <w:r w:rsidRPr="00A25530">
        <w:t xml:space="preserve"> att enbart röra</w:t>
      </w:r>
      <w:r w:rsidR="006B72A0" w:rsidRPr="00A25530">
        <w:t xml:space="preserve"> den inre mar</w:t>
      </w:r>
      <w:r w:rsidR="006B72A0" w:rsidRPr="00A25530">
        <w:t>k</w:t>
      </w:r>
      <w:r w:rsidR="006B72A0" w:rsidRPr="00A25530">
        <w:t>naden då de politikområden där EU27 inte kan komma överens ökar. EU-samarbetet i frågor som gäller migration, säkerhet eller försvar, konsumentskydd, sociala frågor och normer för miljöskydd är b</w:t>
      </w:r>
      <w:r w:rsidR="006B72A0" w:rsidRPr="00A25530">
        <w:t>e</w:t>
      </w:r>
      <w:r w:rsidR="006B72A0" w:rsidRPr="00A25530">
        <w:t>gränsat.</w:t>
      </w:r>
    </w:p>
    <w:p w:rsidR="006B72A0" w:rsidRPr="00A25530" w:rsidRDefault="00A25530" w:rsidP="006B72A0">
      <w:pPr>
        <w:numPr>
          <w:ilvl w:val="0"/>
          <w:numId w:val="36"/>
        </w:numPr>
        <w:ind w:left="567"/>
      </w:pPr>
      <w:r w:rsidRPr="00A25530">
        <w:t>S</w:t>
      </w:r>
      <w:r w:rsidR="006B72A0" w:rsidRPr="00A25530">
        <w:t>cenario 3</w:t>
      </w:r>
      <w:r w:rsidRPr="00A25530">
        <w:t>:</w:t>
      </w:r>
      <w:r w:rsidR="006B72A0" w:rsidRPr="00A25530">
        <w:t xml:space="preserve"> EU27 </w:t>
      </w:r>
      <w:r w:rsidRPr="00A25530">
        <w:t xml:space="preserve">fortsätter </w:t>
      </w:r>
      <w:r w:rsidR="006B72A0" w:rsidRPr="00A25530">
        <w:t>som vanligt men låter de medlems</w:t>
      </w:r>
      <w:r w:rsidRPr="00A25530">
        <w:t>stater</w:t>
      </w:r>
      <w:r w:rsidR="006B72A0" w:rsidRPr="00A25530">
        <w:t xml:space="preserve"> som så vill göra mer tillsammans på specifika områden, så kallat fö</w:t>
      </w:r>
      <w:r w:rsidR="006B72A0" w:rsidRPr="00A25530">
        <w:t>r</w:t>
      </w:r>
      <w:r w:rsidR="006B72A0" w:rsidRPr="00A25530">
        <w:t>djupat samarbete, inom områden som försvar, inre säkerhet eller s</w:t>
      </w:r>
      <w:r w:rsidR="006B72A0" w:rsidRPr="00A25530">
        <w:t>o</w:t>
      </w:r>
      <w:r w:rsidR="006B72A0" w:rsidRPr="00A25530">
        <w:t xml:space="preserve">ciala frågor. </w:t>
      </w:r>
    </w:p>
    <w:p w:rsidR="006B72A0" w:rsidRPr="00A25530" w:rsidRDefault="00A25530" w:rsidP="006B72A0">
      <w:pPr>
        <w:numPr>
          <w:ilvl w:val="0"/>
          <w:numId w:val="36"/>
        </w:numPr>
        <w:ind w:left="567"/>
      </w:pPr>
      <w:r w:rsidRPr="00A25530">
        <w:t>S</w:t>
      </w:r>
      <w:r w:rsidR="006B72A0" w:rsidRPr="00A25530">
        <w:t>cenario 4</w:t>
      </w:r>
      <w:r w:rsidRPr="00A25530">
        <w:t>:</w:t>
      </w:r>
      <w:r w:rsidR="006B72A0" w:rsidRPr="00A25530">
        <w:t xml:space="preserve"> EU27 </w:t>
      </w:r>
      <w:r w:rsidRPr="00A25530">
        <w:t xml:space="preserve">satsar </w:t>
      </w:r>
      <w:r w:rsidR="006B72A0" w:rsidRPr="00A25530">
        <w:t>på att göra mer och göra det snabbare inom utvalda områden, och göra mindre där det inte medför något me</w:t>
      </w:r>
      <w:r w:rsidR="006B72A0" w:rsidRPr="00A25530">
        <w:t>r</w:t>
      </w:r>
      <w:r w:rsidR="006B72A0" w:rsidRPr="00A25530">
        <w:t>värde. Man inriktar sina begränsade resurser på utvalda politikomr</w:t>
      </w:r>
      <w:r w:rsidR="006B72A0" w:rsidRPr="00A25530">
        <w:t>å</w:t>
      </w:r>
      <w:r w:rsidR="006B72A0" w:rsidRPr="00A25530">
        <w:t xml:space="preserve">den. </w:t>
      </w:r>
    </w:p>
    <w:p w:rsidR="006B72A0" w:rsidRDefault="00A25530" w:rsidP="006B72A0">
      <w:pPr>
        <w:numPr>
          <w:ilvl w:val="0"/>
          <w:numId w:val="36"/>
        </w:numPr>
        <w:ind w:left="567"/>
      </w:pPr>
      <w:r w:rsidRPr="00A25530">
        <w:t>S</w:t>
      </w:r>
      <w:r w:rsidR="006B72A0" w:rsidRPr="00A25530">
        <w:t>cenario 5</w:t>
      </w:r>
      <w:r w:rsidRPr="00A25530">
        <w:t>:</w:t>
      </w:r>
      <w:r w:rsidR="006B72A0" w:rsidRPr="00A25530">
        <w:t xml:space="preserve"> </w:t>
      </w:r>
      <w:r w:rsidRPr="00A25530">
        <w:t xml:space="preserve">EU27 gör </w:t>
      </w:r>
      <w:r w:rsidR="006B72A0" w:rsidRPr="00A25530">
        <w:t>mycket mer tillsammans. Medlems</w:t>
      </w:r>
      <w:r w:rsidRPr="00A25530">
        <w:t>staterna</w:t>
      </w:r>
      <w:r w:rsidR="006B72A0" w:rsidRPr="00A25530">
        <w:t xml:space="preserve"> b</w:t>
      </w:r>
      <w:r w:rsidR="006B72A0" w:rsidRPr="00A25530">
        <w:t>e</w:t>
      </w:r>
      <w:r w:rsidR="006B72A0" w:rsidRPr="00A25530">
        <w:t>stämmer sig för att i ökad utsträckning dela befogenheter, resurser och beslutsfattande inom alla områden. Besluten fattas snabbare på EU-nivå och verkställs snabbt.</w:t>
      </w:r>
    </w:p>
    <w:p w:rsidR="00A25530" w:rsidRDefault="00A25530" w:rsidP="00A25530"/>
    <w:p w:rsidR="00A25530" w:rsidRPr="00A25530" w:rsidRDefault="00A25530" w:rsidP="00A25530">
      <w:r>
        <w:t>Vitboken</w:t>
      </w:r>
      <w:r w:rsidRPr="00A25530">
        <w:t xml:space="preserve"> ska fungera som </w:t>
      </w:r>
      <w:r>
        <w:t xml:space="preserve">ett </w:t>
      </w:r>
      <w:r w:rsidRPr="00A25530">
        <w:t xml:space="preserve">diskussionsunderlag </w:t>
      </w:r>
      <w:r>
        <w:t>vid E</w:t>
      </w:r>
      <w:r w:rsidR="00E32B12">
        <w:t xml:space="preserve">uropeiska rådets </w:t>
      </w:r>
      <w:r w:rsidRPr="00A25530">
        <w:t>toppmöt</w:t>
      </w:r>
      <w:r>
        <w:t>e</w:t>
      </w:r>
      <w:r w:rsidRPr="00A25530">
        <w:t xml:space="preserve"> i Rom den 25 mars, </w:t>
      </w:r>
      <w:r>
        <w:t>d</w:t>
      </w:r>
      <w:r w:rsidRPr="00A25530">
        <w:t>å 60</w:t>
      </w:r>
      <w:r>
        <w:t>-års jubiléet</w:t>
      </w:r>
      <w:r w:rsidRPr="00A25530">
        <w:t xml:space="preserve"> av Romfördraget</w:t>
      </w:r>
      <w:r>
        <w:t xml:space="preserve"> firas</w:t>
      </w:r>
      <w:r w:rsidRPr="00A25530">
        <w:t xml:space="preserve">. </w:t>
      </w:r>
      <w:r>
        <w:t>A</w:t>
      </w:r>
      <w:r>
        <w:t>v</w:t>
      </w:r>
      <w:r>
        <w:t>sikten</w:t>
      </w:r>
      <w:r w:rsidRPr="00A25530">
        <w:t xml:space="preserve"> är </w:t>
      </w:r>
      <w:r>
        <w:t xml:space="preserve">därefter </w:t>
      </w:r>
      <w:r w:rsidRPr="00A25530">
        <w:t xml:space="preserve">att toppmötet i december </w:t>
      </w:r>
      <w:r>
        <w:t>2017</w:t>
      </w:r>
      <w:r w:rsidRPr="00A25530">
        <w:t xml:space="preserve"> kan </w:t>
      </w:r>
      <w:r w:rsidR="00EC5757">
        <w:t>fatta</w:t>
      </w:r>
      <w:r w:rsidRPr="00A25530">
        <w:t xml:space="preserve"> ett avgörande b</w:t>
      </w:r>
      <w:r w:rsidRPr="00A25530">
        <w:t>e</w:t>
      </w:r>
      <w:r w:rsidRPr="00A25530">
        <w:t xml:space="preserve">slut </w:t>
      </w:r>
      <w:r w:rsidR="00EC5757">
        <w:t xml:space="preserve">om </w:t>
      </w:r>
      <w:r w:rsidRPr="00A25530">
        <w:t>vilket av de fem scenarierna som EU bör välja.</w:t>
      </w:r>
    </w:p>
    <w:p w:rsidR="006B72A0" w:rsidRPr="00A25530" w:rsidRDefault="006B72A0" w:rsidP="00FA2835"/>
    <w:p w:rsidR="00CF775A" w:rsidRPr="00315DD8" w:rsidRDefault="00711DEC" w:rsidP="00FA2835">
      <w:r w:rsidRPr="00A25530">
        <w:t>Den 25 oktober 2016 publicerade Europeiska kommissionen sitt arbetspr</w:t>
      </w:r>
      <w:r w:rsidRPr="00A25530">
        <w:t>o</w:t>
      </w:r>
      <w:r w:rsidRPr="00A25530">
        <w:t>gram för 2017. Det är Junckerkommissionens</w:t>
      </w:r>
      <w:r w:rsidRPr="00315DD8">
        <w:t xml:space="preserve"> tredje arbetsprogram </w:t>
      </w:r>
      <w:r w:rsidR="00AD779A" w:rsidRPr="00315DD8">
        <w:t>och i år har det rubriken ”Ett EU som skyddar, försvarar och sätter medborgarna i centrum”</w:t>
      </w:r>
      <w:r w:rsidR="007A00E5" w:rsidRPr="00315DD8">
        <w:t xml:space="preserve">. Junckerkommissionen har från början </w:t>
      </w:r>
      <w:r w:rsidR="004D5061" w:rsidRPr="00315DD8">
        <w:t xml:space="preserve">sagt att man prioriterar att satsa på de stora frågorna </w:t>
      </w:r>
      <w:r w:rsidR="001B50E0" w:rsidRPr="00315DD8">
        <w:t xml:space="preserve">och </w:t>
      </w:r>
      <w:r w:rsidR="00E505BD">
        <w:t xml:space="preserve">har </w:t>
      </w:r>
      <w:r w:rsidR="001B50E0" w:rsidRPr="00315DD8">
        <w:t>ställ</w:t>
      </w:r>
      <w:r w:rsidR="00E505BD">
        <w:t>t</w:t>
      </w:r>
      <w:r w:rsidR="001B50E0" w:rsidRPr="00315DD8">
        <w:t xml:space="preserve"> då upp tio prioriteringar i de pol</w:t>
      </w:r>
      <w:r w:rsidR="001B50E0" w:rsidRPr="00315DD8">
        <w:t>i</w:t>
      </w:r>
      <w:r w:rsidR="001B50E0" w:rsidRPr="00315DD8">
        <w:t>tiska riktlinjerna som man fokuserat på i sina arbetsprogram, så även i år.</w:t>
      </w:r>
      <w:r w:rsidR="00CF775A" w:rsidRPr="00315DD8">
        <w:t xml:space="preserve"> </w:t>
      </w:r>
    </w:p>
    <w:p w:rsidR="00CF775A" w:rsidRPr="00315DD8" w:rsidRDefault="00CF775A" w:rsidP="00FA2835"/>
    <w:p w:rsidR="00711DEC" w:rsidRPr="00315DD8" w:rsidRDefault="00CF775A" w:rsidP="00FA2835">
      <w:r w:rsidRPr="00315DD8">
        <w:t>Kommissionen fortsätter att arbeta på de tio prioriteringarna genom fö</w:t>
      </w:r>
      <w:r w:rsidRPr="00315DD8">
        <w:t>l</w:t>
      </w:r>
      <w:r w:rsidRPr="00315DD8">
        <w:t xml:space="preserve">jande 21 nya initiativ: </w:t>
      </w:r>
    </w:p>
    <w:p w:rsidR="00CF775A" w:rsidRPr="00315DD8" w:rsidRDefault="00CF775A" w:rsidP="00FA2835">
      <w:r w:rsidRPr="00315DD8">
        <w:t xml:space="preserve">1. För att stötta sysselsättningen, tillväxten och investeringarna: förslag på ett ungdomsinitiativ, en handlingsplan om den cirkulära ekonomin och en ny flerårig budgetplan. </w:t>
      </w:r>
    </w:p>
    <w:p w:rsidR="00CF775A" w:rsidRPr="00315DD8" w:rsidRDefault="00CF775A" w:rsidP="00FA2835">
      <w:r w:rsidRPr="00315DD8">
        <w:t xml:space="preserve">2. Halvårsöversyn av den digitala inre marknaden. </w:t>
      </w:r>
    </w:p>
    <w:p w:rsidR="00CF775A" w:rsidRPr="00315DD8" w:rsidRDefault="00CF775A" w:rsidP="00FA2835">
      <w:r w:rsidRPr="00315DD8">
        <w:lastRenderedPageBreak/>
        <w:t xml:space="preserve">3. Genomförande av strategin för energiunionen, arbete på utsläppssnåla fordon och rörlighet. </w:t>
      </w:r>
    </w:p>
    <w:p w:rsidR="00CF775A" w:rsidRPr="00315DD8" w:rsidRDefault="00CF775A" w:rsidP="00FA2835">
      <w:r w:rsidRPr="00315DD8">
        <w:t>4. Djupare och rättvisare inre marknad med hjälp av strategin för den inre marknaden, den europeiska rymdstrategin och handlingsplanen för kap</w:t>
      </w:r>
      <w:r w:rsidRPr="00315DD8">
        <w:t>i</w:t>
      </w:r>
      <w:r w:rsidRPr="00315DD8">
        <w:t xml:space="preserve">talmarknadsunionen samt förslag på rättvisare företagsbeskattning. </w:t>
      </w:r>
    </w:p>
    <w:p w:rsidR="00CF775A" w:rsidRPr="00315DD8" w:rsidRDefault="00CF775A" w:rsidP="00FA2835">
      <w:r w:rsidRPr="00315DD8">
        <w:t xml:space="preserve">5. Reformidéer för ett EU med 27 länder och stärkt ekonomisk och monetär union samt förslag på en europeisk pelare för sociala rättigheter. </w:t>
      </w:r>
    </w:p>
    <w:p w:rsidR="00CF775A" w:rsidRPr="00315DD8" w:rsidRDefault="00CF775A" w:rsidP="00FA2835">
      <w:r w:rsidRPr="00315DD8">
        <w:t xml:space="preserve">6. Genomförande av strategin ”Handel för alla”, fortsatta förhandlingar med EU:s handelspartner i kombination med stärkta handelspolitiska skyddsåtgärder. </w:t>
      </w:r>
    </w:p>
    <w:p w:rsidR="00CF775A" w:rsidRPr="00315DD8" w:rsidRDefault="00CF775A" w:rsidP="00FA2835">
      <w:r w:rsidRPr="00315DD8">
        <w:t>7. Fortsatt arbete på säkerhetsunionen för att bekämpa terrorism, anpas</w:t>
      </w:r>
      <w:r w:rsidRPr="00315DD8">
        <w:t>s</w:t>
      </w:r>
      <w:r w:rsidRPr="00315DD8">
        <w:t xml:space="preserve">ning av reglerna om skydd av personuppgifter och privatliv. </w:t>
      </w:r>
    </w:p>
    <w:p w:rsidR="00367ABC" w:rsidRPr="00315DD8" w:rsidRDefault="00CF775A" w:rsidP="00FA2835">
      <w:r w:rsidRPr="00315DD8">
        <w:t xml:space="preserve">8. Resultat för den europeiska migrationsagendan. </w:t>
      </w:r>
    </w:p>
    <w:p w:rsidR="00367ABC" w:rsidRPr="00315DD8" w:rsidRDefault="00CF775A" w:rsidP="00FA2835">
      <w:r w:rsidRPr="00315DD8">
        <w:t>9. För att stärka EU:s internationella roll: förslag på en europeisk försvar</w:t>
      </w:r>
      <w:r w:rsidRPr="00315DD8">
        <w:t>s</w:t>
      </w:r>
      <w:r w:rsidRPr="00315DD8">
        <w:t>handlingsplan, inklusive en europeisk försvarsfond, och kommissionens och utrikesrepresentantens antagande av en EU-strategi för Syrien och g</w:t>
      </w:r>
      <w:r w:rsidRPr="00315DD8">
        <w:t>e</w:t>
      </w:r>
      <w:r w:rsidRPr="00315DD8">
        <w:t xml:space="preserve">nomförande av den globala EU-strategin och partnerskapet Afrika–EU. </w:t>
      </w:r>
    </w:p>
    <w:p w:rsidR="00CF775A" w:rsidRPr="00315DD8" w:rsidRDefault="00CF775A" w:rsidP="00FA2835">
      <w:r w:rsidRPr="00315DD8">
        <w:t>10. Anpassning av EU-rättsakter till bestämmelserna i fördraget om deleg</w:t>
      </w:r>
      <w:r w:rsidRPr="00315DD8">
        <w:t>e</w:t>
      </w:r>
      <w:r w:rsidRPr="00315DD8">
        <w:t>rade akter och genomförandeakter och bedömning av den demokratiska l</w:t>
      </w:r>
      <w:r w:rsidRPr="00315DD8">
        <w:t>e</w:t>
      </w:r>
      <w:r w:rsidRPr="00315DD8">
        <w:t>gitimiteten hos nu gällande förfaranden för antagande av viss EU-sekun</w:t>
      </w:r>
      <w:r w:rsidR="00367ABC" w:rsidRPr="00315DD8">
        <w:t>därrätt. Slutligen kommer kommissionen</w:t>
      </w:r>
      <w:r w:rsidRPr="00315DD8">
        <w:t xml:space="preserve"> att öka ansträngningarna att genomföra EU:s lagstiftning.</w:t>
      </w:r>
    </w:p>
    <w:p w:rsidR="00711DEC" w:rsidRPr="00315DD8" w:rsidRDefault="00711DEC" w:rsidP="00FA2835"/>
    <w:p w:rsidR="00641AF5" w:rsidRPr="00315DD8" w:rsidRDefault="00641AF5" w:rsidP="00FA2835">
      <w:r w:rsidRPr="00315DD8">
        <w:t>Förutom dessa 21 centrala initiativ, föreslås i årets program även 18 nya Refit-förslag som ska förbättra kvaliteten på gällande EU-rätt och borga för att reglerna är ändamålsenliga. För att fokus säkert ska ligga på resultaten lyfter kommissionen i arbetsprogrammet fram 34 prioriterade förslag under behandling som lades fram under de senaste två åren</w:t>
      </w:r>
      <w:r w:rsidR="00346086" w:rsidRPr="00315DD8">
        <w:t xml:space="preserve"> och som kan göra märkbar skillnad i praktiken om Europaparlamentet och rådet antar dem snabbt.</w:t>
      </w:r>
    </w:p>
    <w:p w:rsidR="004406DE" w:rsidRPr="00315DD8" w:rsidRDefault="00CA465B" w:rsidP="00023C6C">
      <w:r>
        <w:tab/>
      </w:r>
      <w:r w:rsidR="004406DE" w:rsidRPr="00315DD8">
        <w:t>EU inverkar idag på de flesta områden och har ett omfattande regelverk som kontinuerligt uppdateras och utökas. Eftersom Åland har en i sa</w:t>
      </w:r>
      <w:r w:rsidR="004406DE" w:rsidRPr="00315DD8">
        <w:t>m</w:t>
      </w:r>
      <w:r w:rsidR="004406DE" w:rsidRPr="00315DD8">
        <w:t>manhanget liten förvaltning går en stor del av resurserna åt till att geno</w:t>
      </w:r>
      <w:r w:rsidR="004406DE" w:rsidRPr="00315DD8">
        <w:t>m</w:t>
      </w:r>
      <w:r w:rsidR="004406DE" w:rsidRPr="00315DD8">
        <w:t>föra det regelverk som alla EU-stater och dess lagstiftande regioner är fö</w:t>
      </w:r>
      <w:r w:rsidR="004406DE" w:rsidRPr="00315DD8">
        <w:t>r</w:t>
      </w:r>
      <w:r w:rsidR="004406DE" w:rsidRPr="00315DD8">
        <w:t xml:space="preserve">pliktigade att genomföra. </w:t>
      </w:r>
      <w:r w:rsidR="00205F9B" w:rsidRPr="00315DD8">
        <w:t>Generellt</w:t>
      </w:r>
      <w:r w:rsidR="004406DE" w:rsidRPr="00315DD8">
        <w:t xml:space="preserve"> kan sägas att speciellt två saker präglar landskapets ställning vid beredning av ny lagstiftning i EU</w:t>
      </w:r>
      <w:r w:rsidR="00205F9B" w:rsidRPr="00315DD8">
        <w:t>.</w:t>
      </w:r>
      <w:r w:rsidR="004406DE" w:rsidRPr="00315DD8">
        <w:t xml:space="preserve"> För det första är Ålands inflytande främst av indirekt natur och för det andra är lan</w:t>
      </w:r>
      <w:r w:rsidR="004406DE" w:rsidRPr="00315DD8">
        <w:t>d</w:t>
      </w:r>
      <w:r w:rsidR="004406DE" w:rsidRPr="00315DD8">
        <w:t>skapsregeringens resurser begränsade. Därför är det viktigt att det finns klara riktlinjer för vilka EU-ärenden som är viktiga för landskapet. Detta kapitel återspeglar således inte den verksamhet som idag bedrivs vid lan</w:t>
      </w:r>
      <w:r w:rsidR="004406DE" w:rsidRPr="00315DD8">
        <w:t>d</w:t>
      </w:r>
      <w:r w:rsidR="004406DE" w:rsidRPr="00315DD8">
        <w:t>skapsregeringen när det gäller EU-relaterade frågor, utan behandlar de pri</w:t>
      </w:r>
      <w:r w:rsidR="004406DE" w:rsidRPr="00315DD8">
        <w:t>o</w:t>
      </w:r>
      <w:r w:rsidR="004406DE" w:rsidRPr="00315DD8">
        <w:t>riteringar som landskapsregeringen gjort i de frågor i vilka Åland inte e</w:t>
      </w:r>
      <w:r w:rsidR="004406DE" w:rsidRPr="00315DD8">
        <w:t>n</w:t>
      </w:r>
      <w:r w:rsidR="004406DE" w:rsidRPr="00315DD8">
        <w:t>bart ska lägga resurser på att genomföra befintlig EU-lagstiftning, utan fö</w:t>
      </w:r>
      <w:r w:rsidR="004406DE" w:rsidRPr="00315DD8">
        <w:t>r</w:t>
      </w:r>
      <w:r w:rsidR="004406DE" w:rsidRPr="00315DD8">
        <w:t>söka påverka EU:s initiativ till lagstiftning.</w:t>
      </w:r>
    </w:p>
    <w:p w:rsidR="004406DE" w:rsidRPr="00315DD8" w:rsidRDefault="004406DE" w:rsidP="00023C6C">
      <w:pPr>
        <w:ind w:firstLine="284"/>
      </w:pPr>
      <w:r w:rsidRPr="00315DD8">
        <w:t>Utgående från kommissionens arbetsprogram har landskapsregeringen valt ut de initiativ som kommer att prioriteras inom landskapet under 201</w:t>
      </w:r>
      <w:r w:rsidR="00B61BD0" w:rsidRPr="00315DD8">
        <w:t>7</w:t>
      </w:r>
      <w:r w:rsidRPr="00315DD8">
        <w:t>. Alla prioriterade ärenden för 201</w:t>
      </w:r>
      <w:r w:rsidR="00020D25" w:rsidRPr="00315DD8">
        <w:t>7</w:t>
      </w:r>
      <w:r w:rsidRPr="00315DD8">
        <w:t xml:space="preserve"> är inte nya. Beredningen av en del äre</w:t>
      </w:r>
      <w:r w:rsidRPr="00315DD8">
        <w:t>n</w:t>
      </w:r>
      <w:r w:rsidRPr="00315DD8">
        <w:t xml:space="preserve">den har redan påbörjats vid EU:s institutioner, vilket innebär att även </w:t>
      </w:r>
      <w:r w:rsidR="00725FAE" w:rsidRPr="00315DD8">
        <w:t>b</w:t>
      </w:r>
      <w:r w:rsidR="00725FAE" w:rsidRPr="00315DD8">
        <w:t>e</w:t>
      </w:r>
      <w:r w:rsidR="00725FAE" w:rsidRPr="00315DD8">
        <w:t>red</w:t>
      </w:r>
      <w:r w:rsidRPr="00315DD8">
        <w:t>ningen vid landskapsregeringen av dessa ärenden är påbörjad. I kapitel 3.2 finns ett avsnitt om varje prioriterat ärende. I kapitel 3.3 sammanfattas landskapsregeringens nya prioriteringar utifrån kommissionens arbetspr</w:t>
      </w:r>
      <w:r w:rsidRPr="00315DD8">
        <w:t>o</w:t>
      </w:r>
      <w:r w:rsidRPr="00315DD8">
        <w:t>gram för 201</w:t>
      </w:r>
      <w:r w:rsidR="00020D25" w:rsidRPr="00315DD8">
        <w:t>7</w:t>
      </w:r>
      <w:r w:rsidRPr="00315DD8">
        <w:t>. I kapitel 3.4 beskrivs landskapsregeringens EU-arbete under det gångna året.</w:t>
      </w:r>
    </w:p>
    <w:p w:rsidR="004406DE" w:rsidRPr="00BF6942" w:rsidRDefault="004406DE" w:rsidP="00386441">
      <w:pPr>
        <w:pStyle w:val="Rubrik2"/>
      </w:pPr>
      <w:bookmarkStart w:id="74" w:name="_Toc410897650"/>
      <w:bookmarkStart w:id="75" w:name="_Toc412712667"/>
      <w:bookmarkStart w:id="76" w:name="_Toc442442838"/>
      <w:bookmarkStart w:id="77" w:name="_Toc477423982"/>
      <w:r w:rsidRPr="00BF6942">
        <w:lastRenderedPageBreak/>
        <w:t>3.1 Landskapets möjligheter till inflytande i EU-ärenden</w:t>
      </w:r>
      <w:bookmarkEnd w:id="74"/>
      <w:bookmarkEnd w:id="75"/>
      <w:bookmarkEnd w:id="76"/>
      <w:bookmarkEnd w:id="77"/>
    </w:p>
    <w:p w:rsidR="004406DE" w:rsidRPr="008C6731" w:rsidRDefault="004406DE" w:rsidP="00386441">
      <w:pPr>
        <w:pStyle w:val="Rubrik3"/>
      </w:pPr>
      <w:bookmarkStart w:id="78" w:name="_Toc410897651"/>
      <w:bookmarkStart w:id="79" w:name="_Toc412712668"/>
      <w:bookmarkStart w:id="80" w:name="_Toc442442839"/>
      <w:bookmarkStart w:id="81" w:name="_Toc477423983"/>
      <w:r w:rsidRPr="008C6731">
        <w:t>3.1.1 Landskapsregeringens specialrådgivare i Bryssel</w:t>
      </w:r>
      <w:bookmarkEnd w:id="78"/>
      <w:bookmarkEnd w:id="79"/>
      <w:bookmarkEnd w:id="80"/>
      <w:bookmarkEnd w:id="81"/>
    </w:p>
    <w:p w:rsidR="004406DE" w:rsidRPr="00E505BD" w:rsidRDefault="004406DE" w:rsidP="005242BE">
      <w:pPr>
        <w:rPr>
          <w:lang w:val="sv-FI"/>
        </w:rPr>
      </w:pPr>
      <w:r w:rsidRPr="008C6731">
        <w:t>Åland har en specialrådgivare vid Finlands ständiga representation vid EU. Tjänstemannen är formellt anställd av utrikesministeriet men arbetar endast för Åland och landskapsregeringen finansierar tjänsten.</w:t>
      </w:r>
      <w:r w:rsidR="006670CB" w:rsidRPr="008C6731">
        <w:t xml:space="preserve"> Tjänstemannen b</w:t>
      </w:r>
      <w:r w:rsidR="006670CB" w:rsidRPr="008C6731">
        <w:t>e</w:t>
      </w:r>
      <w:r w:rsidR="006670CB" w:rsidRPr="008C6731">
        <w:t>vakar ärenden under lagstiftningsprocessen som är av intresse för lan</w:t>
      </w:r>
      <w:r w:rsidR="006670CB" w:rsidRPr="008C6731">
        <w:t>d</w:t>
      </w:r>
      <w:r w:rsidR="006670CB" w:rsidRPr="008C6731">
        <w:t xml:space="preserve">skapsregeringen och förmedlar informationen till Åland </w:t>
      </w:r>
      <w:r w:rsidR="004F4829" w:rsidRPr="008C6731">
        <w:t>samt</w:t>
      </w:r>
      <w:r w:rsidR="00737A31" w:rsidRPr="008C6731">
        <w:t xml:space="preserve"> arbetar aktivt med att föra fram landskapets positioner till EU:s institutioner redan under </w:t>
      </w:r>
      <w:r w:rsidR="00737A31" w:rsidRPr="00E505BD">
        <w:t xml:space="preserve">beredningsperioden. Att skapa och upprätthålla nätverk med </w:t>
      </w:r>
      <w:r w:rsidR="00861FE5" w:rsidRPr="00E505BD">
        <w:t xml:space="preserve">relevant fokus </w:t>
      </w:r>
      <w:r w:rsidR="00737A31" w:rsidRPr="00E505BD">
        <w:t>för landskapet</w:t>
      </w:r>
      <w:r w:rsidR="00861FE5" w:rsidRPr="00E505BD">
        <w:t xml:space="preserve"> </w:t>
      </w:r>
      <w:r w:rsidR="00737A31" w:rsidRPr="00E505BD">
        <w:t xml:space="preserve">är även det en </w:t>
      </w:r>
      <w:r w:rsidR="00737A31" w:rsidRPr="00E505BD">
        <w:rPr>
          <w:lang w:val="sv-FI"/>
        </w:rPr>
        <w:t>viktig del av specialrådgivarens uppgifter.</w:t>
      </w:r>
      <w:r w:rsidR="002A146C" w:rsidRPr="00E505BD">
        <w:rPr>
          <w:lang w:val="sv-FI"/>
        </w:rPr>
        <w:t xml:space="preserve"> </w:t>
      </w:r>
    </w:p>
    <w:p w:rsidR="00AC2C9F" w:rsidRPr="00E505BD" w:rsidRDefault="00CA465B" w:rsidP="005242BE">
      <w:pPr>
        <w:rPr>
          <w:szCs w:val="22"/>
        </w:rPr>
      </w:pPr>
      <w:r w:rsidRPr="00E505BD">
        <w:rPr>
          <w:szCs w:val="22"/>
          <w:lang w:val="sv-FI"/>
        </w:rPr>
        <w:tab/>
      </w:r>
      <w:r w:rsidR="00AC2C9F" w:rsidRPr="00E505BD">
        <w:rPr>
          <w:szCs w:val="22"/>
          <w:lang w:val="sv-FI"/>
        </w:rPr>
        <w:t xml:space="preserve">Under 2016 har specialrådgivaren fört fram landskapets positioner i en rad för Åland viktiga ärenden, </w:t>
      </w:r>
      <w:r w:rsidR="00E505BD" w:rsidRPr="00E505BD">
        <w:rPr>
          <w:szCs w:val="22"/>
          <w:lang w:val="sv-FI"/>
        </w:rPr>
        <w:t>t.ex</w:t>
      </w:r>
      <w:r w:rsidR="00AC2C9F" w:rsidRPr="00E505BD">
        <w:rPr>
          <w:szCs w:val="22"/>
          <w:lang w:val="sv-FI"/>
        </w:rPr>
        <w:t xml:space="preserve">. </w:t>
      </w:r>
      <w:r w:rsidR="00E505BD" w:rsidRPr="00E505BD">
        <w:rPr>
          <w:szCs w:val="22"/>
          <w:lang w:val="sv-FI"/>
        </w:rPr>
        <w:t xml:space="preserve">vad gäller </w:t>
      </w:r>
      <w:r w:rsidR="00AC2C9F" w:rsidRPr="00E505BD">
        <w:rPr>
          <w:szCs w:val="22"/>
          <w:lang w:val="sv-FI"/>
        </w:rPr>
        <w:t>upphovsrättsreformen</w:t>
      </w:r>
      <w:r w:rsidR="002A146C" w:rsidRPr="00E505BD">
        <w:rPr>
          <w:szCs w:val="22"/>
          <w:lang w:val="sv-FI"/>
        </w:rPr>
        <w:t>.</w:t>
      </w:r>
      <w:r w:rsidR="00AC2C9F" w:rsidRPr="00E505BD">
        <w:rPr>
          <w:szCs w:val="22"/>
          <w:lang w:val="sv-FI"/>
        </w:rPr>
        <w:t xml:space="preserve"> </w:t>
      </w:r>
      <w:r w:rsidR="002A146C" w:rsidRPr="00E505BD">
        <w:rPr>
          <w:szCs w:val="22"/>
          <w:lang w:val="sv-FI"/>
        </w:rPr>
        <w:t>Sp</w:t>
      </w:r>
      <w:r w:rsidR="002A146C" w:rsidRPr="00E505BD">
        <w:rPr>
          <w:szCs w:val="22"/>
          <w:lang w:val="sv-FI"/>
        </w:rPr>
        <w:t>e</w:t>
      </w:r>
      <w:r w:rsidR="002A146C" w:rsidRPr="00E505BD">
        <w:rPr>
          <w:szCs w:val="22"/>
          <w:lang w:val="sv-FI"/>
        </w:rPr>
        <w:t xml:space="preserve">cialrådgivaren har även </w:t>
      </w:r>
      <w:r w:rsidR="00E505BD" w:rsidRPr="00E505BD">
        <w:rPr>
          <w:szCs w:val="22"/>
          <w:lang w:val="sv-FI"/>
        </w:rPr>
        <w:t xml:space="preserve">strävat till att </w:t>
      </w:r>
      <w:r w:rsidR="002A146C" w:rsidRPr="00E505BD">
        <w:rPr>
          <w:szCs w:val="22"/>
          <w:lang w:val="sv-FI"/>
        </w:rPr>
        <w:t>informera</w:t>
      </w:r>
      <w:r w:rsidR="00E505BD" w:rsidRPr="00E505BD">
        <w:rPr>
          <w:szCs w:val="22"/>
          <w:lang w:val="sv-FI"/>
        </w:rPr>
        <w:t xml:space="preserve"> allmänheten om pågående lagstiftningsprocesser, dels genom att anordna</w:t>
      </w:r>
      <w:r w:rsidR="002A146C" w:rsidRPr="00E505BD">
        <w:rPr>
          <w:szCs w:val="22"/>
          <w:lang w:val="sv-FI"/>
        </w:rPr>
        <w:t xml:space="preserve"> pressfrukost </w:t>
      </w:r>
      <w:r w:rsidR="00E505BD" w:rsidRPr="00E505BD">
        <w:rPr>
          <w:szCs w:val="22"/>
          <w:lang w:val="sv-FI"/>
        </w:rPr>
        <w:t xml:space="preserve">för lokal media </w:t>
      </w:r>
      <w:r w:rsidR="002A146C" w:rsidRPr="00E505BD">
        <w:rPr>
          <w:szCs w:val="22"/>
          <w:lang w:val="sv-FI"/>
        </w:rPr>
        <w:t xml:space="preserve">vid varje Ålandsbesök </w:t>
      </w:r>
      <w:r w:rsidR="00E505BD" w:rsidRPr="00E505BD">
        <w:rPr>
          <w:szCs w:val="22"/>
          <w:lang w:val="sv-FI"/>
        </w:rPr>
        <w:t xml:space="preserve">och dels </w:t>
      </w:r>
      <w:r w:rsidR="002A146C" w:rsidRPr="00E505BD">
        <w:rPr>
          <w:szCs w:val="22"/>
          <w:lang w:val="sv-FI"/>
        </w:rPr>
        <w:t xml:space="preserve">genom </w:t>
      </w:r>
      <w:r w:rsidR="00E505BD" w:rsidRPr="00E505BD">
        <w:rPr>
          <w:szCs w:val="22"/>
          <w:lang w:val="sv-FI"/>
        </w:rPr>
        <w:t xml:space="preserve">att sammanställa </w:t>
      </w:r>
      <w:r w:rsidR="002A146C" w:rsidRPr="00E505BD">
        <w:rPr>
          <w:szCs w:val="22"/>
          <w:lang w:val="sv-FI"/>
        </w:rPr>
        <w:t>månatliga nyhet</w:t>
      </w:r>
      <w:r w:rsidR="002A146C" w:rsidRPr="00E505BD">
        <w:rPr>
          <w:szCs w:val="22"/>
          <w:lang w:val="sv-FI"/>
        </w:rPr>
        <w:t>s</w:t>
      </w:r>
      <w:r w:rsidR="002A146C" w:rsidRPr="00E505BD">
        <w:rPr>
          <w:szCs w:val="22"/>
          <w:lang w:val="sv-FI"/>
        </w:rPr>
        <w:t>brev</w:t>
      </w:r>
      <w:r w:rsidR="00E505BD" w:rsidRPr="00E505BD">
        <w:rPr>
          <w:szCs w:val="22"/>
          <w:lang w:val="sv-FI"/>
        </w:rPr>
        <w:t>.</w:t>
      </w:r>
    </w:p>
    <w:p w:rsidR="004406DE" w:rsidRPr="00E505BD" w:rsidRDefault="004406DE" w:rsidP="004406DE">
      <w:pPr>
        <w:pStyle w:val="Rubrik3"/>
      </w:pPr>
      <w:bookmarkStart w:id="82" w:name="_Toc410897652"/>
      <w:bookmarkStart w:id="83" w:name="_Toc412712669"/>
      <w:bookmarkStart w:id="84" w:name="_Toc442442840"/>
      <w:bookmarkStart w:id="85" w:name="_Toc477423984"/>
      <w:r w:rsidRPr="00E505BD">
        <w:t>3.1.2 Nationell expert vid kommissionen</w:t>
      </w:r>
      <w:bookmarkEnd w:id="82"/>
      <w:bookmarkEnd w:id="83"/>
      <w:bookmarkEnd w:id="84"/>
      <w:bookmarkEnd w:id="85"/>
    </w:p>
    <w:p w:rsidR="00CF3D5A" w:rsidRPr="00CF3D5A" w:rsidRDefault="00CF3D5A" w:rsidP="00CF3D5A">
      <w:pPr>
        <w:rPr>
          <w:szCs w:val="22"/>
          <w:lang w:eastAsia="sv-FI"/>
        </w:rPr>
      </w:pPr>
      <w:r w:rsidRPr="00CF3D5A">
        <w:rPr>
          <w:szCs w:val="22"/>
          <w:lang w:eastAsia="sv-FI"/>
        </w:rPr>
        <w:t>Landskapsregeringen strävar efter att upprätthålla goda kontakter med kommissionen. En nationell expert är formellt anställd vid någon av ko</w:t>
      </w:r>
      <w:r w:rsidRPr="00CF3D5A">
        <w:rPr>
          <w:szCs w:val="22"/>
          <w:lang w:eastAsia="sv-FI"/>
        </w:rPr>
        <w:t>m</w:t>
      </w:r>
      <w:r w:rsidRPr="00CF3D5A">
        <w:rPr>
          <w:szCs w:val="22"/>
          <w:lang w:eastAsia="sv-FI"/>
        </w:rPr>
        <w:t>missionens enheter och fullför sina arbetsuppgifter där. Samtidigt behåller tjänstemannen en nära kontakt med sin hemmaförvaltning, det vill säga landskapsregeringen. I dessa kontakter kan tjänstemannen informera om kommande lagstiftning, stödordningar, överträdelseförfaranden samt vä</w:t>
      </w:r>
      <w:r w:rsidRPr="00CF3D5A">
        <w:rPr>
          <w:szCs w:val="22"/>
          <w:lang w:eastAsia="sv-FI"/>
        </w:rPr>
        <w:t>g</w:t>
      </w:r>
      <w:r w:rsidRPr="00CF3D5A">
        <w:rPr>
          <w:szCs w:val="22"/>
          <w:lang w:eastAsia="sv-FI"/>
        </w:rPr>
        <w:t>leda förvaltningen i genomförandet av direktiv och förordningar. Den u</w:t>
      </w:r>
      <w:r w:rsidRPr="00CF3D5A">
        <w:rPr>
          <w:szCs w:val="22"/>
          <w:lang w:eastAsia="sv-FI"/>
        </w:rPr>
        <w:t>t</w:t>
      </w:r>
      <w:r w:rsidRPr="00CF3D5A">
        <w:rPr>
          <w:szCs w:val="22"/>
          <w:lang w:eastAsia="sv-FI"/>
        </w:rPr>
        <w:t>sända tjänstemannen ska även informera tjänstemän vid kommissionen om den rådande situationen i landskapet. Det generella syftet med en nationell expert är att knyta EU:s institutioner närmare medlemsstaternas myndi</w:t>
      </w:r>
      <w:r w:rsidRPr="00CF3D5A">
        <w:rPr>
          <w:szCs w:val="22"/>
          <w:lang w:eastAsia="sv-FI"/>
        </w:rPr>
        <w:t>g</w:t>
      </w:r>
      <w:r w:rsidRPr="00CF3D5A">
        <w:rPr>
          <w:szCs w:val="22"/>
          <w:lang w:eastAsia="sv-FI"/>
        </w:rPr>
        <w:t>heter.</w:t>
      </w:r>
    </w:p>
    <w:p w:rsidR="00CF3D5A" w:rsidRPr="00CF3D5A" w:rsidRDefault="00CF3D5A" w:rsidP="00CF3D5A">
      <w:pPr>
        <w:ind w:firstLine="284"/>
        <w:rPr>
          <w:szCs w:val="22"/>
          <w:lang w:val="sv-FI" w:eastAsia="sv-FI"/>
        </w:rPr>
      </w:pPr>
      <w:r w:rsidRPr="00CF3D5A">
        <w:rPr>
          <w:szCs w:val="22"/>
          <w:lang w:eastAsia="sv-FI"/>
        </w:rPr>
        <w:t>En tjänsteman från landskapsregeringen tjänstgjorde som nationell e</w:t>
      </w:r>
      <w:r w:rsidRPr="00CF3D5A">
        <w:rPr>
          <w:szCs w:val="22"/>
          <w:lang w:eastAsia="sv-FI"/>
        </w:rPr>
        <w:t>x</w:t>
      </w:r>
      <w:r w:rsidRPr="00CF3D5A">
        <w:rPr>
          <w:szCs w:val="22"/>
          <w:lang w:eastAsia="sv-FI"/>
        </w:rPr>
        <w:t xml:space="preserve">pert vid kommissionens generaldirektorat för miljö (DG ENV), unit D.1 – Enforcement, Cohesion Policy and European Semester – Cluster 1 under knappt två år och återkom i tjänst vid landskapsregeringens miljöbyrå i juni 2016. Tjänstemannen har informerat om arbetet </w:t>
      </w:r>
      <w:r w:rsidR="00607B83">
        <w:rPr>
          <w:szCs w:val="22"/>
          <w:lang w:eastAsia="sv-FI"/>
        </w:rPr>
        <w:t>vid</w:t>
      </w:r>
      <w:r w:rsidRPr="00CF3D5A">
        <w:rPr>
          <w:szCs w:val="22"/>
          <w:lang w:eastAsia="sv-FI"/>
        </w:rPr>
        <w:t xml:space="preserve"> kommissionen och även delat med sig av sina erfarenheter i handläggningen av olika EU-ärenden.</w:t>
      </w:r>
    </w:p>
    <w:p w:rsidR="004406DE" w:rsidRPr="005C24F9" w:rsidRDefault="004406DE" w:rsidP="004406DE">
      <w:pPr>
        <w:pStyle w:val="Rubrik3"/>
      </w:pPr>
      <w:bookmarkStart w:id="86" w:name="_Toc410897653"/>
      <w:bookmarkStart w:id="87" w:name="_Toc412712670"/>
      <w:bookmarkStart w:id="88" w:name="_Toc442442841"/>
      <w:bookmarkStart w:id="89" w:name="_Toc477423985"/>
      <w:r w:rsidRPr="005C24F9">
        <w:t>3.1.3 Samarbete med Europaparlamentariker</w:t>
      </w:r>
      <w:bookmarkEnd w:id="86"/>
      <w:bookmarkEnd w:id="87"/>
      <w:bookmarkEnd w:id="88"/>
      <w:bookmarkEnd w:id="89"/>
      <w:r w:rsidRPr="005C24F9">
        <w:t xml:space="preserve"> </w:t>
      </w:r>
    </w:p>
    <w:p w:rsidR="004406DE" w:rsidRPr="005C24F9" w:rsidRDefault="004406DE" w:rsidP="005242BE">
      <w:r w:rsidRPr="005C24F9">
        <w:t>Europaparlamentet har idag lagstiftningsmakt som omfattar en majoritet av de områden som ingår i EU:s lagstiftningsbehörighet. Parlamentet kontro</w:t>
      </w:r>
      <w:r w:rsidRPr="005C24F9">
        <w:t>l</w:t>
      </w:r>
      <w:r w:rsidRPr="005C24F9">
        <w:t xml:space="preserve">lerar även EU:s budget och godkänner kommissionen. Dessutom krävs Europaparlamentets godkännande för en mängd internationella avtal som förhandlats fram av unionen, till exempel inom internationell handel. </w:t>
      </w:r>
    </w:p>
    <w:p w:rsidR="004406DE" w:rsidRPr="005C24F9" w:rsidRDefault="004406DE" w:rsidP="00023C6C">
      <w:pPr>
        <w:ind w:firstLine="284"/>
      </w:pPr>
      <w:r w:rsidRPr="005C24F9">
        <w:t>Landskapsregeringen har under en längre tid samarbetat med flera parlamentariker och partigrupper. Genom att föra en dialog med parlame</w:t>
      </w:r>
      <w:r w:rsidRPr="005C24F9">
        <w:t>n</w:t>
      </w:r>
      <w:r w:rsidRPr="005C24F9">
        <w:t>tariker</w:t>
      </w:r>
      <w:r w:rsidR="008B3251" w:rsidRPr="005C24F9">
        <w:t>na</w:t>
      </w:r>
      <w:r w:rsidRPr="005C24F9">
        <w:t xml:space="preserve"> har landskapsregeringen haft möjlighet att påverka den politiska processen inom EU till förmån för landskapets intressen. </w:t>
      </w:r>
    </w:p>
    <w:p w:rsidR="004406DE" w:rsidRPr="00545C91" w:rsidRDefault="004406DE" w:rsidP="00023C6C">
      <w:pPr>
        <w:ind w:firstLine="284"/>
      </w:pPr>
      <w:r w:rsidRPr="005C24F9">
        <w:t>Landskapsregeringen har ett väl inarbetat nätverk och goda ko</w:t>
      </w:r>
      <w:r w:rsidR="00261EAD" w:rsidRPr="005C24F9">
        <w:t xml:space="preserve">ntakter med Europaparlamentet, och </w:t>
      </w:r>
      <w:r w:rsidRPr="005C24F9">
        <w:t xml:space="preserve">samarbetar med såväl finländska </w:t>
      </w:r>
      <w:r w:rsidR="008B3251" w:rsidRPr="005C24F9">
        <w:t>parlament</w:t>
      </w:r>
      <w:r w:rsidR="008B3251" w:rsidRPr="005C24F9">
        <w:t>a</w:t>
      </w:r>
      <w:r w:rsidR="008B3251" w:rsidRPr="005C24F9">
        <w:t>riker som</w:t>
      </w:r>
      <w:r w:rsidR="00C746E0" w:rsidRPr="005C24F9">
        <w:t xml:space="preserve"> med</w:t>
      </w:r>
      <w:r w:rsidR="008B3251" w:rsidRPr="005C24F9">
        <w:t xml:space="preserve"> parlamentariker</w:t>
      </w:r>
      <w:r w:rsidRPr="005C24F9">
        <w:t xml:space="preserve"> från andra medlemsstater, beroende </w:t>
      </w:r>
      <w:r w:rsidR="00C746E0" w:rsidRPr="005C24F9">
        <w:t>på</w:t>
      </w:r>
      <w:r w:rsidRPr="005C24F9">
        <w:t xml:space="preserve"> vilka ärenden som är på agendan. Landskapsregeringen framför fortlöpande ställningstagande</w:t>
      </w:r>
      <w:r w:rsidR="00261EAD" w:rsidRPr="005C24F9">
        <w:t>n</w:t>
      </w:r>
      <w:r w:rsidRPr="005C24F9">
        <w:t xml:space="preserve"> i </w:t>
      </w:r>
      <w:r w:rsidRPr="00545C91">
        <w:t>olika frågor till dessa kontakter.</w:t>
      </w:r>
    </w:p>
    <w:p w:rsidR="004406DE" w:rsidRPr="00545C91" w:rsidRDefault="004406DE" w:rsidP="00023C6C">
      <w:pPr>
        <w:ind w:firstLine="284"/>
      </w:pPr>
      <w:r w:rsidRPr="00545C91">
        <w:lastRenderedPageBreak/>
        <w:t>Landskapsregeringen ämnar under det kommande året fortsätta sama</w:t>
      </w:r>
      <w:r w:rsidRPr="00545C91">
        <w:t>r</w:t>
      </w:r>
      <w:r w:rsidRPr="00545C91">
        <w:t xml:space="preserve">betet med relevanta Europaparlamentariker. </w:t>
      </w:r>
    </w:p>
    <w:p w:rsidR="004406DE" w:rsidRPr="001903AA" w:rsidRDefault="004406DE" w:rsidP="004406DE">
      <w:pPr>
        <w:pStyle w:val="Rubrik3"/>
        <w:rPr>
          <w:rFonts w:cs="Times New Roman"/>
        </w:rPr>
      </w:pPr>
      <w:bookmarkStart w:id="90" w:name="_Toc410897654"/>
      <w:bookmarkStart w:id="91" w:name="_Toc412712671"/>
      <w:bookmarkStart w:id="92" w:name="_Toc442442842"/>
      <w:bookmarkStart w:id="93" w:name="_Toc477423986"/>
      <w:r w:rsidRPr="001903AA">
        <w:rPr>
          <w:rFonts w:cs="Times New Roman"/>
        </w:rPr>
        <w:t>3.1.4 Regionkommittén</w:t>
      </w:r>
      <w:bookmarkEnd w:id="90"/>
      <w:bookmarkEnd w:id="91"/>
      <w:bookmarkEnd w:id="92"/>
      <w:bookmarkEnd w:id="93"/>
    </w:p>
    <w:p w:rsidR="00CA465B" w:rsidRDefault="009A7F6F" w:rsidP="009A7F6F">
      <w:pPr>
        <w:rPr>
          <w:szCs w:val="20"/>
        </w:rPr>
      </w:pPr>
      <w:bookmarkStart w:id="94" w:name="_Toc410897655"/>
      <w:bookmarkStart w:id="95" w:name="_Toc412712672"/>
      <w:bookmarkStart w:id="96" w:name="_Toc442442843"/>
      <w:r w:rsidRPr="001903AA">
        <w:rPr>
          <w:szCs w:val="20"/>
        </w:rPr>
        <w:t>Finland har nio platser i regionkommittén varav en plats enligt självstyre</w:t>
      </w:r>
      <w:r w:rsidRPr="001903AA">
        <w:rPr>
          <w:szCs w:val="20"/>
        </w:rPr>
        <w:t>l</w:t>
      </w:r>
      <w:r w:rsidRPr="001903AA">
        <w:rPr>
          <w:szCs w:val="20"/>
        </w:rPr>
        <w:t>selagen tillsätts av Åland. Åland har i regionkommittén bland annat mö</w:t>
      </w:r>
      <w:r w:rsidRPr="001903AA">
        <w:rPr>
          <w:szCs w:val="20"/>
        </w:rPr>
        <w:t>j</w:t>
      </w:r>
      <w:r w:rsidRPr="001903AA">
        <w:rPr>
          <w:szCs w:val="20"/>
        </w:rPr>
        <w:t>lighet att påverka de utlåtanden som regionkommittén avger. Den kontak</w:t>
      </w:r>
      <w:r w:rsidRPr="001903AA">
        <w:rPr>
          <w:szCs w:val="20"/>
        </w:rPr>
        <w:t>t</w:t>
      </w:r>
      <w:r w:rsidRPr="001903AA">
        <w:rPr>
          <w:szCs w:val="20"/>
        </w:rPr>
        <w:t xml:space="preserve">skapande verksamheten med andra regioner och lokala samfund från EU-staterna är viktig i </w:t>
      </w:r>
      <w:r w:rsidR="00DE75B0">
        <w:rPr>
          <w:szCs w:val="20"/>
        </w:rPr>
        <w:t>syfte</w:t>
      </w:r>
      <w:r w:rsidRPr="001903AA">
        <w:rPr>
          <w:szCs w:val="20"/>
        </w:rPr>
        <w:t xml:space="preserve"> att skapa nätverk och allianser för att driva frågor som är av betydelse för Åland.</w:t>
      </w:r>
      <w:r w:rsidRPr="001903AA">
        <w:rPr>
          <w:szCs w:val="20"/>
        </w:rPr>
        <w:br/>
      </w:r>
      <w:r w:rsidR="00E505BD">
        <w:rPr>
          <w:szCs w:val="20"/>
        </w:rPr>
        <w:tab/>
      </w:r>
      <w:r w:rsidRPr="001903AA">
        <w:rPr>
          <w:szCs w:val="20"/>
        </w:rPr>
        <w:t>Den åländska ledamoten såväl som suppleanten deltar vid plenar- och arbetsutskottsmöten och f</w:t>
      </w:r>
      <w:r w:rsidR="00DE75B0">
        <w:rPr>
          <w:szCs w:val="20"/>
        </w:rPr>
        <w:t>år på det sättet goda insikter i</w:t>
      </w:r>
      <w:r w:rsidRPr="001903AA">
        <w:rPr>
          <w:szCs w:val="20"/>
        </w:rPr>
        <w:t xml:space="preserve"> vilka frågor som är aktuella i EU-sammanhang. V</w:t>
      </w:r>
      <w:r w:rsidR="00545C91" w:rsidRPr="001903AA">
        <w:rPr>
          <w:szCs w:val="20"/>
        </w:rPr>
        <w:t xml:space="preserve">arje plenum inleds med att en kommissionär eller parlamentsledamot informerar om </w:t>
      </w:r>
      <w:r w:rsidR="00DE75B0">
        <w:rPr>
          <w:szCs w:val="20"/>
        </w:rPr>
        <w:t>ett</w:t>
      </w:r>
      <w:r w:rsidR="00545C91" w:rsidRPr="001903AA">
        <w:rPr>
          <w:szCs w:val="20"/>
        </w:rPr>
        <w:t xml:space="preserve"> aktuellt område. Vid den efte</w:t>
      </w:r>
      <w:r w:rsidR="00545C91" w:rsidRPr="001903AA">
        <w:rPr>
          <w:szCs w:val="20"/>
        </w:rPr>
        <w:t>r</w:t>
      </w:r>
      <w:r w:rsidR="00545C91" w:rsidRPr="001903AA">
        <w:rPr>
          <w:szCs w:val="20"/>
        </w:rPr>
        <w:t xml:space="preserve">följande debatten har den åländska ledamoten ofta tagit tillfället i akt och informerat om på vilket sätt det aktuella ärendet eller förslaget till direktiv kan komma att få följder </w:t>
      </w:r>
      <w:r w:rsidR="00DE75B0">
        <w:rPr>
          <w:szCs w:val="20"/>
        </w:rPr>
        <w:t>för</w:t>
      </w:r>
      <w:r w:rsidR="00545C91" w:rsidRPr="001903AA">
        <w:rPr>
          <w:szCs w:val="20"/>
        </w:rPr>
        <w:t xml:space="preserve"> Åland. Exempel på det är upphovsrättsfrågor och möjligheten för Åland att få</w:t>
      </w:r>
      <w:r w:rsidR="00DE75B0">
        <w:rPr>
          <w:szCs w:val="20"/>
        </w:rPr>
        <w:t xml:space="preserve"> en</w:t>
      </w:r>
      <w:r w:rsidR="00545C91" w:rsidRPr="001903AA">
        <w:rPr>
          <w:szCs w:val="20"/>
        </w:rPr>
        <w:t xml:space="preserve"> egen parlamentsplats vid e</w:t>
      </w:r>
      <w:r w:rsidR="00DE75B0">
        <w:rPr>
          <w:szCs w:val="20"/>
        </w:rPr>
        <w:t>n eventuell omfördelning av Europaparlamentsplatserna i samband med Storbritann</w:t>
      </w:r>
      <w:r w:rsidR="00DE75B0">
        <w:rPr>
          <w:szCs w:val="20"/>
        </w:rPr>
        <w:t>i</w:t>
      </w:r>
      <w:r w:rsidR="00DE75B0">
        <w:rPr>
          <w:szCs w:val="20"/>
        </w:rPr>
        <w:t>ens utträde ur EU</w:t>
      </w:r>
      <w:r w:rsidR="00545C91" w:rsidRPr="001903AA">
        <w:rPr>
          <w:szCs w:val="20"/>
        </w:rPr>
        <w:t xml:space="preserve">. </w:t>
      </w:r>
      <w:r w:rsidR="00545C91" w:rsidRPr="001903AA">
        <w:rPr>
          <w:szCs w:val="20"/>
        </w:rPr>
        <w:br/>
      </w:r>
      <w:r w:rsidR="00E505BD">
        <w:rPr>
          <w:szCs w:val="20"/>
        </w:rPr>
        <w:tab/>
      </w:r>
      <w:r w:rsidRPr="001903AA">
        <w:rPr>
          <w:szCs w:val="20"/>
        </w:rPr>
        <w:t>Den åländska ledamoten och suppleanten sitter i de två utskotten "U</w:t>
      </w:r>
      <w:r w:rsidRPr="001903AA">
        <w:rPr>
          <w:szCs w:val="20"/>
        </w:rPr>
        <w:t>t</w:t>
      </w:r>
      <w:r w:rsidRPr="001903AA">
        <w:rPr>
          <w:szCs w:val="20"/>
        </w:rPr>
        <w:t>skottet för utbildning, ungdomsfrågor, kultur och forskning" (SEDEC) och "Utskottet för medborgarskap, god förvaltningssed, institutionella frågor och yttre förbindelser" (CIVEX). Den åländska ledamoten sitter även med i den mellanregionala gruppen ”Östersjöregioner”.</w:t>
      </w:r>
    </w:p>
    <w:p w:rsidR="009A7F6F" w:rsidRPr="001903AA" w:rsidRDefault="00CA465B" w:rsidP="009A7F6F">
      <w:pPr>
        <w:rPr>
          <w:sz w:val="24"/>
        </w:rPr>
      </w:pPr>
      <w:r>
        <w:rPr>
          <w:szCs w:val="20"/>
        </w:rPr>
        <w:tab/>
      </w:r>
      <w:r w:rsidR="009A7F6F" w:rsidRPr="001903AA">
        <w:rPr>
          <w:szCs w:val="20"/>
        </w:rPr>
        <w:t>Arbetet i Regionkommittén har under 2016 långt präglats av kommis</w:t>
      </w:r>
      <w:r w:rsidR="009A7F6F" w:rsidRPr="001903AA">
        <w:rPr>
          <w:szCs w:val="20"/>
        </w:rPr>
        <w:t>s</w:t>
      </w:r>
      <w:r w:rsidR="009A7F6F" w:rsidRPr="001903AA">
        <w:rPr>
          <w:szCs w:val="20"/>
        </w:rPr>
        <w:t xml:space="preserve">ionens arbetsprogram, </w:t>
      </w:r>
      <w:r w:rsidR="00545C91" w:rsidRPr="001903AA">
        <w:rPr>
          <w:szCs w:val="20"/>
        </w:rPr>
        <w:t xml:space="preserve">av flyktingsituationen i Europa, terrorattackerna </w:t>
      </w:r>
      <w:r w:rsidR="009A7F6F" w:rsidRPr="001903AA">
        <w:rPr>
          <w:szCs w:val="20"/>
        </w:rPr>
        <w:t>och av det aviserade brittiska utträdet ur Europeiska unionen och de utmaningar detta medfört för EU:s institutioner</w:t>
      </w:r>
      <w:r w:rsidR="00DE75B0">
        <w:rPr>
          <w:szCs w:val="20"/>
        </w:rPr>
        <w:t xml:space="preserve">. </w:t>
      </w:r>
      <w:r w:rsidR="00DE75B0" w:rsidRPr="001903AA">
        <w:rPr>
          <w:szCs w:val="20"/>
        </w:rPr>
        <w:t>Den åländska ledamoten deltog i fira</w:t>
      </w:r>
      <w:r w:rsidR="00DE75B0" w:rsidRPr="001903AA">
        <w:rPr>
          <w:szCs w:val="20"/>
        </w:rPr>
        <w:t>n</w:t>
      </w:r>
      <w:r w:rsidR="00DE75B0" w:rsidRPr="001903AA">
        <w:rPr>
          <w:szCs w:val="20"/>
        </w:rPr>
        <w:t xml:space="preserve">det av </w:t>
      </w:r>
      <w:r w:rsidR="00DE75B0">
        <w:rPr>
          <w:szCs w:val="20"/>
        </w:rPr>
        <w:t xml:space="preserve">Ålands självstyrelsedag den </w:t>
      </w:r>
      <w:r w:rsidR="00DE75B0" w:rsidRPr="001903AA">
        <w:rPr>
          <w:szCs w:val="20"/>
        </w:rPr>
        <w:t>9</w:t>
      </w:r>
      <w:r w:rsidR="00DE75B0">
        <w:rPr>
          <w:szCs w:val="20"/>
        </w:rPr>
        <w:t xml:space="preserve"> </w:t>
      </w:r>
      <w:r w:rsidR="00DE75B0" w:rsidRPr="001903AA">
        <w:rPr>
          <w:szCs w:val="20"/>
        </w:rPr>
        <w:t>juni i Bryssel.</w:t>
      </w:r>
      <w:r w:rsidR="00DE75B0">
        <w:rPr>
          <w:szCs w:val="20"/>
        </w:rPr>
        <w:t xml:space="preserve"> </w:t>
      </w:r>
    </w:p>
    <w:p w:rsidR="004406DE" w:rsidRPr="00545C91" w:rsidRDefault="004406DE" w:rsidP="00B82890">
      <w:pPr>
        <w:pStyle w:val="Rubrik3"/>
        <w:rPr>
          <w:rFonts w:cs="Times New Roman"/>
        </w:rPr>
      </w:pPr>
      <w:bookmarkStart w:id="97" w:name="_Toc477423987"/>
      <w:r w:rsidRPr="00545C91">
        <w:rPr>
          <w:rFonts w:cs="Times New Roman"/>
        </w:rPr>
        <w:t>3.1.5 Subsidiaritetsprincipen</w:t>
      </w:r>
      <w:bookmarkEnd w:id="94"/>
      <w:bookmarkEnd w:id="95"/>
      <w:bookmarkEnd w:id="96"/>
      <w:bookmarkEnd w:id="97"/>
    </w:p>
    <w:p w:rsidR="004406DE" w:rsidRPr="00B55551" w:rsidRDefault="004406DE" w:rsidP="005242BE">
      <w:r w:rsidRPr="00545C91">
        <w:t>Subsidiaritetsprincipen regleras i artikel 5 i fördraget om Europeiska unio</w:t>
      </w:r>
      <w:r w:rsidRPr="00545C91">
        <w:t>n</w:t>
      </w:r>
      <w:r w:rsidRPr="00545C91">
        <w:t xml:space="preserve">en. Enligt denna </w:t>
      </w:r>
      <w:r w:rsidR="00E71277" w:rsidRPr="00545C91">
        <w:t>ska unionen</w:t>
      </w:r>
      <w:r w:rsidR="00E71277" w:rsidRPr="00B55551">
        <w:t>, på de områden där union</w:t>
      </w:r>
      <w:r w:rsidRPr="00B55551">
        <w:t>en inte har exklusiv befogenhet, vidta en åtgärd endast om och i den mån som målen för den planerade åtgärden inte i tillräcklig utsträckning kan uppnås av medlem</w:t>
      </w:r>
      <w:r w:rsidRPr="00B55551">
        <w:t>s</w:t>
      </w:r>
      <w:r w:rsidRPr="00B55551">
        <w:t xml:space="preserve">staterna och därför, på grund av den planerade åtgärdens omfattning eller verkningar, bättre kan uppnås på unionsnivå. </w:t>
      </w:r>
    </w:p>
    <w:p w:rsidR="004406DE" w:rsidRPr="00B55551" w:rsidRDefault="004406DE" w:rsidP="00023C6C">
      <w:pPr>
        <w:ind w:firstLine="284"/>
      </w:pPr>
      <w:r w:rsidRPr="00B55551">
        <w:t xml:space="preserve">Enligt Lissabonfördraget ska alla nationella parlament få </w:t>
      </w:r>
      <w:r w:rsidR="00014386" w:rsidRPr="00B55551">
        <w:t xml:space="preserve">ta </w:t>
      </w:r>
      <w:r w:rsidRPr="00B55551">
        <w:t>del av utka</w:t>
      </w:r>
      <w:r w:rsidRPr="00B55551">
        <w:t>s</w:t>
      </w:r>
      <w:r w:rsidRPr="00B55551">
        <w:t>ten till lagstiftningsakter för att bedöma initiativens förenlighet med subs</w:t>
      </w:r>
      <w:r w:rsidRPr="00B55551">
        <w:t>i</w:t>
      </w:r>
      <w:r w:rsidRPr="00B55551">
        <w:t>diaritetsprincipen. Enligt 9 kap. 59a § självstyrelselagen kan lagtinget i fr</w:t>
      </w:r>
      <w:r w:rsidRPr="00B55551">
        <w:t>å</w:t>
      </w:r>
      <w:r w:rsidRPr="00B55551">
        <w:t>gor som hör till landskapets behörighet delge riksdagen ett motiverat yt</w:t>
      </w:r>
      <w:r w:rsidRPr="00B55551">
        <w:t>t</w:t>
      </w:r>
      <w:r w:rsidRPr="00B55551">
        <w:t>rande om huruvida ett utkast till lagstiftningsakt från Europeiska unionen är förenligt med subsidiaritetsprincipen. Lagtingets ståndpunkt ska tillställas Europeiska unionens institutioner.</w:t>
      </w:r>
    </w:p>
    <w:p w:rsidR="00572B68" w:rsidRDefault="004406DE" w:rsidP="00572B68">
      <w:pPr>
        <w:ind w:firstLine="284"/>
      </w:pPr>
      <w:r w:rsidRPr="0071748F">
        <w:t>Landskapsregeringen gör i de samråds</w:t>
      </w:r>
      <w:r w:rsidR="00405B83" w:rsidRPr="0071748F">
        <w:t>- och informationsärenden</w:t>
      </w:r>
      <w:r w:rsidRPr="0071748F">
        <w:t xml:space="preserve"> som tillställ</w:t>
      </w:r>
      <w:r w:rsidR="000B3E6C" w:rsidRPr="0071748F">
        <w:t xml:space="preserve">s lagtinget där ärendet anses vara av särskild vikt för Åland </w:t>
      </w:r>
      <w:r w:rsidRPr="0071748F">
        <w:t>en b</w:t>
      </w:r>
      <w:r w:rsidRPr="0071748F">
        <w:t>e</w:t>
      </w:r>
      <w:r w:rsidRPr="0071748F">
        <w:t>dömning av subsidiaritetsprincipen. Landskapsregeringen informerar även utan dröjsmål lagtinget om vilka kommissionsinitiativ som diarieförs vid landskapsregeringen.</w:t>
      </w:r>
    </w:p>
    <w:p w:rsidR="00572B68" w:rsidRPr="0071748F" w:rsidRDefault="00572B68" w:rsidP="00572B68">
      <w:pPr>
        <w:ind w:firstLine="284"/>
      </w:pPr>
      <w:r>
        <w:t xml:space="preserve"> Landskapsregeringen specialrådgivare i Bryssel fungerar som Ålands representant i Regionkommitténs expertnätverk för subsidiaritetsfrågor. I nätverket ingår tjänstemän från lagstiftande regioner i Europa som träffas ett par gånger i året för att samråda om kommissionens förslag i förhållande till subsidiaritetsprincipen.  </w:t>
      </w:r>
    </w:p>
    <w:p w:rsidR="004406DE" w:rsidRPr="0071748F" w:rsidRDefault="004406DE" w:rsidP="00023C6C">
      <w:pPr>
        <w:ind w:firstLine="284"/>
      </w:pPr>
    </w:p>
    <w:p w:rsidR="004406DE" w:rsidRPr="005D7C4F" w:rsidRDefault="004406DE" w:rsidP="00386441">
      <w:pPr>
        <w:pStyle w:val="Rubrik3"/>
      </w:pPr>
      <w:bookmarkStart w:id="98" w:name="_Toc410897656"/>
      <w:bookmarkStart w:id="99" w:name="_Toc412712673"/>
      <w:bookmarkStart w:id="100" w:name="_Toc442442844"/>
      <w:bookmarkStart w:id="101" w:name="_Toc477423988"/>
      <w:r w:rsidRPr="005D7C4F">
        <w:lastRenderedPageBreak/>
        <w:t xml:space="preserve">3.1.6 Deltagande i kommissionens </w:t>
      </w:r>
      <w:bookmarkEnd w:id="98"/>
      <w:bookmarkEnd w:id="99"/>
      <w:bookmarkEnd w:id="100"/>
      <w:r w:rsidR="005D7C4F" w:rsidRPr="005D7C4F">
        <w:t>offentliga samråd</w:t>
      </w:r>
      <w:bookmarkEnd w:id="101"/>
    </w:p>
    <w:p w:rsidR="002D6240" w:rsidRPr="009437B7" w:rsidRDefault="00BB63CD" w:rsidP="003C1356">
      <w:r w:rsidRPr="00FF3B95">
        <w:t>K</w:t>
      </w:r>
      <w:r w:rsidR="004406DE" w:rsidRPr="00FF3B95">
        <w:t xml:space="preserve">ommissionen </w:t>
      </w:r>
      <w:r w:rsidRPr="00FF3B95">
        <w:t xml:space="preserve">håller ofta </w:t>
      </w:r>
      <w:r w:rsidR="009E32D7" w:rsidRPr="00FF3B95">
        <w:t>offentliga samråd</w:t>
      </w:r>
      <w:r w:rsidR="004406DE" w:rsidRPr="00FF3B95">
        <w:t xml:space="preserve"> – även kallade </w:t>
      </w:r>
      <w:r w:rsidR="009E32D7" w:rsidRPr="00FF3B95">
        <w:t>konsultationer</w:t>
      </w:r>
      <w:r w:rsidR="004406DE" w:rsidRPr="00FF3B95">
        <w:t xml:space="preserve"> – med medlemsstater och andra intresserade parter innan man lägger fram ett nytt kommissionsinitiativ. Detta innebär en möjlighet för landskapet att i ett tidigt skede av EU:s lagstiftningsprocess framföra synpunkter direkt till kommissionen, vilket landskapsregeringen anser vara mycket positivt.</w:t>
      </w:r>
      <w:r w:rsidR="004406DE" w:rsidRPr="00DF2C65">
        <w:rPr>
          <w:color w:val="FF0000"/>
        </w:rPr>
        <w:t xml:space="preserve"> </w:t>
      </w:r>
      <w:r w:rsidR="00DE75B0">
        <w:rPr>
          <w:color w:val="FF0000"/>
        </w:rPr>
        <w:tab/>
      </w:r>
      <w:r w:rsidR="004406DE" w:rsidRPr="00AF3F89">
        <w:t>Landskapsregeringen har under år 201</w:t>
      </w:r>
      <w:r w:rsidR="001C4DD9" w:rsidRPr="00AF3F89">
        <w:t>6</w:t>
      </w:r>
      <w:r w:rsidR="004406DE" w:rsidRPr="00AF3F89">
        <w:t xml:space="preserve"> deltagit i </w:t>
      </w:r>
      <w:r w:rsidR="00AF3F89" w:rsidRPr="00AF3F89">
        <w:t>fem</w:t>
      </w:r>
      <w:r w:rsidR="00BB5CE6" w:rsidRPr="00AF3F89">
        <w:t xml:space="preserve"> offentliga samråd</w:t>
      </w:r>
      <w:r w:rsidR="001F69BC" w:rsidRPr="00AF3F89">
        <w:t xml:space="preserve"> –</w:t>
      </w:r>
      <w:r w:rsidR="001F69BC" w:rsidRPr="00DF2C65">
        <w:rPr>
          <w:color w:val="FF0000"/>
        </w:rPr>
        <w:t xml:space="preserve"> </w:t>
      </w:r>
      <w:r w:rsidR="00C22380">
        <w:t xml:space="preserve">tre av </w:t>
      </w:r>
      <w:r w:rsidR="00C22380" w:rsidRPr="009437B7">
        <w:t>samråden rörde statligt stöd och de två andra rapporteringskrav på miljö- respektive energiområdet</w:t>
      </w:r>
      <w:r w:rsidR="00D256BD" w:rsidRPr="009437B7">
        <w:t>.</w:t>
      </w:r>
      <w:r w:rsidR="00BB5CE6" w:rsidRPr="009437B7">
        <w:t xml:space="preserve"> </w:t>
      </w:r>
    </w:p>
    <w:p w:rsidR="00AF3F89" w:rsidRPr="009437B7" w:rsidRDefault="009437B7" w:rsidP="003C1356">
      <w:r>
        <w:tab/>
      </w:r>
      <w:r w:rsidR="00BB5CE6" w:rsidRPr="009437B7">
        <w:t>Efter en diskussion mellan landskapsregeringen och lagtinget har lan</w:t>
      </w:r>
      <w:r w:rsidR="00BB5CE6" w:rsidRPr="009437B7">
        <w:t>d</w:t>
      </w:r>
      <w:r w:rsidR="00BB5CE6" w:rsidRPr="009437B7">
        <w:t>skapsregeringen ändrat sina rutiner</w:t>
      </w:r>
      <w:r w:rsidR="000119BE" w:rsidRPr="009437B7">
        <w:t xml:space="preserve"> kring offentliga samråd så att landska</w:t>
      </w:r>
      <w:r w:rsidR="000119BE" w:rsidRPr="009437B7">
        <w:t>p</w:t>
      </w:r>
      <w:r w:rsidR="000119BE" w:rsidRPr="009437B7">
        <w:t>ets svar på kommissionens offentliga samråd</w:t>
      </w:r>
      <w:r w:rsidR="00592C51" w:rsidRPr="009437B7">
        <w:t xml:space="preserve"> </w:t>
      </w:r>
      <w:r w:rsidR="000A36FE" w:rsidRPr="009437B7">
        <w:t>ska för</w:t>
      </w:r>
      <w:r w:rsidR="00260538">
        <w:t>a</w:t>
      </w:r>
      <w:r w:rsidR="000119BE" w:rsidRPr="009437B7">
        <w:t>s till lagtinget som samrådsärenden om de behandlar förslag till sådana rättsakter, fördrag eller andra åtgärder om vilka beslut fattas inom E</w:t>
      </w:r>
      <w:r w:rsidR="00260538">
        <w:t>U</w:t>
      </w:r>
      <w:r w:rsidR="000119BE" w:rsidRPr="009437B7">
        <w:t xml:space="preserve"> och som annars skulle höra till lagtingets behörighet. Ingen promemoria ska dock skrivas. Om ärendet inte hör till området för lagstiftningen men ändå bedöms vara av intresse för landskapet eller om det tidsmässigt inte är möjligt att </w:t>
      </w:r>
      <w:r w:rsidR="00260538">
        <w:t>föra ärendet till samråd, förs ärende</w:t>
      </w:r>
      <w:r w:rsidR="000119BE" w:rsidRPr="009437B7">
        <w:t xml:space="preserve">t </w:t>
      </w:r>
      <w:r w:rsidR="00260538">
        <w:t xml:space="preserve">till lagtinget </w:t>
      </w:r>
      <w:r w:rsidR="000119BE" w:rsidRPr="009437B7">
        <w:t xml:space="preserve">som </w:t>
      </w:r>
      <w:r w:rsidR="00260538">
        <w:t xml:space="preserve">ett </w:t>
      </w:r>
      <w:r w:rsidR="000119BE" w:rsidRPr="009437B7">
        <w:t>i-ärende.</w:t>
      </w:r>
    </w:p>
    <w:p w:rsidR="003C1356" w:rsidRPr="009437B7" w:rsidRDefault="009437B7" w:rsidP="003C1356">
      <w:pPr>
        <w:rPr>
          <w:i/>
        </w:rPr>
      </w:pPr>
      <w:r>
        <w:tab/>
      </w:r>
      <w:r w:rsidR="004406DE" w:rsidRPr="009437B7">
        <w:t>Även under 201</w:t>
      </w:r>
      <w:r w:rsidR="00BB5CE6" w:rsidRPr="009437B7">
        <w:t>7</w:t>
      </w:r>
      <w:r w:rsidR="004406DE" w:rsidRPr="009437B7">
        <w:t xml:space="preserve"> planerar landskapsregeringen att delta i kommissio</w:t>
      </w:r>
      <w:r w:rsidR="004406DE" w:rsidRPr="009437B7">
        <w:t>n</w:t>
      </w:r>
      <w:r w:rsidR="004406DE" w:rsidRPr="009437B7">
        <w:t xml:space="preserve">ens </w:t>
      </w:r>
      <w:r w:rsidR="00BB5CE6" w:rsidRPr="009437B7">
        <w:t>offentliga samråd</w:t>
      </w:r>
      <w:r w:rsidR="004406DE" w:rsidRPr="009437B7">
        <w:t xml:space="preserve"> till den del de berör frågor som är av intresse för landskapet</w:t>
      </w:r>
      <w:r w:rsidR="00662501" w:rsidRPr="009437B7">
        <w:t xml:space="preserve">. </w:t>
      </w:r>
      <w:bookmarkStart w:id="102" w:name="_Toc410897657"/>
      <w:bookmarkStart w:id="103" w:name="_Toc412712674"/>
    </w:p>
    <w:p w:rsidR="004406DE" w:rsidRPr="009B0673" w:rsidRDefault="004406DE" w:rsidP="009331A5">
      <w:pPr>
        <w:pStyle w:val="Rubrik3"/>
      </w:pPr>
      <w:bookmarkStart w:id="104" w:name="_Toc442442845"/>
      <w:bookmarkStart w:id="105" w:name="_Toc477423989"/>
      <w:r w:rsidRPr="009437B7">
        <w:t>3.1.7 Landskapets</w:t>
      </w:r>
      <w:r w:rsidRPr="009B0673">
        <w:t xml:space="preserve"> deltagande i den nationella beredningen av EU-ärenden</w:t>
      </w:r>
      <w:bookmarkEnd w:id="102"/>
      <w:bookmarkEnd w:id="103"/>
      <w:bookmarkEnd w:id="104"/>
      <w:bookmarkEnd w:id="105"/>
    </w:p>
    <w:p w:rsidR="004406DE" w:rsidRPr="00DF0B9B" w:rsidRDefault="004406DE" w:rsidP="005242BE">
      <w:r w:rsidRPr="00DF0B9B">
        <w:t>Enligt 59a § självstyrelselagen har landskapsregeringen rätt att delta i b</w:t>
      </w:r>
      <w:r w:rsidRPr="00DF0B9B">
        <w:t>e</w:t>
      </w:r>
      <w:r w:rsidRPr="00DF0B9B">
        <w:t>redningen av Finlands nationella ställningstagande gällande beslut som fa</w:t>
      </w:r>
      <w:r w:rsidRPr="00DF0B9B">
        <w:t>t</w:t>
      </w:r>
      <w:r w:rsidRPr="00DF0B9B">
        <w:t xml:space="preserve">tas inom EU. Detta görs genom att landskapsregeringen har en representant </w:t>
      </w:r>
      <w:r w:rsidR="009C0E4E" w:rsidRPr="00DF0B9B">
        <w:t>i</w:t>
      </w:r>
      <w:r w:rsidRPr="00DF0B9B">
        <w:t xml:space="preserve"> de </w:t>
      </w:r>
      <w:r w:rsidR="009C0E4E" w:rsidRPr="00DF0B9B">
        <w:t xml:space="preserve">flesta </w:t>
      </w:r>
      <w:r w:rsidRPr="00DF0B9B">
        <w:t>sektorspecifika beredningssektionerna samt i kommittén för EU-ärenden. Lantrådet har även rätt att bli hörd i EU-ministerutskottet.</w:t>
      </w:r>
    </w:p>
    <w:p w:rsidR="004406DE" w:rsidRPr="00DF0B9B" w:rsidRDefault="00260538" w:rsidP="005242BE">
      <w:r>
        <w:tab/>
      </w:r>
      <w:r w:rsidR="004406DE" w:rsidRPr="00DF0B9B">
        <w:t>Landskapsregeringen arbetar kontinuerligt i samverkan med rikets my</w:t>
      </w:r>
      <w:r w:rsidR="004406DE" w:rsidRPr="00DF0B9B">
        <w:t>n</w:t>
      </w:r>
      <w:r w:rsidR="004406DE" w:rsidRPr="00DF0B9B">
        <w:t>digheter för att ytterligare förbättra rutiner</w:t>
      </w:r>
      <w:r w:rsidR="000E3717" w:rsidRPr="00DF0B9B">
        <w:t>na</w:t>
      </w:r>
      <w:r w:rsidR="004406DE" w:rsidRPr="00DF0B9B">
        <w:t xml:space="preserve"> som garanterar landskapets deltagande i den nationella beredningen av EU-ärenden. </w:t>
      </w:r>
    </w:p>
    <w:p w:rsidR="004406DE" w:rsidRPr="00BA005D" w:rsidRDefault="00754BF1" w:rsidP="00A805C9">
      <w:pPr>
        <w:pStyle w:val="Rubrik5"/>
      </w:pPr>
      <w:r w:rsidRPr="00BA005D">
        <w:t>Beredning</w:t>
      </w:r>
      <w:r w:rsidR="004406DE" w:rsidRPr="00BA005D">
        <w:t xml:space="preserve"> på svenska</w:t>
      </w:r>
    </w:p>
    <w:p w:rsidR="004406DE" w:rsidRPr="00BA005D" w:rsidRDefault="004406DE" w:rsidP="005242BE">
      <w:r w:rsidRPr="00BA005D">
        <w:t>Då det gäller landskapets möjligheter till inflytande över beslutsfattandet inom EU är språket en central fråga, eftersom landskapsregeringen enligt nuvarande system förutsätts delta i rikets beredning av positioner. Bere</w:t>
      </w:r>
      <w:r w:rsidRPr="00BA005D">
        <w:t>d</w:t>
      </w:r>
      <w:r w:rsidRPr="00BA005D">
        <w:t>ningen sker exklusivt på finska, vilket är ett problem. Enligt justitieminist</w:t>
      </w:r>
      <w:r w:rsidRPr="00BA005D">
        <w:t>e</w:t>
      </w:r>
      <w:r w:rsidRPr="00BA005D">
        <w:t xml:space="preserve">riets anvisningar om Ålands ställning i lagberedningen och i EU-ärenden har landskapsregeringen rätt att få </w:t>
      </w:r>
      <w:r w:rsidR="000F01DF" w:rsidRPr="00BA005D">
        <w:t xml:space="preserve">beredningssektionernas </w:t>
      </w:r>
      <w:r w:rsidRPr="00BA005D">
        <w:t xml:space="preserve">dagordningar på svenska, övrigt material översatt på begäran (åtminstone de delar som är viktiga för Åland) samt tolkning vid deltagande i </w:t>
      </w:r>
      <w:r w:rsidR="000F01DF" w:rsidRPr="00BA005D">
        <w:t>beredningssektions</w:t>
      </w:r>
      <w:r w:rsidRPr="00BA005D">
        <w:t>möten.</w:t>
      </w:r>
    </w:p>
    <w:p w:rsidR="00583DDE" w:rsidRDefault="00173A3F" w:rsidP="00583DDE">
      <w:pPr>
        <w:ind w:firstLine="284"/>
      </w:pPr>
      <w:r w:rsidRPr="00173A3F">
        <w:t>Landskapsregeringen har under året</w:t>
      </w:r>
      <w:r w:rsidR="00583DDE" w:rsidRPr="00173A3F">
        <w:t xml:space="preserve"> g</w:t>
      </w:r>
      <w:r w:rsidRPr="00173A3F">
        <w:t>jort</w:t>
      </w:r>
      <w:r w:rsidR="00583DDE" w:rsidRPr="00173A3F">
        <w:t xml:space="preserve"> en utredning över de språkliga problemen </w:t>
      </w:r>
      <w:r w:rsidR="0079194B" w:rsidRPr="00173A3F">
        <w:t>som landskapets tjänstemän upplevt vid l</w:t>
      </w:r>
      <w:r w:rsidR="00583DDE" w:rsidRPr="00173A3F">
        <w:t>andskapets deltagande i den nationella beredningen av EU-ärenden.</w:t>
      </w:r>
      <w:r w:rsidR="00D21669" w:rsidRPr="00173A3F">
        <w:t xml:space="preserve"> </w:t>
      </w:r>
      <w:r w:rsidRPr="00173A3F">
        <w:t xml:space="preserve">I utredningen framgår vilka beredningssektioner som inte tillhandahåller den service på svenska som landskapet har rätt till. </w:t>
      </w:r>
      <w:r w:rsidR="00C65E3F">
        <w:t xml:space="preserve">Utredningen har sänts till justitieministeriet som har vidareförmedlat den </w:t>
      </w:r>
      <w:r w:rsidR="002216EA">
        <w:t xml:space="preserve">till berörda tjänstemän. Landskapsregeringen </w:t>
      </w:r>
      <w:r w:rsidR="00260538">
        <w:t>förutsä</w:t>
      </w:r>
      <w:r w:rsidR="00260538">
        <w:t>t</w:t>
      </w:r>
      <w:r w:rsidR="00260538">
        <w:t>ter</w:t>
      </w:r>
      <w:r w:rsidR="002216EA">
        <w:t xml:space="preserve"> att utredningen ska leda till en förbättring av service på svenska i de b</w:t>
      </w:r>
      <w:r w:rsidR="002216EA">
        <w:t>e</w:t>
      </w:r>
      <w:r w:rsidR="002216EA">
        <w:t>redningssektioner som idag inte uppfyller justitieministeriets anvisningar.</w:t>
      </w:r>
    </w:p>
    <w:p w:rsidR="00BC4A53" w:rsidRDefault="00BC4A53" w:rsidP="00583DDE">
      <w:pPr>
        <w:ind w:firstLine="284"/>
      </w:pPr>
      <w:r>
        <w:t>Generellt är problemen vid beredningen på svenska de samma som u</w:t>
      </w:r>
      <w:r>
        <w:t>n</w:t>
      </w:r>
      <w:r>
        <w:t>der tidigare år:</w:t>
      </w:r>
    </w:p>
    <w:p w:rsidR="00BC4A53" w:rsidRPr="00BC4A53" w:rsidRDefault="00BC4A53" w:rsidP="00BC4A53">
      <w:pPr>
        <w:ind w:firstLine="284"/>
      </w:pPr>
      <w:r w:rsidRPr="00BC4A53">
        <w:t>1) att det ibland saknas kunskaper hos enskilda tjänstemän i riket om Ålands språkliga rättigheter i beredningen av EU-ärenden</w:t>
      </w:r>
    </w:p>
    <w:p w:rsidR="00BC4A53" w:rsidRPr="00BC4A53" w:rsidRDefault="00BC4A53" w:rsidP="00BC4A53">
      <w:pPr>
        <w:ind w:firstLine="284"/>
      </w:pPr>
      <w:r w:rsidRPr="00BC4A53">
        <w:lastRenderedPageBreak/>
        <w:t>2) att det ofta är problem att få relevanta översättningar i tid, vilket p</w:t>
      </w:r>
      <w:r w:rsidRPr="00BC4A53">
        <w:t>å</w:t>
      </w:r>
      <w:r w:rsidRPr="00BC4A53">
        <w:t>verkar deltagandet i den nationella beredningen</w:t>
      </w:r>
    </w:p>
    <w:p w:rsidR="00BC4A53" w:rsidRDefault="00BC4A53" w:rsidP="00583DDE">
      <w:pPr>
        <w:ind w:firstLine="284"/>
      </w:pPr>
      <w:r>
        <w:t>Det har även framkommit att i en beredningssektion har tolk inte erhå</w:t>
      </w:r>
      <w:r>
        <w:t>l</w:t>
      </w:r>
      <w:r>
        <w:t>lits trots begäran.</w:t>
      </w:r>
    </w:p>
    <w:p w:rsidR="00BC4A53" w:rsidRDefault="00BC4A53" w:rsidP="00583DDE">
      <w:pPr>
        <w:ind w:firstLine="284"/>
      </w:pPr>
      <w:r>
        <w:t xml:space="preserve">I flera beredningssektioner erhålls endast den servicenivå på svenska som fastställs i justitieministeriets anvisningar och flera tjänstemän vid landskapsregeringen anser att denna nivå är för låg. </w:t>
      </w:r>
      <w:r w:rsidR="00BF12FE">
        <w:t>Det betyder att</w:t>
      </w:r>
      <w:r>
        <w:t xml:space="preserve"> endast en förenklad dagordning </w:t>
      </w:r>
      <w:r w:rsidR="00BF12FE">
        <w:t>översätts till</w:t>
      </w:r>
      <w:r>
        <w:t xml:space="preserve"> svenska, medan alla andra handlingar enbart </w:t>
      </w:r>
      <w:r w:rsidR="00BF12FE">
        <w:t xml:space="preserve">sänds </w:t>
      </w:r>
      <w:r>
        <w:t>p</w:t>
      </w:r>
      <w:r w:rsidR="00BF12FE">
        <w:t xml:space="preserve">å finska. </w:t>
      </w:r>
      <w:r w:rsidR="004F1AAF">
        <w:t>Anmärkningsvärt är att vissa beredningssektioner fortfarande inte sänder dagordningen på svenska.</w:t>
      </w:r>
    </w:p>
    <w:p w:rsidR="00A735A3" w:rsidRPr="00173A3F" w:rsidRDefault="00A735A3" w:rsidP="00583DDE">
      <w:pPr>
        <w:ind w:firstLine="284"/>
      </w:pPr>
      <w:r>
        <w:t xml:space="preserve">Beredningssektionernas arbete har under de senaste åren </w:t>
      </w:r>
      <w:r w:rsidR="00017149">
        <w:t>utvecklats mot allt färre (om än några) möten och allt fler skriftliga förfaranden. Utveck</w:t>
      </w:r>
      <w:r w:rsidR="00017149">
        <w:t>l</w:t>
      </w:r>
      <w:r w:rsidR="00017149">
        <w:t xml:space="preserve">ingen har både positiva och negativa konsekvenser för Åland. </w:t>
      </w:r>
      <w:r w:rsidR="00406BCE">
        <w:t>Det är pos</w:t>
      </w:r>
      <w:r w:rsidR="00406BCE">
        <w:t>i</w:t>
      </w:r>
      <w:r w:rsidR="00406BCE">
        <w:t>tivt att kunna delta i beredningen utan att behöva närvara vid möten i Helsingfors, vilket är resurskrävande och inte alltid möjligt. Dock har det skriftliga förfarandet fört med sig att vissa beredningssektioner verkar tolka</w:t>
      </w:r>
      <w:r w:rsidR="00693D2B">
        <w:t xml:space="preserve"> justitieministeriets anvisningar så att om inga möten hålls och ingen da</w:t>
      </w:r>
      <w:r w:rsidR="00693D2B">
        <w:t>g</w:t>
      </w:r>
      <w:r w:rsidR="00693D2B">
        <w:t>ordning skrivs behöver ingen information skickas ut på svenska. På grund av denna för landskapet negativa konsekvens, ser landskapsregeringen skäl att undersöka om justitieministeriets anvisningar borde uppdateras.</w:t>
      </w:r>
      <w:r w:rsidR="00816086">
        <w:t xml:space="preserve"> Om r</w:t>
      </w:r>
      <w:r w:rsidR="00816086">
        <w:t>e</w:t>
      </w:r>
      <w:r w:rsidR="00816086">
        <w:t>surser finns kommer landskapsregeringen att göra detta under år 2017.</w:t>
      </w:r>
    </w:p>
    <w:p w:rsidR="004406DE" w:rsidRPr="005119ED" w:rsidRDefault="004406DE" w:rsidP="00B0002C">
      <w:pPr>
        <w:pStyle w:val="Rubrik2"/>
        <w:numPr>
          <w:ilvl w:val="0"/>
          <w:numId w:val="0"/>
        </w:numPr>
      </w:pPr>
      <w:bookmarkStart w:id="106" w:name="_Toc410897658"/>
      <w:bookmarkStart w:id="107" w:name="_Toc412712675"/>
      <w:bookmarkStart w:id="108" w:name="_Toc442442846"/>
      <w:bookmarkStart w:id="109" w:name="_Toc477423990"/>
      <w:r w:rsidRPr="005119ED">
        <w:t>3.2 Landskapets prioriteringar</w:t>
      </w:r>
      <w:bookmarkEnd w:id="106"/>
      <w:bookmarkEnd w:id="107"/>
      <w:bookmarkEnd w:id="108"/>
      <w:bookmarkEnd w:id="109"/>
    </w:p>
    <w:p w:rsidR="004406DE" w:rsidRPr="00E46D47" w:rsidRDefault="004406DE" w:rsidP="004406DE">
      <w:pPr>
        <w:pStyle w:val="Rubrik3"/>
      </w:pPr>
      <w:bookmarkStart w:id="110" w:name="_Toc412712676"/>
      <w:bookmarkStart w:id="111" w:name="_Toc442442847"/>
      <w:bookmarkStart w:id="112" w:name="_Toc477423991"/>
      <w:bookmarkStart w:id="113" w:name="_Toc410897659"/>
      <w:r w:rsidRPr="00E46D47">
        <w:t>3.2.1 Åländsk representation i Europaparlamentet</w:t>
      </w:r>
      <w:bookmarkEnd w:id="110"/>
      <w:bookmarkEnd w:id="111"/>
      <w:bookmarkEnd w:id="112"/>
      <w:r w:rsidRPr="00E46D47">
        <w:t xml:space="preserve"> </w:t>
      </w:r>
      <w:bookmarkEnd w:id="113"/>
    </w:p>
    <w:p w:rsidR="005B4FAD" w:rsidRPr="00E32B12" w:rsidRDefault="004406DE" w:rsidP="00FA2835">
      <w:r w:rsidRPr="00E46D47">
        <w:t xml:space="preserve">Alltsedan anslutningen till EU har landskapet fört fram krav på att Åland ska erhålla representation i </w:t>
      </w:r>
      <w:r w:rsidRPr="00E32B12">
        <w:t>Europaparlamentet</w:t>
      </w:r>
      <w:r w:rsidR="000E3717" w:rsidRPr="00E32B12">
        <w:t xml:space="preserve">. </w:t>
      </w:r>
    </w:p>
    <w:p w:rsidR="009437B7" w:rsidRPr="00DC0523" w:rsidRDefault="000252E5" w:rsidP="005B4FAD">
      <w:r w:rsidRPr="00E32B12">
        <w:tab/>
        <w:t>Efter britternas folkomröstning i juni 2016 då det stod klart att en maj</w:t>
      </w:r>
      <w:r w:rsidRPr="00E32B12">
        <w:t>o</w:t>
      </w:r>
      <w:r w:rsidRPr="00E32B12">
        <w:t>ritet av befolkning</w:t>
      </w:r>
      <w:r w:rsidR="00681B66" w:rsidRPr="00E32B12">
        <w:t>en</w:t>
      </w:r>
      <w:r w:rsidRPr="00E32B12">
        <w:t xml:space="preserve"> var för ett utträde ur EU, </w:t>
      </w:r>
      <w:r w:rsidR="00681B66" w:rsidRPr="00E32B12">
        <w:t>sän</w:t>
      </w:r>
      <w:r w:rsidRPr="00E32B12">
        <w:t>de landskapsregeringen ett brev</w:t>
      </w:r>
      <w:r w:rsidR="00681B66" w:rsidRPr="00E32B12">
        <w:t xml:space="preserve"> till statsrådet</w:t>
      </w:r>
      <w:r w:rsidRPr="00E32B12">
        <w:t xml:space="preserve"> med </w:t>
      </w:r>
      <w:r w:rsidR="00681B66" w:rsidRPr="00E32B12">
        <w:t xml:space="preserve">anledning av </w:t>
      </w:r>
      <w:r w:rsidR="004E21A9" w:rsidRPr="00E32B12">
        <w:t>eventuella förändringar i den na</w:t>
      </w:r>
      <w:r w:rsidR="004E21A9" w:rsidRPr="00E32B12">
        <w:t>t</w:t>
      </w:r>
      <w:r w:rsidR="004E21A9" w:rsidRPr="00E32B12">
        <w:t xml:space="preserve">ionella fördelningen av </w:t>
      </w:r>
      <w:r w:rsidR="00681B66" w:rsidRPr="00E32B12">
        <w:t>parlamentsplatse</w:t>
      </w:r>
      <w:r w:rsidR="004E21A9" w:rsidRPr="00E32B12">
        <w:t>r</w:t>
      </w:r>
      <w:r w:rsidR="00681B66" w:rsidRPr="00E32B12">
        <w:t xml:space="preserve">. </w:t>
      </w:r>
      <w:r w:rsidRPr="00E32B12">
        <w:t>Landskapsregeringen framh</w:t>
      </w:r>
      <w:r w:rsidR="00E46D47" w:rsidRPr="00E32B12">
        <w:t>öll i sitt ställningstagande att</w:t>
      </w:r>
      <w:r w:rsidRPr="00E32B12">
        <w:t xml:space="preserve"> </w:t>
      </w:r>
      <w:r w:rsidR="00681B66" w:rsidRPr="00E32B12">
        <w:t>i det fall</w:t>
      </w:r>
      <w:r w:rsidRPr="00E32B12">
        <w:t xml:space="preserve"> en omfördelning</w:t>
      </w:r>
      <w:r w:rsidRPr="00DC0523">
        <w:t xml:space="preserve"> av </w:t>
      </w:r>
      <w:r w:rsidR="00E46D47" w:rsidRPr="00DC0523">
        <w:t xml:space="preserve">Storbritanniens 73 </w:t>
      </w:r>
      <w:r w:rsidRPr="00DC0523">
        <w:t>parlamentsplatser</w:t>
      </w:r>
      <w:r w:rsidR="00E46D47" w:rsidRPr="00DC0523">
        <w:t xml:space="preserve"> i</w:t>
      </w:r>
      <w:r w:rsidRPr="00DC0523">
        <w:t xml:space="preserve"> Europaparlamentet framledes blir aktuell är det av största vikt för landskapet att statsrådet beaktar tidigare fastslagna princi</w:t>
      </w:r>
      <w:r w:rsidRPr="00DC0523">
        <w:t>p</w:t>
      </w:r>
      <w:r w:rsidRPr="00DC0523">
        <w:t>beslut om att medverka till att utveckla landskapets inflytande i Europapa</w:t>
      </w:r>
      <w:r w:rsidRPr="00DC0523">
        <w:t>r</w:t>
      </w:r>
      <w:r w:rsidRPr="00DC0523">
        <w:t>lamentet genom att tillförsäkra Åland en plats i parlamentet. Landskapsr</w:t>
      </w:r>
      <w:r w:rsidRPr="00DC0523">
        <w:t>e</w:t>
      </w:r>
      <w:r w:rsidRPr="00DC0523">
        <w:t xml:space="preserve">geringen </w:t>
      </w:r>
      <w:r w:rsidR="004E21A9" w:rsidRPr="00DC0523">
        <w:t xml:space="preserve">fortsätter bevaka denna fråga aktivt och </w:t>
      </w:r>
      <w:r w:rsidRPr="00DC0523">
        <w:t>utgår ifrån att denna fråga aktivt drivs av Finland i de interna EU-förhandlingarna.</w:t>
      </w:r>
      <w:bookmarkStart w:id="114" w:name="_Toc410897660"/>
      <w:bookmarkStart w:id="115" w:name="_Toc412712677"/>
      <w:r w:rsidR="00302CAC">
        <w:t xml:space="preserve"> Frågan om parl</w:t>
      </w:r>
      <w:r w:rsidR="00302CAC">
        <w:t>a</w:t>
      </w:r>
      <w:r w:rsidR="00302CAC">
        <w:t xml:space="preserve">mentsplatsen </w:t>
      </w:r>
      <w:r w:rsidR="00302CAC" w:rsidRPr="00302CAC">
        <w:t xml:space="preserve">kommer </w:t>
      </w:r>
      <w:r w:rsidR="00302CAC">
        <w:t xml:space="preserve">för landskapsregeringen </w:t>
      </w:r>
      <w:r w:rsidR="00302CAC" w:rsidRPr="00302CAC">
        <w:t xml:space="preserve">att föranleda besök i </w:t>
      </w:r>
      <w:r w:rsidR="00A372C3">
        <w:t xml:space="preserve">Helsingfors och </w:t>
      </w:r>
      <w:r w:rsidR="00302CAC" w:rsidRPr="00302CAC">
        <w:t xml:space="preserve">Bryssel under våren, förutsatt att Storbritannien aktiverar </w:t>
      </w:r>
      <w:r w:rsidR="007D4E7A">
        <w:t xml:space="preserve">sitt </w:t>
      </w:r>
      <w:r w:rsidR="00302CAC" w:rsidRPr="00302CAC">
        <w:t>utträde</w:t>
      </w:r>
      <w:r w:rsidR="00302CAC">
        <w:t xml:space="preserve"> ur unionen.</w:t>
      </w:r>
    </w:p>
    <w:p w:rsidR="004406DE" w:rsidRPr="00DC0523" w:rsidRDefault="004406DE" w:rsidP="009437B7">
      <w:pPr>
        <w:pStyle w:val="Rubrik3"/>
      </w:pPr>
      <w:bookmarkStart w:id="116" w:name="_Toc477423992"/>
      <w:r w:rsidRPr="00DC0523">
        <w:t>3.2.2 Statligt stöd</w:t>
      </w:r>
      <w:bookmarkEnd w:id="114"/>
      <w:bookmarkEnd w:id="115"/>
      <w:bookmarkEnd w:id="116"/>
    </w:p>
    <w:p w:rsidR="00195AEA" w:rsidRPr="00566B0A" w:rsidRDefault="004406DE" w:rsidP="005242BE">
      <w:r w:rsidRPr="00566B0A">
        <w:t xml:space="preserve">Landskapsregeringen har alltsedan medlemskapet i </w:t>
      </w:r>
      <w:r w:rsidR="000E3717" w:rsidRPr="00566B0A">
        <w:t>EU</w:t>
      </w:r>
      <w:r w:rsidRPr="00566B0A">
        <w:t xml:space="preserve"> fortlöpande utfärdat olika stöd och stödordningar. Landskapsregeringen följer även den jur</w:t>
      </w:r>
      <w:r w:rsidRPr="00566B0A">
        <w:t>i</w:t>
      </w:r>
      <w:r w:rsidRPr="00566B0A">
        <w:t>diska utvecklingen på området inom unionen. Syftet med denna verksamhet är att säkerställa att stöd i landskapet är förenliga med unionens regler r</w:t>
      </w:r>
      <w:r w:rsidRPr="00566B0A">
        <w:t>ö</w:t>
      </w:r>
      <w:r w:rsidRPr="00566B0A">
        <w:t>rande statligt stöd.</w:t>
      </w:r>
    </w:p>
    <w:p w:rsidR="00195AEA" w:rsidRPr="00195AEA" w:rsidRDefault="00195AEA" w:rsidP="00023C6C">
      <w:pPr>
        <w:ind w:firstLine="284"/>
      </w:pPr>
      <w:r w:rsidRPr="00195AEA">
        <w:t xml:space="preserve">Europeiska unionens regelverk om statligt stöd är </w:t>
      </w:r>
      <w:r>
        <w:t>i ständig förändring och landskapsregeringen deltar aktivt i de flesta av kommissionens offen</w:t>
      </w:r>
      <w:r>
        <w:t>t</w:t>
      </w:r>
      <w:r>
        <w:t xml:space="preserve">liga samråd om statligt stöd. </w:t>
      </w:r>
      <w:r w:rsidR="004D3154">
        <w:t>Landskapsregeringen bereder sina egna notif</w:t>
      </w:r>
      <w:r w:rsidR="004D3154">
        <w:t>i</w:t>
      </w:r>
      <w:r w:rsidR="004D3154">
        <w:t>eringar (anmälningar till EU-kommissionen) av statligt stöd och rapporterar kontinuerligt in statistik till EU-kommissionen via Helsingfors.</w:t>
      </w:r>
      <w:r w:rsidR="004D0ED6">
        <w:t xml:space="preserve"> </w:t>
      </w:r>
    </w:p>
    <w:p w:rsidR="00421A75" w:rsidRPr="00562DE1" w:rsidRDefault="00421A75" w:rsidP="00421A75">
      <w:pPr>
        <w:ind w:firstLine="284"/>
      </w:pPr>
      <w:r w:rsidRPr="00562DE1">
        <w:t xml:space="preserve">Landskapsregeringen </w:t>
      </w:r>
      <w:r w:rsidR="00562DE1" w:rsidRPr="00562DE1">
        <w:t>deltar även</w:t>
      </w:r>
      <w:r w:rsidRPr="00562DE1">
        <w:t xml:space="preserve"> i det nätverk för EU-regler om statligt stöd, som arbets- och näringsministeriet tillsatte år 2014. Landskapsreg</w:t>
      </w:r>
      <w:r w:rsidRPr="00562DE1">
        <w:t>e</w:t>
      </w:r>
      <w:r w:rsidRPr="00562DE1">
        <w:t>ringen har två representanter i nätverket.</w:t>
      </w:r>
    </w:p>
    <w:p w:rsidR="00566B0A" w:rsidRPr="00195AEA" w:rsidRDefault="00981611" w:rsidP="00023C6C">
      <w:pPr>
        <w:ind w:firstLine="284"/>
      </w:pPr>
      <w:r>
        <w:lastRenderedPageBreak/>
        <w:t>Det kan noteras att beredningen av statsstödsärenden vid landskapsreg</w:t>
      </w:r>
      <w:r>
        <w:t>e</w:t>
      </w:r>
      <w:r>
        <w:t>ringen har ökat i omfattning och kräver all</w:t>
      </w:r>
      <w:r w:rsidR="00260538">
        <w:t>t</w:t>
      </w:r>
      <w:r>
        <w:t xml:space="preserve"> mer resurser.</w:t>
      </w:r>
    </w:p>
    <w:p w:rsidR="004406DE" w:rsidRPr="00DC30DE" w:rsidRDefault="004406DE" w:rsidP="004406DE">
      <w:pPr>
        <w:pStyle w:val="Rubrik3"/>
      </w:pPr>
      <w:bookmarkStart w:id="117" w:name="_Toc412712678"/>
      <w:bookmarkStart w:id="118" w:name="_Toc442442848"/>
      <w:bookmarkStart w:id="119" w:name="_Toc477423993"/>
      <w:bookmarkStart w:id="120" w:name="_Toc410897661"/>
      <w:r w:rsidRPr="00DC30DE">
        <w:t>3.2.3 E</w:t>
      </w:r>
      <w:r w:rsidR="00C951B4">
        <w:t>uropa</w:t>
      </w:r>
      <w:r w:rsidRPr="00DC30DE">
        <w:t xml:space="preserve"> 2020 ur ett utbildnings- och kulturperspektiv</w:t>
      </w:r>
      <w:bookmarkEnd w:id="117"/>
      <w:bookmarkEnd w:id="118"/>
      <w:bookmarkEnd w:id="119"/>
      <w:r w:rsidRPr="00DC30DE">
        <w:t xml:space="preserve"> </w:t>
      </w:r>
      <w:bookmarkEnd w:id="120"/>
    </w:p>
    <w:p w:rsidR="00177443" w:rsidRPr="00DC30DE" w:rsidRDefault="00177443" w:rsidP="00177443">
      <w:pPr>
        <w:jc w:val="both"/>
      </w:pPr>
      <w:r w:rsidRPr="00DC30DE">
        <w:t>EU-arbetet med frågor som rör utbildning, ungdom, kultur och idrott spelar en central roll för att nå EU:s strategiska mål om att bli världens mest ko</w:t>
      </w:r>
      <w:r w:rsidRPr="00DC30DE">
        <w:t>n</w:t>
      </w:r>
      <w:r w:rsidRPr="00DC30DE">
        <w:t>kurrenskraftiga och kun</w:t>
      </w:r>
      <w:r w:rsidR="00C951B4">
        <w:t>skapsbaserade ekonomi. Varje medlemsstat</w:t>
      </w:r>
      <w:r w:rsidRPr="00DC30DE">
        <w:t xml:space="preserve"> ansv</w:t>
      </w:r>
      <w:r w:rsidRPr="00DC30DE">
        <w:t>a</w:t>
      </w:r>
      <w:r w:rsidRPr="00DC30DE">
        <w:t>rar för sin egen utbildnings- och ungdomspolitik, me</w:t>
      </w:r>
      <w:r w:rsidR="00C951B4">
        <w:t>da</w:t>
      </w:r>
      <w:r w:rsidRPr="00DC30DE">
        <w:t>n unionen främja</w:t>
      </w:r>
      <w:r w:rsidR="00C951B4">
        <w:t>r</w:t>
      </w:r>
      <w:r w:rsidRPr="00DC30DE">
        <w:t xml:space="preserve"> samarbetet mellan medlemsstaterna.</w:t>
      </w:r>
    </w:p>
    <w:p w:rsidR="00177443" w:rsidRPr="00BF3927" w:rsidRDefault="009437B7" w:rsidP="00177443">
      <w:pPr>
        <w:jc w:val="both"/>
      </w:pPr>
      <w:r>
        <w:tab/>
      </w:r>
      <w:r w:rsidR="00177443" w:rsidRPr="00BF3927">
        <w:t>Europa 2020 är EU:s gemensamma tillväxt- och sysselsättningsstrategi där målen är smart och hållbar tillväxt för alla med hög sysselsättning, pr</w:t>
      </w:r>
      <w:r w:rsidR="00177443" w:rsidRPr="00BF3927">
        <w:t>o</w:t>
      </w:r>
      <w:r w:rsidR="00177443" w:rsidRPr="00BF3927">
        <w:t xml:space="preserve">duktivitet och social sammanhållning. I strategin ingår tre prioriteringar: </w:t>
      </w:r>
      <w:r w:rsidR="00177443" w:rsidRPr="00BF3927">
        <w:rPr>
          <w:i/>
        </w:rPr>
        <w:t>Smart tillväxt</w:t>
      </w:r>
      <w:r w:rsidR="00177443" w:rsidRPr="00BF3927">
        <w:t xml:space="preserve"> – utveckla en ekonomi baserad på kunskap och innovation, </w:t>
      </w:r>
      <w:r w:rsidR="00177443" w:rsidRPr="00BF3927">
        <w:rPr>
          <w:i/>
        </w:rPr>
        <w:t>Hållbar tillväxt</w:t>
      </w:r>
      <w:r w:rsidR="00177443" w:rsidRPr="00BF3927">
        <w:t xml:space="preserve"> – främja resurseffektivare, grönare och konkurrenskraft</w:t>
      </w:r>
      <w:r w:rsidR="00177443" w:rsidRPr="00BF3927">
        <w:t>i</w:t>
      </w:r>
      <w:r w:rsidR="00177443" w:rsidRPr="00BF3927">
        <w:t xml:space="preserve">gare ekonomi och </w:t>
      </w:r>
      <w:r w:rsidR="00177443" w:rsidRPr="00BF3927">
        <w:rPr>
          <w:i/>
        </w:rPr>
        <w:t>Tillväxt för alla</w:t>
      </w:r>
      <w:r w:rsidR="00177443" w:rsidRPr="00BF3927">
        <w:t xml:space="preserve"> – stimulera en ekonomi med hög sysse</w:t>
      </w:r>
      <w:r w:rsidR="00177443" w:rsidRPr="00BF3927">
        <w:t>l</w:t>
      </w:r>
      <w:r w:rsidR="00177443" w:rsidRPr="00BF3927">
        <w:t xml:space="preserve">sättning och social och territoriell sammanhållning. </w:t>
      </w:r>
    </w:p>
    <w:p w:rsidR="00177443" w:rsidRPr="00BF3927" w:rsidRDefault="009437B7" w:rsidP="00177443">
      <w:pPr>
        <w:jc w:val="both"/>
      </w:pPr>
      <w:r>
        <w:tab/>
      </w:r>
      <w:r w:rsidR="00177443" w:rsidRPr="00BF3927">
        <w:t>Sett ur ett utbildningsperspektiv stärker prioriteringarna i E</w:t>
      </w:r>
      <w:r w:rsidR="00C951B4">
        <w:t>uropa</w:t>
      </w:r>
      <w:r w:rsidR="00177443" w:rsidRPr="00BF3927">
        <w:t xml:space="preserve"> 2020</w:t>
      </w:r>
      <w:r w:rsidR="00C951B4">
        <w:t>-</w:t>
      </w:r>
      <w:r w:rsidR="00177443" w:rsidRPr="00BF3927">
        <w:t xml:space="preserve">strategin varandra och är en förutsättning för en progressiv utveckling och forskning inom utbildnings- och kulturområdet i landskapet. </w:t>
      </w:r>
    </w:p>
    <w:p w:rsidR="00177443" w:rsidRPr="00374FC8" w:rsidRDefault="009437B7" w:rsidP="00177443">
      <w:pPr>
        <w:jc w:val="both"/>
      </w:pPr>
      <w:r>
        <w:tab/>
      </w:r>
      <w:r w:rsidR="00177443" w:rsidRPr="00374FC8">
        <w:t>Det europeiska utbildningssamarbetet har som mål att förbättra kvalitet och effektivitet i utbildningen, främja livslångt lärande, jämställdhet, social gemenskap, aktivt medborgarskap och rörlighet mellan länderna och al</w:t>
      </w:r>
      <w:r w:rsidR="00177443" w:rsidRPr="00374FC8">
        <w:t>l</w:t>
      </w:r>
      <w:r w:rsidR="00177443" w:rsidRPr="00374FC8">
        <w:t>mänt stöda kreativitet, innovationer och företagsamhet</w:t>
      </w:r>
      <w:r w:rsidR="00177443" w:rsidRPr="00C951B4">
        <w:t>. Utbildningssama</w:t>
      </w:r>
      <w:r w:rsidR="00177443" w:rsidRPr="00C951B4">
        <w:t>r</w:t>
      </w:r>
      <w:r w:rsidR="00177443" w:rsidRPr="00C951B4">
        <w:t>betet främjas genom finansiella stödformer och progra</w:t>
      </w:r>
      <w:r w:rsidR="00177443" w:rsidRPr="00374FC8">
        <w:t>m, vilka även ko</w:t>
      </w:r>
      <w:r w:rsidR="00177443" w:rsidRPr="00374FC8">
        <w:t>m</w:t>
      </w:r>
      <w:r w:rsidR="00177443" w:rsidRPr="00374FC8">
        <w:t xml:space="preserve">mit Åland till del </w:t>
      </w:r>
      <w:r w:rsidR="00177443" w:rsidRPr="00C951B4">
        <w:t>inom programmet</w:t>
      </w:r>
      <w:r w:rsidR="00177443" w:rsidRPr="00374FC8">
        <w:rPr>
          <w:i/>
        </w:rPr>
        <w:t xml:space="preserve"> Erasmus</w:t>
      </w:r>
      <w:r w:rsidR="00177443" w:rsidRPr="00C951B4">
        <w:rPr>
          <w:i/>
        </w:rPr>
        <w:t>+</w:t>
      </w:r>
      <w:r w:rsidR="00C951B4" w:rsidRPr="00C951B4">
        <w:t>,</w:t>
      </w:r>
      <w:r w:rsidR="00177443" w:rsidRPr="00374FC8">
        <w:t xml:space="preserve"> omfattande de tidigare stödprogrammen Comenius (allmänbildande grundutbildning), Erasmus (högskoleutbildning), Leonardo da Vinci (fortbildning och forskning) och Grundtvig (vuxenutbildning). </w:t>
      </w:r>
    </w:p>
    <w:p w:rsidR="005F50ED" w:rsidRDefault="009437B7" w:rsidP="005F50ED">
      <w:pPr>
        <w:jc w:val="both"/>
      </w:pPr>
      <w:r>
        <w:tab/>
      </w:r>
      <w:r w:rsidR="00177443" w:rsidRPr="00E37BCC">
        <w:t xml:space="preserve">För att främja rörligheten och förenkla för EU-medborgare att studera och söka jobb i </w:t>
      </w:r>
      <w:r w:rsidR="003A7A93">
        <w:t xml:space="preserve">de andra medlemsstaterna </w:t>
      </w:r>
      <w:r w:rsidR="00177443" w:rsidRPr="00E37BCC">
        <w:t xml:space="preserve">har </w:t>
      </w:r>
      <w:r w:rsidR="003A7A93">
        <w:t xml:space="preserve">redskap </w:t>
      </w:r>
      <w:r w:rsidR="00177443" w:rsidRPr="00E37BCC">
        <w:t>skap</w:t>
      </w:r>
      <w:r w:rsidR="003A7A93">
        <w:t xml:space="preserve">ats </w:t>
      </w:r>
      <w:r w:rsidR="00177443" w:rsidRPr="00E37BCC">
        <w:t>för överf</w:t>
      </w:r>
      <w:r w:rsidR="00177443" w:rsidRPr="00E37BCC">
        <w:t>ö</w:t>
      </w:r>
      <w:r w:rsidR="00177443" w:rsidRPr="00E37BCC">
        <w:t>ring av examina och kompetenser för studier och arbete. Ett europeiskt s</w:t>
      </w:r>
      <w:r w:rsidR="00177443" w:rsidRPr="00E37BCC">
        <w:t>y</w:t>
      </w:r>
      <w:r w:rsidR="00177443" w:rsidRPr="00E37BCC">
        <w:t xml:space="preserve">stem </w:t>
      </w:r>
      <w:r w:rsidR="00177443" w:rsidRPr="003A7A93">
        <w:t>för jämförelse av studieprestationer och erkännande av högskolest</w:t>
      </w:r>
      <w:r w:rsidR="00177443" w:rsidRPr="003A7A93">
        <w:t>u</w:t>
      </w:r>
      <w:r w:rsidR="00177443" w:rsidRPr="003A7A93">
        <w:t>dier som fullgjorts utomlands (ECTS) och ett system för meritöverföring inom yrkesutbildningen (ECVET) omsätts</w:t>
      </w:r>
      <w:r w:rsidR="00177443" w:rsidRPr="00E37BCC">
        <w:t xml:space="preserve"> i praktiken i det beräkningss</w:t>
      </w:r>
      <w:r w:rsidR="00177443" w:rsidRPr="00E37BCC">
        <w:t>y</w:t>
      </w:r>
      <w:r w:rsidR="00177443" w:rsidRPr="00E37BCC">
        <w:t>stem med kompetenspoäng som införs vid bedömningen inom yrkesutbil</w:t>
      </w:r>
      <w:r w:rsidR="00177443" w:rsidRPr="00E37BCC">
        <w:t>d</w:t>
      </w:r>
      <w:r w:rsidR="00177443" w:rsidRPr="00E37BCC">
        <w:t>ningen från och med hösten 2016. I samråd med berörda nationella och nordiska utbildningsmyndigheter avser landskapsregeringen framöver följa arbetet med att utifrån ett gemensamt europeiskt ramverk för kvalifikatio</w:t>
      </w:r>
      <w:r w:rsidR="00177443" w:rsidRPr="00E37BCC">
        <w:t>n</w:t>
      </w:r>
      <w:r w:rsidR="00177443" w:rsidRPr="00E37BCC">
        <w:t>er (EQF) skapa nationella ramverk (NQF) för er</w:t>
      </w:r>
      <w:r>
        <w:t xml:space="preserve">kännande av studier och yrken. </w:t>
      </w:r>
      <w:bookmarkStart w:id="121" w:name="_Toc410897662"/>
      <w:bookmarkStart w:id="122" w:name="_Toc412712679"/>
      <w:bookmarkStart w:id="123" w:name="_Toc442442849"/>
    </w:p>
    <w:p w:rsidR="004406DE" w:rsidRPr="001A210A" w:rsidRDefault="004406DE" w:rsidP="005F50ED">
      <w:pPr>
        <w:pStyle w:val="Rubrik3"/>
      </w:pPr>
      <w:bookmarkStart w:id="124" w:name="_Toc477423994"/>
      <w:r w:rsidRPr="001A210A">
        <w:t xml:space="preserve">3.2.4 </w:t>
      </w:r>
      <w:r w:rsidR="00066A23" w:rsidRPr="001A210A">
        <w:t>Mediepolitik och u</w:t>
      </w:r>
      <w:r w:rsidRPr="001A210A">
        <w:t>pphovsrätt</w:t>
      </w:r>
      <w:bookmarkEnd w:id="121"/>
      <w:bookmarkEnd w:id="122"/>
      <w:bookmarkEnd w:id="123"/>
      <w:bookmarkEnd w:id="124"/>
    </w:p>
    <w:p w:rsidR="00B40E84" w:rsidRPr="001A210A" w:rsidRDefault="00B40E84" w:rsidP="00B40E84">
      <w:pPr>
        <w:jc w:val="both"/>
      </w:pPr>
      <w:bookmarkStart w:id="125" w:name="_Toc410897663"/>
      <w:bookmarkStart w:id="126" w:name="_Toc412712680"/>
      <w:bookmarkStart w:id="127" w:name="_Toc442442850"/>
      <w:r w:rsidRPr="001A210A">
        <w:t xml:space="preserve">Kommissionen utarbetade under 2014-2015 </w:t>
      </w:r>
      <w:r w:rsidRPr="005F50ED">
        <w:t>en strategi för den digitala inre marknaden</w:t>
      </w:r>
      <w:r w:rsidR="005F50ED">
        <w:t xml:space="preserve"> C</w:t>
      </w:r>
      <w:r w:rsidRPr="001A210A">
        <w:t>OM</w:t>
      </w:r>
      <w:r w:rsidR="005F50ED">
        <w:t>(</w:t>
      </w:r>
      <w:r w:rsidRPr="001A210A">
        <w:t>2015</w:t>
      </w:r>
      <w:r w:rsidR="005F50ED">
        <w:t>)</w:t>
      </w:r>
      <w:r w:rsidRPr="001A210A">
        <w:t xml:space="preserve"> 192 efter ett omfattande offentligt </w:t>
      </w:r>
      <w:r w:rsidR="005F50ED">
        <w:t>samråd</w:t>
      </w:r>
      <w:r w:rsidRPr="001A210A">
        <w:t xml:space="preserve"> i vilket landskapsregeringen har deltagit. Strategin innehåller ett flertal åtgärder som ska vidtas under de kommande åren. Strategins huvudsyfte samma</w:t>
      </w:r>
      <w:r w:rsidRPr="001A210A">
        <w:t>n</w:t>
      </w:r>
      <w:r w:rsidRPr="001A210A">
        <w:t>fattas i tre punkter:</w:t>
      </w:r>
    </w:p>
    <w:p w:rsidR="00B40E84" w:rsidRPr="001A210A" w:rsidRDefault="00B40E84" w:rsidP="008C2E2C">
      <w:pPr>
        <w:numPr>
          <w:ilvl w:val="0"/>
          <w:numId w:val="36"/>
        </w:numPr>
        <w:ind w:left="567"/>
      </w:pPr>
      <w:r w:rsidRPr="001A210A">
        <w:t>förbättra företags och konsumenters tillgång till varor och tjänster online i Europa, genom att ta bort hinder för gränsöverskridande verksamhet,</w:t>
      </w:r>
    </w:p>
    <w:p w:rsidR="00B40E84" w:rsidRPr="001A210A" w:rsidRDefault="00B40E84" w:rsidP="008C2E2C">
      <w:pPr>
        <w:numPr>
          <w:ilvl w:val="0"/>
          <w:numId w:val="36"/>
        </w:numPr>
        <w:ind w:left="567"/>
      </w:pPr>
      <w:r w:rsidRPr="001A210A">
        <w:t>skapa rätt förutsättningar för framväxten av digitala nätverk och i</w:t>
      </w:r>
      <w:r w:rsidRPr="001A210A">
        <w:t>n</w:t>
      </w:r>
      <w:r w:rsidRPr="001A210A">
        <w:t>novativa tjänster, samt</w:t>
      </w:r>
    </w:p>
    <w:p w:rsidR="00B40E84" w:rsidRDefault="00B40E84" w:rsidP="008C2E2C">
      <w:pPr>
        <w:numPr>
          <w:ilvl w:val="0"/>
          <w:numId w:val="36"/>
        </w:numPr>
        <w:ind w:left="567"/>
      </w:pPr>
      <w:r w:rsidRPr="001A210A">
        <w:t>maximera tillväxtpotentialen för EU:s digitala ekonomi, genom e</w:t>
      </w:r>
      <w:r w:rsidRPr="001A210A">
        <w:t>x</w:t>
      </w:r>
      <w:r w:rsidRPr="001A210A">
        <w:t>empelvis investeringar i IT-infrastruktur, digitala kunskaper och o</w:t>
      </w:r>
      <w:r w:rsidRPr="001A210A">
        <w:t>f</w:t>
      </w:r>
      <w:r w:rsidRPr="001A210A">
        <w:t>fentliga e-tjänster.</w:t>
      </w:r>
    </w:p>
    <w:p w:rsidR="008C2E2C" w:rsidRPr="001A210A" w:rsidRDefault="008C2E2C" w:rsidP="008C2E2C">
      <w:pPr>
        <w:ind w:left="720"/>
      </w:pPr>
    </w:p>
    <w:p w:rsidR="005F50ED" w:rsidRDefault="00B40E84" w:rsidP="00B40E84">
      <w:pPr>
        <w:jc w:val="both"/>
      </w:pPr>
      <w:r w:rsidRPr="00287BEC">
        <w:lastRenderedPageBreak/>
        <w:t>Landskapsregeringen deltar fortgående i samråd som kommissionen utlyser gällande upphovsrättsärenden.  För landskapsregeringens vidkommande har fokus legat på de svårigheter språkliga mino</w:t>
      </w:r>
      <w:r w:rsidR="005F50ED">
        <w:t>riteter har att ta del av utbud</w:t>
      </w:r>
      <w:r w:rsidRPr="00287BEC">
        <w:t xml:space="preserve"> på </w:t>
      </w:r>
      <w:r w:rsidR="005F50ED">
        <w:t xml:space="preserve">sitt </w:t>
      </w:r>
      <w:r w:rsidRPr="009437B7">
        <w:t>modersmål online.</w:t>
      </w:r>
    </w:p>
    <w:p w:rsidR="00B40E84" w:rsidRPr="00EF518D" w:rsidRDefault="009437B7" w:rsidP="00B40E84">
      <w:pPr>
        <w:jc w:val="both"/>
        <w:rPr>
          <w:b/>
          <w:bCs/>
        </w:rPr>
      </w:pPr>
      <w:r w:rsidRPr="009437B7">
        <w:tab/>
        <w:t>I</w:t>
      </w:r>
      <w:r w:rsidR="00B40E84" w:rsidRPr="009437B7">
        <w:t xml:space="preserve"> arbetet med dessa frågor har landskapsregeringen fortsättningsvis haft ett värdefullt samarbete med undervisnings- och kulturministeriet som i sina</w:t>
      </w:r>
      <w:r w:rsidR="00B40E84" w:rsidRPr="00D30A83">
        <w:t xml:space="preserve"> egna utlåtanden till kommissionen även har beaktat Ålands synpunkter beträffande kommissionens upphovsrättsliga ärenden. Landskapsregeringen avser upprätthålla fortsatta kontakter till ministeriet i dessa frågor. Lan</w:t>
      </w:r>
      <w:r w:rsidR="00B40E84" w:rsidRPr="00D30A83">
        <w:t>d</w:t>
      </w:r>
      <w:r w:rsidR="00B40E84" w:rsidRPr="00D30A83">
        <w:t>skapsregeringen har även avgett ett utlåtande till riksdagen angående Eur</w:t>
      </w:r>
      <w:r w:rsidR="00B40E84" w:rsidRPr="00D30A83">
        <w:t>o</w:t>
      </w:r>
      <w:r w:rsidR="00B40E84" w:rsidRPr="00D30A83">
        <w:t>paparlamentets och rådets förslag till förordning om fastställande av b</w:t>
      </w:r>
      <w:r w:rsidR="00B40E84" w:rsidRPr="00D30A83">
        <w:t>e</w:t>
      </w:r>
      <w:r w:rsidR="00B40E84" w:rsidRPr="00D30A83">
        <w:t xml:space="preserve">stämmelser för utövande av upphovsrätten för onlinesändningar, samt TV- </w:t>
      </w:r>
      <w:r w:rsidR="000E40E1">
        <w:t>och radioprogram</w:t>
      </w:r>
      <w:r w:rsidR="00B40E84" w:rsidRPr="00D30A83">
        <w:t>.</w:t>
      </w:r>
      <w:r>
        <w:tab/>
      </w:r>
    </w:p>
    <w:p w:rsidR="004406DE" w:rsidRPr="00EE40A0" w:rsidRDefault="004406DE" w:rsidP="004406DE">
      <w:pPr>
        <w:pStyle w:val="Rubrik3"/>
      </w:pPr>
      <w:bookmarkStart w:id="128" w:name="_Toc477423995"/>
      <w:r w:rsidRPr="00EE40A0">
        <w:t>3.2.5 Konsoliderad bolagsskattebas</w:t>
      </w:r>
      <w:bookmarkEnd w:id="125"/>
      <w:bookmarkEnd w:id="126"/>
      <w:bookmarkEnd w:id="127"/>
      <w:bookmarkEnd w:id="128"/>
    </w:p>
    <w:p w:rsidR="00C141B4" w:rsidRPr="00EE40A0" w:rsidRDefault="00C141B4" w:rsidP="00C141B4">
      <w:bookmarkStart w:id="129" w:name="_Toc410897664"/>
      <w:bookmarkStart w:id="130" w:name="_Toc412712681"/>
      <w:bookmarkStart w:id="131" w:name="_Toc442442851"/>
      <w:r w:rsidRPr="00EE40A0">
        <w:t xml:space="preserve">Under slutet av år 2016 har kommissionen lämnat förslag om gemensam </w:t>
      </w:r>
      <w:r w:rsidR="00832B04">
        <w:t>bolags</w:t>
      </w:r>
      <w:r w:rsidRPr="00EE40A0">
        <w:t xml:space="preserve">skattebas COM(2016) 685, gemensam konsoliderad </w:t>
      </w:r>
      <w:r w:rsidR="00832B04">
        <w:t>bolags</w:t>
      </w:r>
      <w:r w:rsidRPr="00EE40A0">
        <w:t xml:space="preserve">skattebas COM(2016) 683 och tvistelösningsmekanismer vid dubbelbeskattning i Europeiska unionen COM(2016) 686. Syftet </w:t>
      </w:r>
      <w:r w:rsidR="000E40E1">
        <w:t>med</w:t>
      </w:r>
      <w:r w:rsidRPr="00EE40A0">
        <w:t xml:space="preserve"> förslagen är att uppnå en tillväxtfrämjande, rättvis och transparent företagsbeskattning i EU. </w:t>
      </w:r>
    </w:p>
    <w:p w:rsidR="00C141B4" w:rsidRPr="00747FD5" w:rsidRDefault="00C141B4" w:rsidP="00C141B4">
      <w:pPr>
        <w:ind w:firstLine="284"/>
      </w:pPr>
      <w:r w:rsidRPr="00747FD5">
        <w:t xml:space="preserve">I förslaget till gemensam </w:t>
      </w:r>
      <w:r w:rsidR="00832B04">
        <w:t>bolags</w:t>
      </w:r>
      <w:r w:rsidRPr="00832B04">
        <w:t>skattebas har den gemensamma skatt</w:t>
      </w:r>
      <w:r w:rsidRPr="00832B04">
        <w:t>e</w:t>
      </w:r>
      <w:r w:rsidRPr="00832B04">
        <w:t xml:space="preserve">basen gjorts obligatorisk för företag </w:t>
      </w:r>
      <w:r w:rsidR="00832B04" w:rsidRPr="00832B04">
        <w:t xml:space="preserve">som dels är av </w:t>
      </w:r>
      <w:r w:rsidRPr="00832B04">
        <w:t xml:space="preserve">en viss storlek och </w:t>
      </w:r>
      <w:r w:rsidR="00832B04" w:rsidRPr="00832B04">
        <w:t xml:space="preserve">dels </w:t>
      </w:r>
      <w:r w:rsidRPr="00832B04">
        <w:t>uppfyller vissa andra krav</w:t>
      </w:r>
      <w:r w:rsidR="00832B04" w:rsidRPr="00832B04">
        <w:t>; f</w:t>
      </w:r>
      <w:r w:rsidRPr="00832B04">
        <w:t xml:space="preserve">ör </w:t>
      </w:r>
      <w:r w:rsidR="00832B04" w:rsidRPr="00832B04">
        <w:t>övriga</w:t>
      </w:r>
      <w:r w:rsidRPr="00832B04">
        <w:t xml:space="preserve"> företag som </w:t>
      </w:r>
      <w:r w:rsidR="00832B04" w:rsidRPr="00832B04">
        <w:t xml:space="preserve">endast </w:t>
      </w:r>
      <w:r w:rsidRPr="00832B04">
        <w:t xml:space="preserve">uppfyller vissa krav är det frivilligt att tillämpa den gemensamma skattebasen. </w:t>
      </w:r>
    </w:p>
    <w:p w:rsidR="00C141B4" w:rsidRPr="006E6ED3" w:rsidRDefault="00C141B4" w:rsidP="00C141B4">
      <w:pPr>
        <w:ind w:firstLine="284"/>
      </w:pPr>
      <w:r w:rsidRPr="00C2041A">
        <w:t xml:space="preserve">Förslaget om den gemensamma </w:t>
      </w:r>
      <w:r w:rsidRPr="006E6ED3">
        <w:t xml:space="preserve">konsoliderade bolagsskattebasen syftar till att </w:t>
      </w:r>
      <w:r w:rsidR="00832B04" w:rsidRPr="006E6ED3">
        <w:t xml:space="preserve">den konsoliderade bolagsskattebasen ska </w:t>
      </w:r>
      <w:r w:rsidRPr="006E6ED3">
        <w:t>vara ett verktyg för att til</w:t>
      </w:r>
      <w:r w:rsidRPr="006E6ED3">
        <w:t>l</w:t>
      </w:r>
      <w:r w:rsidRPr="006E6ED3">
        <w:t>dela in</w:t>
      </w:r>
      <w:r w:rsidR="006E6ED3" w:rsidRPr="006E6ED3">
        <w:t>komster t</w:t>
      </w:r>
      <w:r w:rsidRPr="006E6ED3">
        <w:t>ill den plats där värdet skapas, med hjälp av en</w:t>
      </w:r>
      <w:r w:rsidRPr="00C2041A">
        <w:t xml:space="preserve"> formel som </w:t>
      </w:r>
      <w:r w:rsidRPr="006E6ED3">
        <w:t xml:space="preserve">bygger på tre viktade faktorer, </w:t>
      </w:r>
      <w:r w:rsidR="006E6ED3" w:rsidRPr="006E6ED3">
        <w:t>dvs. t</w:t>
      </w:r>
      <w:r w:rsidRPr="006E6ED3">
        <w:t xml:space="preserve">illgångar, arbetskraft och försäljning. </w:t>
      </w:r>
    </w:p>
    <w:p w:rsidR="00C141B4" w:rsidRPr="009437B7" w:rsidRDefault="00C141B4" w:rsidP="00C141B4">
      <w:pPr>
        <w:ind w:firstLine="284"/>
      </w:pPr>
      <w:r w:rsidRPr="006E6ED3">
        <w:t xml:space="preserve">När det gäller </w:t>
      </w:r>
      <w:r w:rsidR="006E6ED3" w:rsidRPr="006E6ED3">
        <w:t>dessa två f</w:t>
      </w:r>
      <w:r w:rsidRPr="006E6ED3">
        <w:t>örslag</w:t>
      </w:r>
      <w:r w:rsidR="006E6ED3" w:rsidRPr="006E6ED3">
        <w:t xml:space="preserve"> om</w:t>
      </w:r>
      <w:r w:rsidRPr="006E6ED3">
        <w:t xml:space="preserve"> en gemensam </w:t>
      </w:r>
      <w:r w:rsidR="006E6ED3" w:rsidRPr="006E6ED3">
        <w:t>bolags</w:t>
      </w:r>
      <w:r w:rsidRPr="006E6ED3">
        <w:t>skattebas</w:t>
      </w:r>
      <w:r w:rsidR="006E6ED3" w:rsidRPr="006E6ED3">
        <w:t xml:space="preserve"> och </w:t>
      </w:r>
      <w:r w:rsidRPr="006E6ED3">
        <w:t>en gemensam</w:t>
      </w:r>
      <w:r w:rsidR="006E6ED3" w:rsidRPr="006E6ED3">
        <w:t xml:space="preserve"> </w:t>
      </w:r>
      <w:r w:rsidRPr="006E6ED3">
        <w:t>konsoliderad</w:t>
      </w:r>
      <w:r w:rsidR="006E6ED3" w:rsidRPr="006E6ED3">
        <w:t xml:space="preserve"> bolagsskattebas</w:t>
      </w:r>
      <w:r w:rsidRPr="006E6ED3">
        <w:t xml:space="preserve">, </w:t>
      </w:r>
      <w:r w:rsidR="006E6ED3" w:rsidRPr="006E6ED3">
        <w:t xml:space="preserve">stöder </w:t>
      </w:r>
      <w:r w:rsidRPr="006E6ED3">
        <w:t>landskapsregeringen inte förslage</w:t>
      </w:r>
      <w:r w:rsidR="006E6ED3" w:rsidRPr="006E6ED3">
        <w:t>n</w:t>
      </w:r>
      <w:r w:rsidRPr="006E6ED3">
        <w:t xml:space="preserve">, eftersom </w:t>
      </w:r>
      <w:r w:rsidR="006E6ED3" w:rsidRPr="006E6ED3">
        <w:t xml:space="preserve">förslagen, </w:t>
      </w:r>
      <w:r w:rsidRPr="006E6ED3">
        <w:t>enligt den utredning som presenterats</w:t>
      </w:r>
      <w:r w:rsidR="006E6ED3" w:rsidRPr="006E6ED3">
        <w:t>,</w:t>
      </w:r>
      <w:r w:rsidRPr="006E6ED3">
        <w:t xml:space="preserve"> ko</w:t>
      </w:r>
      <w:r w:rsidRPr="006E6ED3">
        <w:t>m</w:t>
      </w:r>
      <w:r w:rsidRPr="006E6ED3">
        <w:t>mer att påverka samfundsskatten i negativ rikt</w:t>
      </w:r>
      <w:r w:rsidR="006E6ED3" w:rsidRPr="006E6ED3">
        <w:t>ning</w:t>
      </w:r>
      <w:r w:rsidRPr="006E6ED3">
        <w:t>. Eftersom</w:t>
      </w:r>
      <w:r w:rsidRPr="006260C6">
        <w:t xml:space="preserve"> de beräknin</w:t>
      </w:r>
      <w:r w:rsidRPr="006260C6">
        <w:t>g</w:t>
      </w:r>
      <w:r w:rsidRPr="006260C6">
        <w:t>ar och utredningar som har gjort</w:t>
      </w:r>
      <w:r w:rsidR="006E6ED3">
        <w:t>s</w:t>
      </w:r>
      <w:r w:rsidRPr="006260C6">
        <w:t xml:space="preserve"> </w:t>
      </w:r>
      <w:r w:rsidR="006E6ED3">
        <w:t>om</w:t>
      </w:r>
      <w:r w:rsidRPr="006260C6">
        <w:t xml:space="preserve"> förslagens effekter och verkningar på ekonomin och skatteintäkterna är osäkra, </w:t>
      </w:r>
      <w:r w:rsidR="006E6ED3">
        <w:t>anser</w:t>
      </w:r>
      <w:r w:rsidRPr="006260C6">
        <w:t xml:space="preserve"> </w:t>
      </w:r>
      <w:r w:rsidR="006E6ED3">
        <w:t>l</w:t>
      </w:r>
      <w:r w:rsidRPr="006260C6">
        <w:t>andskapsregeringen att det borde föreligga ett säkrare underlag om förslagens effekter och verkningar innan förslagen</w:t>
      </w:r>
      <w:r w:rsidR="006E6ED3">
        <w:t xml:space="preserve"> antas</w:t>
      </w:r>
      <w:r w:rsidRPr="006260C6">
        <w:t xml:space="preserve">. När det gäller fördelningsnycklarna i förslaget till gemensam konsoliderad </w:t>
      </w:r>
      <w:r w:rsidR="006E6ED3">
        <w:t>bolags</w:t>
      </w:r>
      <w:r w:rsidRPr="006260C6">
        <w:t>skattebas har det konstaterats att ingen av fördelningsnycklarna har varit av sådan art att de kunnat antas bredda Fi</w:t>
      </w:r>
      <w:r w:rsidRPr="006260C6">
        <w:t>n</w:t>
      </w:r>
      <w:r w:rsidRPr="006260C6">
        <w:t xml:space="preserve">lands skattebas. Förslagen har även </w:t>
      </w:r>
      <w:r w:rsidRPr="006E6ED3">
        <w:t>ifrågasatts i förhållande till subsidiar</w:t>
      </w:r>
      <w:r w:rsidRPr="006E6ED3">
        <w:t>i</w:t>
      </w:r>
      <w:r w:rsidRPr="006E6ED3">
        <w:t>tetsprincipen och proportionalitetsprincipen</w:t>
      </w:r>
      <w:r w:rsidR="006E6ED3" w:rsidRPr="006E6ED3">
        <w:t xml:space="preserve"> och det har även ifrågasatts</w:t>
      </w:r>
      <w:r w:rsidRPr="006E6ED3">
        <w:t xml:space="preserve"> om nyttan med förslage</w:t>
      </w:r>
      <w:r w:rsidR="006E6ED3" w:rsidRPr="006E6ED3">
        <w:t>n</w:t>
      </w:r>
      <w:r w:rsidRPr="006E6ED3">
        <w:t xml:space="preserve"> verkligen kan uppnås.</w:t>
      </w:r>
      <w:r w:rsidRPr="006260C6">
        <w:t xml:space="preserve"> Om ett förslag om en geme</w:t>
      </w:r>
      <w:r w:rsidRPr="006260C6">
        <w:t>n</w:t>
      </w:r>
      <w:r w:rsidRPr="006260C6">
        <w:t xml:space="preserve">sam </w:t>
      </w:r>
      <w:r w:rsidR="006E6ED3">
        <w:t>bolags</w:t>
      </w:r>
      <w:r w:rsidRPr="006260C6">
        <w:t xml:space="preserve">skattebas antas skulle alltså landskapets lagstiftningsbehörighet inom skatteområdet inskränkas eftersom behörighet till viss del inom det direkta beskattningsområdet </w:t>
      </w:r>
      <w:r w:rsidR="006E6ED3">
        <w:t xml:space="preserve">i så fall </w:t>
      </w:r>
      <w:r w:rsidRPr="006260C6">
        <w:t>överförs på unionen. Den tekniska konsekvensen av detta är att landskapet till viss del förlorar möjligheten att påverka fördelningen av beskattningen och beräkningen av samfunds b</w:t>
      </w:r>
      <w:r w:rsidRPr="006260C6">
        <w:t>e</w:t>
      </w:r>
      <w:r w:rsidRPr="006260C6">
        <w:t>skattningsbara inkomst</w:t>
      </w:r>
      <w:r w:rsidR="006E6ED3">
        <w:t>,</w:t>
      </w:r>
      <w:r w:rsidRPr="006260C6">
        <w:t xml:space="preserve"> såsom vilka avdrag som får göras i beskattningen</w:t>
      </w:r>
      <w:r w:rsidRPr="009437B7">
        <w:t xml:space="preserve">. </w:t>
      </w:r>
    </w:p>
    <w:p w:rsidR="00C141B4" w:rsidRPr="006260C6" w:rsidRDefault="00C141B4" w:rsidP="00C141B4">
      <w:pPr>
        <w:ind w:firstLine="284"/>
      </w:pPr>
      <w:r w:rsidRPr="009437B7">
        <w:t>Förslaget om tvistelösningsmekanismer har som syfte att undanröja skattehinder som skapar snedvridningar som hindrar en väl fungerande inre marknad</w:t>
      </w:r>
      <w:r w:rsidRPr="006260C6">
        <w:t>. Landskapsregeringen har som utgångspunkt gällande detta fö</w:t>
      </w:r>
      <w:r w:rsidRPr="006260C6">
        <w:t>r</w:t>
      </w:r>
      <w:r w:rsidRPr="006260C6">
        <w:t>slag att rättigheten att stifta och tolka den nationella lagstiftningen bevaras inom nationella och på förhand bestämda ramar.</w:t>
      </w:r>
    </w:p>
    <w:p w:rsidR="00C141B4" w:rsidRPr="00B0602C" w:rsidRDefault="006260C6" w:rsidP="00C141B4">
      <w:pPr>
        <w:ind w:firstLine="284"/>
        <w:rPr>
          <w:bCs/>
        </w:rPr>
      </w:pPr>
      <w:r w:rsidRPr="00B0602C">
        <w:t xml:space="preserve">Rent generellt </w:t>
      </w:r>
      <w:r w:rsidR="001D7436">
        <w:t>ställer sig</w:t>
      </w:r>
      <w:r w:rsidRPr="00B0602C">
        <w:t xml:space="preserve"> l</w:t>
      </w:r>
      <w:r w:rsidR="00C141B4" w:rsidRPr="00B0602C">
        <w:t>andskapsregering</w:t>
      </w:r>
      <w:r w:rsidRPr="00B0602C">
        <w:t>en</w:t>
      </w:r>
      <w:r w:rsidR="00C141B4" w:rsidRPr="00B0602C">
        <w:t xml:space="preserve"> positiv till målen att </w:t>
      </w:r>
      <w:r w:rsidR="00C141B4" w:rsidRPr="001D7436">
        <w:t xml:space="preserve">minska dubbelbeskattningen av företag, underlätta gränsöverskridande verksamhet för företag, motverka skatteflykt och aggressiv skatteplanering samt att processerna staterna emellan ska vara så klara och välfungerande </w:t>
      </w:r>
      <w:r w:rsidR="00C141B4" w:rsidRPr="001D7436">
        <w:lastRenderedPageBreak/>
        <w:t xml:space="preserve">som möjligt. </w:t>
      </w:r>
      <w:r w:rsidR="00C141B4" w:rsidRPr="001D7436">
        <w:rPr>
          <w:bCs/>
        </w:rPr>
        <w:t>Landskapsregeringen</w:t>
      </w:r>
      <w:r w:rsidR="00C141B4" w:rsidRPr="00B0602C">
        <w:rPr>
          <w:bCs/>
        </w:rPr>
        <w:t xml:space="preserve"> följer fortsatt arbetet </w:t>
      </w:r>
      <w:r w:rsidR="001D7436">
        <w:rPr>
          <w:bCs/>
        </w:rPr>
        <w:t>vid EU:s institu</w:t>
      </w:r>
      <w:r w:rsidR="001D7436">
        <w:rPr>
          <w:bCs/>
        </w:rPr>
        <w:t>t</w:t>
      </w:r>
      <w:r w:rsidR="001D7436">
        <w:rPr>
          <w:bCs/>
        </w:rPr>
        <w:t>ioner</w:t>
      </w:r>
      <w:r w:rsidR="00C141B4" w:rsidRPr="00B0602C">
        <w:rPr>
          <w:bCs/>
        </w:rPr>
        <w:t>, med syfte att bevaka landskapets intressen.</w:t>
      </w:r>
    </w:p>
    <w:p w:rsidR="004406DE" w:rsidRPr="00B0602C" w:rsidRDefault="004406DE" w:rsidP="00386441">
      <w:pPr>
        <w:pStyle w:val="Rubrik3"/>
      </w:pPr>
      <w:bookmarkStart w:id="132" w:name="_Toc477423996"/>
      <w:r w:rsidRPr="00B0602C">
        <w:t>3.2.6 Framtida mervärdesskattesystem</w:t>
      </w:r>
      <w:bookmarkEnd w:id="129"/>
      <w:bookmarkEnd w:id="130"/>
      <w:bookmarkEnd w:id="131"/>
      <w:bookmarkEnd w:id="132"/>
    </w:p>
    <w:p w:rsidR="00C141B4" w:rsidRPr="00556013" w:rsidRDefault="00C141B4" w:rsidP="00C141B4">
      <w:bookmarkStart w:id="133" w:name="_Toc410897665"/>
      <w:bookmarkStart w:id="134" w:name="_Toc412712682"/>
      <w:bookmarkStart w:id="135" w:name="_Toc442442852"/>
      <w:r w:rsidRPr="00556013">
        <w:t>Förslag om ändringar inom mervärde</w:t>
      </w:r>
      <w:r w:rsidR="001D7436">
        <w:t>s</w:t>
      </w:r>
      <w:r w:rsidRPr="00556013">
        <w:t>beskattningen har getts i slutet av år 2016, bland annat förslag till ändring av direktiv 2006/112/EG vad gäller mervärdesskattesatser som tillämpas på böcker, tidningar och tidskrifter, ändring av direktiv 2006/112/EG och direktiv 2009/132/EG vad gäller vissa skyldigheter på mervärdesskatteområdet för tillhandahållande av tjänster och distansförsäljning av varor, ändring av genomförandeföror</w:t>
      </w:r>
      <w:r w:rsidRPr="00556013">
        <w:t>d</w:t>
      </w:r>
      <w:r w:rsidRPr="00556013">
        <w:t>ning (EU) nr 282/2011 om fastställande av tillämpningsföreskrifter för d</w:t>
      </w:r>
      <w:r w:rsidRPr="00556013">
        <w:t>i</w:t>
      </w:r>
      <w:r w:rsidRPr="00556013">
        <w:t>rektiv 2006/112/EG om ett gemensamt system för mervärdesskatt och fö</w:t>
      </w:r>
      <w:r w:rsidRPr="00556013">
        <w:t>r</w:t>
      </w:r>
      <w:r w:rsidRPr="00556013">
        <w:t>slag om rådets förordning om ändring av förordning (EU) nr 904/2010 om administrativt samarbete och kampen mot mervärdesskattebedrägeri.</w:t>
      </w:r>
    </w:p>
    <w:p w:rsidR="00C141B4" w:rsidRPr="00556013" w:rsidRDefault="009437B7" w:rsidP="00C141B4">
      <w:pPr>
        <w:rPr>
          <w:lang w:val="sv-FI"/>
        </w:rPr>
      </w:pPr>
      <w:r>
        <w:tab/>
      </w:r>
      <w:r w:rsidR="00C141B4" w:rsidRPr="00556013">
        <w:rPr>
          <w:lang w:val="sv-FI"/>
        </w:rPr>
        <w:t>Förslagen har som syfte att få den inre marknaden att fungera friktion</w:t>
      </w:r>
      <w:r w:rsidR="00C141B4" w:rsidRPr="00556013">
        <w:rPr>
          <w:lang w:val="sv-FI"/>
        </w:rPr>
        <w:t>s</w:t>
      </w:r>
      <w:r w:rsidR="00C141B4" w:rsidRPr="00556013">
        <w:rPr>
          <w:lang w:val="sv-FI"/>
        </w:rPr>
        <w:t>fritt och förbättra EU-företagens konkurrenskraft samt säkerställa en effe</w:t>
      </w:r>
      <w:r w:rsidR="00C141B4" w:rsidRPr="00556013">
        <w:rPr>
          <w:lang w:val="sv-FI"/>
        </w:rPr>
        <w:t>k</w:t>
      </w:r>
      <w:r w:rsidR="00C141B4" w:rsidRPr="00556013">
        <w:rPr>
          <w:lang w:val="sv-FI"/>
        </w:rPr>
        <w:t>tiv beskattning av den digitala ekonomin.</w:t>
      </w:r>
      <w:r w:rsidR="00C141B4" w:rsidRPr="00556013">
        <w:t xml:space="preserve"> </w:t>
      </w:r>
      <w:r w:rsidR="00C141B4" w:rsidRPr="00556013">
        <w:rPr>
          <w:lang w:val="sv-FI"/>
        </w:rPr>
        <w:t xml:space="preserve">I förslagen ingår: </w:t>
      </w:r>
    </w:p>
    <w:p w:rsidR="00C141B4" w:rsidRPr="0067059B" w:rsidRDefault="00C141B4" w:rsidP="008C2E2C">
      <w:pPr>
        <w:numPr>
          <w:ilvl w:val="0"/>
          <w:numId w:val="37"/>
        </w:numPr>
        <w:ind w:left="284" w:hanging="218"/>
      </w:pPr>
      <w:r w:rsidRPr="0067059B">
        <w:rPr>
          <w:lang w:val="sv-FI"/>
        </w:rPr>
        <w:t>utvidgning av den särskilda ordningen för e-tjänster till försäljningen av andra tjänster samt till näthandel med varor inom EU och med tredj</w:t>
      </w:r>
      <w:r w:rsidRPr="0067059B">
        <w:rPr>
          <w:lang w:val="sv-FI"/>
        </w:rPr>
        <w:t>e</w:t>
      </w:r>
      <w:r w:rsidRPr="0067059B">
        <w:rPr>
          <w:lang w:val="sv-FI"/>
        </w:rPr>
        <w:t>länder,</w:t>
      </w:r>
    </w:p>
    <w:p w:rsidR="00C141B4" w:rsidRPr="0067059B" w:rsidRDefault="00C141B4" w:rsidP="008C2E2C">
      <w:pPr>
        <w:numPr>
          <w:ilvl w:val="0"/>
          <w:numId w:val="37"/>
        </w:numPr>
        <w:ind w:left="284" w:hanging="218"/>
        <w:rPr>
          <w:lang w:val="sv-FI"/>
        </w:rPr>
      </w:pPr>
      <w:r w:rsidRPr="0067059B">
        <w:rPr>
          <w:lang w:val="sv-FI"/>
        </w:rPr>
        <w:t>avveckling av den befintliga befrielsen från mervärdesskatt för import av små försändelser från leverantörer i tredjeländer,</w:t>
      </w:r>
    </w:p>
    <w:p w:rsidR="00C141B4" w:rsidRPr="0067059B" w:rsidRDefault="00C141B4" w:rsidP="008C2E2C">
      <w:pPr>
        <w:numPr>
          <w:ilvl w:val="0"/>
          <w:numId w:val="37"/>
        </w:numPr>
        <w:ind w:left="284" w:hanging="218"/>
        <w:rPr>
          <w:lang w:val="sv-FI"/>
        </w:rPr>
      </w:pPr>
      <w:r w:rsidRPr="0067059B">
        <w:rPr>
          <w:lang w:val="sv-FI"/>
        </w:rPr>
        <w:t xml:space="preserve">införande av ett tröskelvärde för mervärdesskatt på små försändelser för företag som </w:t>
      </w:r>
      <w:r w:rsidRPr="001D7436">
        <w:rPr>
          <w:lang w:val="sv-FI"/>
        </w:rPr>
        <w:t xml:space="preserve">bedriver </w:t>
      </w:r>
      <w:r w:rsidR="001D7436" w:rsidRPr="001D7436">
        <w:rPr>
          <w:lang w:val="sv-FI"/>
        </w:rPr>
        <w:t>unio</w:t>
      </w:r>
      <w:r w:rsidRPr="001D7436">
        <w:rPr>
          <w:lang w:val="sv-FI"/>
        </w:rPr>
        <w:t>nsintern distansförsäljning</w:t>
      </w:r>
      <w:r w:rsidRPr="0067059B">
        <w:rPr>
          <w:lang w:val="sv-FI"/>
        </w:rPr>
        <w:t xml:space="preserve"> av varor och elektroniska tjänster samt förenklade regler för identifiering av kunder,</w:t>
      </w:r>
    </w:p>
    <w:p w:rsidR="00C141B4" w:rsidRPr="0067059B" w:rsidRDefault="00C141B4" w:rsidP="008C2E2C">
      <w:pPr>
        <w:numPr>
          <w:ilvl w:val="0"/>
          <w:numId w:val="37"/>
        </w:numPr>
        <w:ind w:left="284" w:hanging="218"/>
        <w:rPr>
          <w:lang w:val="sv-FI"/>
        </w:rPr>
      </w:pPr>
      <w:r w:rsidRPr="0067059B">
        <w:rPr>
          <w:lang w:val="sv-FI"/>
        </w:rPr>
        <w:t>rätt att tillämpa hemlandets regler på områden såsom fakturering och r</w:t>
      </w:r>
      <w:r w:rsidRPr="0067059B">
        <w:rPr>
          <w:lang w:val="sv-FI"/>
        </w:rPr>
        <w:t>e</w:t>
      </w:r>
      <w:r w:rsidRPr="0067059B">
        <w:rPr>
          <w:lang w:val="sv-FI"/>
        </w:rPr>
        <w:t xml:space="preserve">gisterföring, och </w:t>
      </w:r>
    </w:p>
    <w:p w:rsidR="00C141B4" w:rsidRPr="0067059B" w:rsidRDefault="00C141B4" w:rsidP="008C2E2C">
      <w:pPr>
        <w:numPr>
          <w:ilvl w:val="0"/>
          <w:numId w:val="37"/>
        </w:numPr>
        <w:ind w:left="284" w:hanging="218"/>
        <w:rPr>
          <w:lang w:val="sv-FI"/>
        </w:rPr>
      </w:pPr>
      <w:r w:rsidRPr="0067059B">
        <w:rPr>
          <w:lang w:val="sv-FI"/>
        </w:rPr>
        <w:t>bättre samarbete mellan medlemsstater under tillsyn av de företag som bedriver gränsöverskridande handel.</w:t>
      </w:r>
    </w:p>
    <w:p w:rsidR="00C141B4" w:rsidRPr="009437B7" w:rsidRDefault="00C141B4" w:rsidP="009437B7">
      <w:pPr>
        <w:rPr>
          <w:lang w:val="sv-FI"/>
        </w:rPr>
      </w:pPr>
    </w:p>
    <w:p w:rsidR="00421222" w:rsidRDefault="00C141B4" w:rsidP="00421222">
      <w:r w:rsidRPr="009437B7">
        <w:rPr>
          <w:lang w:val="sv-FI"/>
        </w:rPr>
        <w:t>De föreslagna åtgärderna ska genomföras i två steg. Åtgärder som inte kr</w:t>
      </w:r>
      <w:r w:rsidRPr="009437B7">
        <w:rPr>
          <w:lang w:val="sv-FI"/>
        </w:rPr>
        <w:t>ä</w:t>
      </w:r>
      <w:r w:rsidRPr="00A455D6">
        <w:rPr>
          <w:lang w:val="sv-FI"/>
        </w:rPr>
        <w:t xml:space="preserve">ver några ändringar i </w:t>
      </w:r>
      <w:r w:rsidR="00AD1AED">
        <w:rPr>
          <w:lang w:val="sv-FI"/>
        </w:rPr>
        <w:t>IT</w:t>
      </w:r>
      <w:r w:rsidRPr="00A455D6">
        <w:rPr>
          <w:lang w:val="sv-FI"/>
        </w:rPr>
        <w:t>-systemen kan införas från början av 2018. Merpa</w:t>
      </w:r>
      <w:r w:rsidRPr="00A455D6">
        <w:rPr>
          <w:lang w:val="sv-FI"/>
        </w:rPr>
        <w:t>r</w:t>
      </w:r>
      <w:r w:rsidRPr="00A455D6">
        <w:rPr>
          <w:lang w:val="sv-FI"/>
        </w:rPr>
        <w:t xml:space="preserve">ten av förslagen kommer att införas från början av 2021, eftersom de kräver detaljerade genomförandebestämmelser och anpassningar av </w:t>
      </w:r>
      <w:r w:rsidR="00AD1AED">
        <w:rPr>
          <w:lang w:val="sv-FI"/>
        </w:rPr>
        <w:t>IT</w:t>
      </w:r>
      <w:r w:rsidRPr="00A455D6">
        <w:rPr>
          <w:lang w:val="sv-FI"/>
        </w:rPr>
        <w:t xml:space="preserve">-systemen för registrering, deklarering och bearbetning av mervärdesskatt. </w:t>
      </w:r>
      <w:r w:rsidR="001D7436">
        <w:rPr>
          <w:lang w:val="sv-FI"/>
        </w:rPr>
        <w:t>Vad avser</w:t>
      </w:r>
      <w:r w:rsidR="001D7436" w:rsidRPr="00A455D6">
        <w:rPr>
          <w:lang w:val="sv-FI"/>
        </w:rPr>
        <w:t xml:space="preserve"> smidigheten i transporterna </w:t>
      </w:r>
      <w:r w:rsidR="001D7436">
        <w:rPr>
          <w:lang w:val="sv-FI"/>
        </w:rPr>
        <w:t>befarar l</w:t>
      </w:r>
      <w:r w:rsidRPr="00A455D6">
        <w:rPr>
          <w:lang w:val="sv-FI"/>
        </w:rPr>
        <w:t xml:space="preserve">andskapsregeringen att avskaffandet </w:t>
      </w:r>
      <w:r w:rsidRPr="001D7436">
        <w:rPr>
          <w:lang w:val="sv-FI"/>
        </w:rPr>
        <w:t>av momsundantag</w:t>
      </w:r>
      <w:r w:rsidR="001D7436" w:rsidRPr="001D7436">
        <w:rPr>
          <w:lang w:val="sv-FI"/>
        </w:rPr>
        <w:t>e</w:t>
      </w:r>
      <w:r w:rsidRPr="001D7436">
        <w:rPr>
          <w:lang w:val="sv-FI"/>
        </w:rPr>
        <w:t>t</w:t>
      </w:r>
      <w:r w:rsidRPr="00A455D6">
        <w:rPr>
          <w:lang w:val="sv-FI"/>
        </w:rPr>
        <w:t xml:space="preserve"> medför att de administrativa kostnaderna blir högre än de fördelar man kan få av den in</w:t>
      </w:r>
      <w:r w:rsidR="001D7436">
        <w:rPr>
          <w:lang w:val="sv-FI"/>
        </w:rPr>
        <w:t>drivna skatten</w:t>
      </w:r>
      <w:r w:rsidRPr="00A455D6">
        <w:rPr>
          <w:lang w:val="sv-FI"/>
        </w:rPr>
        <w:t xml:space="preserve">. </w:t>
      </w:r>
      <w:r w:rsidR="00421222" w:rsidRPr="00413DB8">
        <w:t>Landskapsregeringen</w:t>
      </w:r>
      <w:r w:rsidR="00421222">
        <w:t xml:space="preserve"> </w:t>
      </w:r>
      <w:r w:rsidR="00421222" w:rsidRPr="00413DB8">
        <w:t>stimul</w:t>
      </w:r>
      <w:r w:rsidR="00421222" w:rsidRPr="00413DB8">
        <w:t>e</w:t>
      </w:r>
      <w:r w:rsidR="00421222" w:rsidRPr="00413DB8">
        <w:t>ra</w:t>
      </w:r>
      <w:r w:rsidR="00421222">
        <w:t>r kontinuerligt</w:t>
      </w:r>
      <w:r w:rsidR="00421222" w:rsidRPr="00413DB8">
        <w:t xml:space="preserve"> företagsverksamheten på Åland, </w:t>
      </w:r>
      <w:r w:rsidR="00421222">
        <w:t>varför landskapsregerin</w:t>
      </w:r>
      <w:r w:rsidR="00421222">
        <w:t>g</w:t>
      </w:r>
      <w:r w:rsidR="00421222">
        <w:t xml:space="preserve">en aktivt följer </w:t>
      </w:r>
      <w:r w:rsidR="00421222">
        <w:rPr>
          <w:bCs/>
        </w:rPr>
        <w:t xml:space="preserve">det </w:t>
      </w:r>
      <w:r w:rsidR="00421222" w:rsidRPr="00A455D6">
        <w:rPr>
          <w:bCs/>
        </w:rPr>
        <w:t>fortsatt</w:t>
      </w:r>
      <w:r w:rsidR="00421222">
        <w:rPr>
          <w:bCs/>
        </w:rPr>
        <w:t>a</w:t>
      </w:r>
      <w:r w:rsidR="00421222" w:rsidRPr="00A455D6">
        <w:rPr>
          <w:bCs/>
        </w:rPr>
        <w:t xml:space="preserve"> arbetet </w:t>
      </w:r>
      <w:r w:rsidR="00421222">
        <w:rPr>
          <w:bCs/>
        </w:rPr>
        <w:t>v</w:t>
      </w:r>
      <w:r w:rsidR="00421222" w:rsidRPr="00A455D6">
        <w:rPr>
          <w:bCs/>
        </w:rPr>
        <w:t>i</w:t>
      </w:r>
      <w:r w:rsidR="00421222">
        <w:rPr>
          <w:bCs/>
        </w:rPr>
        <w:t>d</w:t>
      </w:r>
      <w:r w:rsidR="00421222" w:rsidRPr="00A455D6">
        <w:rPr>
          <w:bCs/>
        </w:rPr>
        <w:t xml:space="preserve"> </w:t>
      </w:r>
      <w:r w:rsidR="00421222">
        <w:rPr>
          <w:bCs/>
        </w:rPr>
        <w:t>EU:s institutioner</w:t>
      </w:r>
      <w:r w:rsidR="00421222" w:rsidRPr="00A455D6">
        <w:rPr>
          <w:bCs/>
        </w:rPr>
        <w:t>, med syfte att b</w:t>
      </w:r>
      <w:r w:rsidR="00421222" w:rsidRPr="00A455D6">
        <w:rPr>
          <w:bCs/>
        </w:rPr>
        <w:t>e</w:t>
      </w:r>
      <w:r w:rsidR="00421222" w:rsidRPr="00A455D6">
        <w:rPr>
          <w:bCs/>
        </w:rPr>
        <w:t>vaka land</w:t>
      </w:r>
      <w:r w:rsidR="00421222">
        <w:rPr>
          <w:bCs/>
        </w:rPr>
        <w:t xml:space="preserve">skapets intressen och </w:t>
      </w:r>
      <w:r w:rsidR="00421222">
        <w:t xml:space="preserve">underlätta </w:t>
      </w:r>
      <w:r w:rsidR="00421222" w:rsidRPr="00413DB8">
        <w:t>företagsverksamheten på Åland</w:t>
      </w:r>
      <w:r w:rsidR="00421222">
        <w:t>. De planerade åtgärderna får inte medföra större kostnader i förhållande till vad åtgärderna kan inbringa när det gäller positiva fördelar. Landskapsreg</w:t>
      </w:r>
      <w:r w:rsidR="00421222">
        <w:t>e</w:t>
      </w:r>
      <w:r w:rsidR="00421222">
        <w:t>ringen anser att det även är viktigt att den praktiska hanteringen gällande beskattningen fortsättningsvis sköts smidigt, så att det inte i framtiden blir mer komplicerat än vad det är nu.</w:t>
      </w:r>
    </w:p>
    <w:p w:rsidR="006501DC" w:rsidRPr="005E6452" w:rsidRDefault="004406DE" w:rsidP="00421222">
      <w:pPr>
        <w:pStyle w:val="Rubrik3"/>
      </w:pPr>
      <w:bookmarkStart w:id="136" w:name="_Toc477423997"/>
      <w:r w:rsidRPr="005E6452">
        <w:t xml:space="preserve">3.2.7 </w:t>
      </w:r>
      <w:bookmarkStart w:id="137" w:name="_Toc410897667"/>
      <w:bookmarkStart w:id="138" w:name="_Toc412712684"/>
      <w:bookmarkStart w:id="139" w:name="_Toc442442853"/>
      <w:bookmarkEnd w:id="133"/>
      <w:bookmarkEnd w:id="134"/>
      <w:bookmarkEnd w:id="135"/>
      <w:r w:rsidR="006501DC" w:rsidRPr="005E6452">
        <w:t>Jordbruk</w:t>
      </w:r>
      <w:bookmarkEnd w:id="136"/>
    </w:p>
    <w:p w:rsidR="006501DC" w:rsidRPr="005E6452" w:rsidRDefault="006501DC" w:rsidP="009437B7">
      <w:pPr>
        <w:jc w:val="both"/>
      </w:pPr>
      <w:r w:rsidRPr="005E6452">
        <w:t>I</w:t>
      </w:r>
      <w:r w:rsidR="005D58D6">
        <w:t xml:space="preserve"> kommissionens arbetsprogram för 2017 </w:t>
      </w:r>
      <w:r w:rsidRPr="005E6452">
        <w:t xml:space="preserve">finns inga nya </w:t>
      </w:r>
      <w:r w:rsidR="005D58D6">
        <w:t>jordbruks</w:t>
      </w:r>
      <w:r w:rsidRPr="005E6452">
        <w:t>ini</w:t>
      </w:r>
      <w:r w:rsidR="005D58D6">
        <w:t xml:space="preserve">tiativ </w:t>
      </w:r>
      <w:r w:rsidRPr="005E6452">
        <w:t>som</w:t>
      </w:r>
      <w:r w:rsidR="005D58D6">
        <w:t xml:space="preserve"> landskapsregeringen kommer att prioritera</w:t>
      </w:r>
      <w:r w:rsidRPr="005E6452">
        <w:t xml:space="preserve">. Av tidigare initiativ följer landskapsregeringen </w:t>
      </w:r>
      <w:r w:rsidR="005D58D6">
        <w:t xml:space="preserve">den ännu inte slutförda </w:t>
      </w:r>
      <w:r w:rsidRPr="005E6452">
        <w:t>lagstiftning</w:t>
      </w:r>
      <w:r w:rsidR="005D58D6">
        <w:t>sreformen</w:t>
      </w:r>
      <w:r w:rsidRPr="005E6452">
        <w:t xml:space="preserve"> </w:t>
      </w:r>
      <w:r w:rsidR="005D58D6">
        <w:t>av</w:t>
      </w:r>
      <w:r w:rsidRPr="005E6452">
        <w:t xml:space="preserve"> den ekologiska produktionen. Landskapsregeringen kommer också under året att aktivt följa diskussionerna inom EU</w:t>
      </w:r>
      <w:r w:rsidR="005D58D6">
        <w:t xml:space="preserve">:s </w:t>
      </w:r>
      <w:r w:rsidRPr="005E6452">
        <w:t>institutioner gällande jordbruk</w:t>
      </w:r>
      <w:r w:rsidRPr="005E6452">
        <w:t>s</w:t>
      </w:r>
      <w:r w:rsidRPr="005E6452">
        <w:t>poli</w:t>
      </w:r>
      <w:r w:rsidR="005D58D6">
        <w:t>tiken efter 2020.</w:t>
      </w:r>
    </w:p>
    <w:p w:rsidR="00DD5BE0" w:rsidRPr="00A163E5" w:rsidRDefault="005B258E" w:rsidP="005B258E">
      <w:pPr>
        <w:pStyle w:val="Rubrik3"/>
        <w:numPr>
          <w:ilvl w:val="0"/>
          <w:numId w:val="0"/>
        </w:numPr>
      </w:pPr>
      <w:bookmarkStart w:id="140" w:name="_Toc442442854"/>
      <w:bookmarkStart w:id="141" w:name="_Toc477423998"/>
      <w:bookmarkEnd w:id="137"/>
      <w:bookmarkEnd w:id="138"/>
      <w:bookmarkEnd w:id="139"/>
      <w:r w:rsidRPr="00A163E5">
        <w:lastRenderedPageBreak/>
        <w:t>3.2.</w:t>
      </w:r>
      <w:r w:rsidR="00B45D0E">
        <w:t>8</w:t>
      </w:r>
      <w:r w:rsidRPr="00A163E5">
        <w:t xml:space="preserve"> </w:t>
      </w:r>
      <w:r w:rsidR="00DD5BE0" w:rsidRPr="00A163E5">
        <w:t>Jakt- och viltvård</w:t>
      </w:r>
      <w:bookmarkEnd w:id="140"/>
      <w:bookmarkEnd w:id="141"/>
    </w:p>
    <w:p w:rsidR="0010297A" w:rsidRPr="00A163E5" w:rsidRDefault="00402718" w:rsidP="0010297A">
      <w:bookmarkStart w:id="142" w:name="_Toc410897670"/>
      <w:bookmarkStart w:id="143" w:name="_Toc412712687"/>
      <w:bookmarkStart w:id="144" w:name="_Toc442442855"/>
      <w:r>
        <w:t>K</w:t>
      </w:r>
      <w:r w:rsidR="0010297A" w:rsidRPr="00A163E5">
        <w:t xml:space="preserve">ommissionens arbetsprogram för 2016 </w:t>
      </w:r>
      <w:r>
        <w:t>tog upp</w:t>
      </w:r>
      <w:r w:rsidR="0010297A" w:rsidRPr="00A163E5">
        <w:t xml:space="preserve"> förnya</w:t>
      </w:r>
      <w:r>
        <w:t>ndet av</w:t>
      </w:r>
      <w:r w:rsidR="0010297A" w:rsidRPr="00A163E5">
        <w:t xml:space="preserve"> lagstif</w:t>
      </w:r>
      <w:r w:rsidR="0010297A" w:rsidRPr="00A163E5">
        <w:t>t</w:t>
      </w:r>
      <w:r w:rsidR="0010297A" w:rsidRPr="00A163E5">
        <w:t>ningen om handeldvapen, direktiv 91/477/EEG om kontroll av förvärv och innehav av vapen. Arbetet accelererade som en reaktion på terrorattentaten i Paris och ett förslag till ändringar av direktivet presenterades redan i n</w:t>
      </w:r>
      <w:r w:rsidR="0010297A" w:rsidRPr="00A163E5">
        <w:t>o</w:t>
      </w:r>
      <w:r w:rsidR="0010297A" w:rsidRPr="00A163E5">
        <w:t>vember 2015. Landskap</w:t>
      </w:r>
      <w:r>
        <w:t>et</w:t>
      </w:r>
      <w:r w:rsidR="0010297A" w:rsidRPr="00A163E5">
        <w:t xml:space="preserve"> har inte lagstiftningsbehörighet på området men eftersom frågan är av särskilt intresse för Åland sände landskapsregeringen ett utlåtande till inrikesministeriet som ansvarade för beredningen av äre</w:t>
      </w:r>
      <w:r w:rsidR="0010297A" w:rsidRPr="00A163E5">
        <w:t>n</w:t>
      </w:r>
      <w:r w:rsidR="0010297A" w:rsidRPr="00A163E5">
        <w:t>det i riket. Kommissionen fick motta mycket kritik för det ursprungliga fö</w:t>
      </w:r>
      <w:r w:rsidR="0010297A" w:rsidRPr="00A163E5">
        <w:t>r</w:t>
      </w:r>
      <w:r w:rsidR="0010297A" w:rsidRPr="00A163E5">
        <w:t xml:space="preserve">slaget, men efter behandlingar i utskotten och i triloger mellan </w:t>
      </w:r>
      <w:r>
        <w:t>E</w:t>
      </w:r>
      <w:r w:rsidR="0010297A" w:rsidRPr="00A163E5">
        <w:t>uropapa</w:t>
      </w:r>
      <w:r w:rsidR="0010297A" w:rsidRPr="00A163E5">
        <w:t>r</w:t>
      </w:r>
      <w:r w:rsidR="0010297A" w:rsidRPr="00A163E5">
        <w:t xml:space="preserve">lamentet, rådet och kommissionen har förslaget </w:t>
      </w:r>
      <w:r>
        <w:t>förbättrats avsevärt</w:t>
      </w:r>
      <w:r w:rsidR="0010297A" w:rsidRPr="00A163E5">
        <w:t xml:space="preserve">. Bland annat </w:t>
      </w:r>
      <w:r>
        <w:t>ha</w:t>
      </w:r>
      <w:r w:rsidR="0010297A" w:rsidRPr="00A163E5">
        <w:t xml:space="preserve">r de otydliga formuleringarna som riskerade att förbjuda vanliga halvautomatiska jaktvapen </w:t>
      </w:r>
      <w:r>
        <w:t xml:space="preserve">tagits </w:t>
      </w:r>
      <w:r w:rsidR="0010297A" w:rsidRPr="00A163E5">
        <w:t>bort och medlems</w:t>
      </w:r>
      <w:r>
        <w:t>staterna</w:t>
      </w:r>
      <w:r w:rsidR="0010297A" w:rsidRPr="00A163E5">
        <w:t xml:space="preserve"> har fått större frihet att utforma system för kontroll av vapeninnehav. Resultatet av tril</w:t>
      </w:r>
      <w:r w:rsidR="0010297A" w:rsidRPr="00A163E5">
        <w:t>o</w:t>
      </w:r>
      <w:r w:rsidR="0010297A" w:rsidRPr="00A163E5">
        <w:t xml:space="preserve">gerna presenterades i slutet av december 2016 och det reviderade förslaget går </w:t>
      </w:r>
      <w:r>
        <w:t>därefter</w:t>
      </w:r>
      <w:r w:rsidR="0010297A" w:rsidRPr="00A163E5">
        <w:t xml:space="preserve"> till omröstning i </w:t>
      </w:r>
      <w:r>
        <w:t>Europa</w:t>
      </w:r>
      <w:r w:rsidR="0010297A" w:rsidRPr="00A163E5">
        <w:t xml:space="preserve">parlamentet. </w:t>
      </w:r>
    </w:p>
    <w:p w:rsidR="0010297A" w:rsidRPr="00A163E5" w:rsidRDefault="009437B7" w:rsidP="009437B7">
      <w:r>
        <w:tab/>
      </w:r>
      <w:r w:rsidR="0010297A" w:rsidRPr="00A163E5">
        <w:t>Kommissionen har presenterat resultatet av den ändamålsenlighetsko</w:t>
      </w:r>
      <w:r w:rsidR="0010297A" w:rsidRPr="00A163E5">
        <w:t>n</w:t>
      </w:r>
      <w:r w:rsidR="0010297A" w:rsidRPr="00A163E5">
        <w:t>troll av EU:s naturlagstiftning; direktiv 2009/147/EG om bevarande av vilda fåglar (fågeldirektivet) och direktiv 92/43/EEG om bevarande av livsmiljöer samt vilda djur och växter (habitatdirektivet), som påbörjades under 2015. Direktiven kommer inte att revid</w:t>
      </w:r>
      <w:r w:rsidR="00402718">
        <w:t>eras utan kommissionen kommer i</w:t>
      </w:r>
      <w:r w:rsidR="0010297A" w:rsidRPr="00A163E5">
        <w:t>stället satsa på att förbättra implementeringen genom ett förbättrat samarbete med lokala myndigheter och andra intressegrupper i medlem</w:t>
      </w:r>
      <w:r w:rsidR="0010297A" w:rsidRPr="00A163E5">
        <w:t>s</w:t>
      </w:r>
      <w:r w:rsidR="0010297A" w:rsidRPr="00A163E5">
        <w:t xml:space="preserve">staterna. </w:t>
      </w:r>
    </w:p>
    <w:p w:rsidR="004406DE" w:rsidRPr="00A163E5" w:rsidRDefault="004406DE" w:rsidP="004406DE">
      <w:pPr>
        <w:pStyle w:val="Rubrik3"/>
      </w:pPr>
      <w:bookmarkStart w:id="145" w:name="_Toc477423999"/>
      <w:r w:rsidRPr="00A163E5">
        <w:t>3.2.</w:t>
      </w:r>
      <w:r w:rsidR="00B45D0E">
        <w:t>9</w:t>
      </w:r>
      <w:r w:rsidRPr="00A163E5">
        <w:t xml:space="preserve"> Miljö</w:t>
      </w:r>
      <w:bookmarkEnd w:id="142"/>
      <w:bookmarkEnd w:id="143"/>
      <w:bookmarkEnd w:id="144"/>
      <w:r w:rsidR="00BB3122" w:rsidRPr="00A163E5">
        <w:t xml:space="preserve"> och hållbar utveckling</w:t>
      </w:r>
      <w:bookmarkEnd w:id="145"/>
    </w:p>
    <w:p w:rsidR="005F3AFE" w:rsidRPr="0028560D" w:rsidRDefault="005F3AFE" w:rsidP="009437B7">
      <w:bookmarkStart w:id="146" w:name="_Toc410897671"/>
      <w:bookmarkStart w:id="147" w:name="_Toc412712688"/>
      <w:bookmarkStart w:id="148" w:name="_Toc442442856"/>
      <w:r w:rsidRPr="0028560D">
        <w:t>Landskapsregeringen fortsätter att följa med behandlingen av kommissio</w:t>
      </w:r>
      <w:r w:rsidRPr="0028560D">
        <w:t>n</w:t>
      </w:r>
      <w:r w:rsidRPr="0028560D">
        <w:t>ens meddelande om ett handlingsprogram för cirkulär ekonomi COM(2015) 614 och förslagen till ändringar av ett flertal direktiv som rör avfallssektorn COM(2015) 593, COM(2015) 594, COM(2015) 595 och COM(2015) 596. Landskapsregeringen sände sitt ställningstagande om fö</w:t>
      </w:r>
      <w:r w:rsidRPr="0028560D">
        <w:t>r</w:t>
      </w:r>
      <w:r w:rsidRPr="0028560D">
        <w:t>slagspaketet till miljöministeriet samt som ett informationsärende till la</w:t>
      </w:r>
      <w:r w:rsidRPr="0028560D">
        <w:t>g</w:t>
      </w:r>
      <w:r w:rsidRPr="0028560D">
        <w:t>tinget i januari 2016. I ställningstagandet såg landskapsregeringen mycket positivt på cirkulär ekonomi och kretsloppssamhälle, men framförde att den omfattande rapporteringen som föreslås i direktiven kan komma att inn</w:t>
      </w:r>
      <w:r w:rsidRPr="0028560D">
        <w:t>e</w:t>
      </w:r>
      <w:r w:rsidRPr="0028560D">
        <w:t>bära mera administrativt arbete och ökade kostnader, och att det med bea</w:t>
      </w:r>
      <w:r w:rsidRPr="0028560D">
        <w:t>k</w:t>
      </w:r>
      <w:r w:rsidRPr="0028560D">
        <w:t>tande av Ålands litenhet finns en uppenbar risk att de nya kraven kan bli omfattande i förhållande till nyttan.</w:t>
      </w:r>
    </w:p>
    <w:p w:rsidR="005F3AFE" w:rsidRPr="00DF6DC8" w:rsidRDefault="009437B7" w:rsidP="009437B7">
      <w:r>
        <w:tab/>
      </w:r>
      <w:r w:rsidR="005F3AFE" w:rsidRPr="00DF6DC8">
        <w:t>Ur kommissionens arbetsprogram för 2017 framgår att ett av de nya in</w:t>
      </w:r>
      <w:r w:rsidR="005F3AFE" w:rsidRPr="00DF6DC8">
        <w:t>i</w:t>
      </w:r>
      <w:r w:rsidR="005F3AFE" w:rsidRPr="00DF6DC8">
        <w:t>tiativen är en handlingsplan för den cirkulära ekonomin med ett flertal e</w:t>
      </w:r>
      <w:r w:rsidR="005F3AFE" w:rsidRPr="00DF6DC8">
        <w:t>n</w:t>
      </w:r>
      <w:r w:rsidR="005F3AFE" w:rsidRPr="00DF6DC8">
        <w:t>skilda förslag. Dessa är en strategi för användning, återanvändning och återvinning av plast (icke-lagstiftning, fjärde kvartalet 2017), åtgärder för vatten, ett förslag till förordning om minimikrav på återanvänt vatten (inkl. konsekvensbedömning, artikel 192 i EUF-fördraget, andra kvartalet 2017), en Refit</w:t>
      </w:r>
      <w:r w:rsidR="00AD1AED" w:rsidRPr="00DF6DC8">
        <w:t>-</w:t>
      </w:r>
      <w:r w:rsidR="005F3AFE" w:rsidRPr="00DF6DC8">
        <w:t>översyn av dricksvattendirektivet (inkl. konsekvensbedömning, a</w:t>
      </w:r>
      <w:r w:rsidR="005F3AFE" w:rsidRPr="00DF6DC8">
        <w:t>r</w:t>
      </w:r>
      <w:r w:rsidR="005F3AFE" w:rsidRPr="00DF6DC8">
        <w:t>tikel 192.1 i EUF-fördraget, fjärde kvartalet 2017), ett initiativ för att å</w:t>
      </w:r>
      <w:r w:rsidR="005F3AFE" w:rsidRPr="00DF6DC8">
        <w:t>t</w:t>
      </w:r>
      <w:r w:rsidR="005F3AFE" w:rsidRPr="00DF6DC8">
        <w:t>gärda rättsliga, tekniska och praktiska hinder på grund av samverkan me</w:t>
      </w:r>
      <w:r w:rsidR="005F3AFE" w:rsidRPr="00DF6DC8">
        <w:t>l</w:t>
      </w:r>
      <w:r w:rsidR="005F3AFE" w:rsidRPr="00DF6DC8">
        <w:t>lan kemikalie-, produkt- och avfallslagstiftning (icke-lagstiftning, fjärde kvartalet 2017) samt former för övervakning av den cirkulära ekonomin (icke-lagstiftning, tredje kvartalet 2017). Alla dessa förslag kan vara intre</w:t>
      </w:r>
      <w:r w:rsidR="005F3AFE" w:rsidRPr="00DF6DC8">
        <w:t>s</w:t>
      </w:r>
      <w:r w:rsidR="005F3AFE" w:rsidRPr="00DF6DC8">
        <w:t>santa för landskapsregeringen. På basen av det konkreta innehållet i försl</w:t>
      </w:r>
      <w:r w:rsidR="005F3AFE" w:rsidRPr="00DF6DC8">
        <w:t>a</w:t>
      </w:r>
      <w:r w:rsidR="005F3AFE" w:rsidRPr="00DF6DC8">
        <w:t>gen kommer landskapsregeringen att för varje förslag göra en bedömning på vilket sätt landskapsregeringen ska bevaka behandlingen av förslaget.</w:t>
      </w:r>
    </w:p>
    <w:p w:rsidR="005F3AFE" w:rsidRPr="00DF6DC8" w:rsidRDefault="009437B7" w:rsidP="009437B7">
      <w:r w:rsidRPr="00DF6DC8">
        <w:tab/>
      </w:r>
      <w:r w:rsidR="005F3AFE" w:rsidRPr="00DF6DC8">
        <w:t>Inom det nya initiativet En mer strategisk inställning till tillämpningen av EU-rätten kommer landskapsregeringen att göra motsvarande bedö</w:t>
      </w:r>
      <w:r w:rsidR="005F3AFE" w:rsidRPr="00DF6DC8">
        <w:t>m</w:t>
      </w:r>
      <w:r w:rsidR="00AD1AED" w:rsidRPr="00DF6DC8">
        <w:t>ning av R</w:t>
      </w:r>
      <w:r w:rsidR="005F3AFE" w:rsidRPr="00DF6DC8">
        <w:t>efit</w:t>
      </w:r>
      <w:r w:rsidR="00AD1AED" w:rsidRPr="00DF6DC8">
        <w:t>-</w:t>
      </w:r>
      <w:r w:rsidR="005F3AFE" w:rsidRPr="00DF6DC8">
        <w:t>init</w:t>
      </w:r>
      <w:r w:rsidR="009E5A36" w:rsidRPr="00DF6DC8">
        <w:t>i</w:t>
      </w:r>
      <w:r w:rsidR="005F3AFE" w:rsidRPr="00DF6DC8">
        <w:t xml:space="preserve">ativet för korrekt genomförande och genomdrivande av </w:t>
      </w:r>
      <w:r w:rsidR="005F3AFE" w:rsidRPr="00DF6DC8">
        <w:lastRenderedPageBreak/>
        <w:t>miljöreglerna, bl.a. garantier för att miljöreglerna följs (icke-lagstiftning, tredje kvartalet 2017), tillgång till rättsmedel (icke-lagstiftning, första kva</w:t>
      </w:r>
      <w:r w:rsidR="005F3AFE" w:rsidRPr="00DF6DC8">
        <w:t>r</w:t>
      </w:r>
      <w:r w:rsidR="005F3AFE" w:rsidRPr="00DF6DC8">
        <w:t>talet 2017) och övervakning, insyn och rapportering (lagstiftning/icke-lagstiftning, andra kvartalet 2017).</w:t>
      </w:r>
    </w:p>
    <w:p w:rsidR="002B7BCF" w:rsidRPr="00DF6DC8" w:rsidRDefault="009437B7" w:rsidP="009437B7">
      <w:r w:rsidRPr="00DF6DC8">
        <w:tab/>
      </w:r>
      <w:r w:rsidR="005F3AFE" w:rsidRPr="00DF6DC8">
        <w:t xml:space="preserve">Landskapsregeringen kommer att utvärdera om </w:t>
      </w:r>
      <w:r w:rsidR="00AD1AED" w:rsidRPr="00DF6DC8">
        <w:t>R</w:t>
      </w:r>
      <w:r w:rsidR="005F3AFE" w:rsidRPr="00DF6DC8">
        <w:t>efit</w:t>
      </w:r>
      <w:r w:rsidR="00AD1AED" w:rsidRPr="00DF6DC8">
        <w:t>-</w:t>
      </w:r>
      <w:r w:rsidR="005F3AFE" w:rsidRPr="00DF6DC8">
        <w:t>initiativet Avfall från elektrisk och elektronisk utrustning som skulle innehålla en genomf</w:t>
      </w:r>
      <w:r w:rsidR="005F3AFE" w:rsidRPr="00DF6DC8">
        <w:t>ö</w:t>
      </w:r>
      <w:r w:rsidR="005F3AFE" w:rsidRPr="00DF6DC8">
        <w:t>randeakt om standardformat och tidsfrister för rapportering (direktiv 2012/19/EU, artikel 16.3; fjärde kvartalet 2017) har ett intressant innehåll för landskapsregeringen.</w:t>
      </w:r>
      <w:r w:rsidR="004952FD" w:rsidRPr="00DF6DC8">
        <w:t xml:space="preserve"> </w:t>
      </w:r>
    </w:p>
    <w:p w:rsidR="004406DE" w:rsidRPr="008E5803" w:rsidRDefault="004406DE" w:rsidP="004406DE">
      <w:pPr>
        <w:pStyle w:val="Rubrik3"/>
      </w:pPr>
      <w:bookmarkStart w:id="149" w:name="_Toc477424000"/>
      <w:r w:rsidRPr="008E5803">
        <w:t>3.2.1</w:t>
      </w:r>
      <w:r w:rsidR="00B45D0E">
        <w:t>0</w:t>
      </w:r>
      <w:r w:rsidRPr="008E5803">
        <w:t xml:space="preserve"> Energi</w:t>
      </w:r>
      <w:bookmarkEnd w:id="146"/>
      <w:bookmarkEnd w:id="147"/>
      <w:bookmarkEnd w:id="148"/>
      <w:bookmarkEnd w:id="149"/>
    </w:p>
    <w:p w:rsidR="00B63B5E" w:rsidRPr="008E5803" w:rsidRDefault="00B63B5E" w:rsidP="009437B7">
      <w:bookmarkStart w:id="150" w:name="_Toc410897672"/>
      <w:bookmarkStart w:id="151" w:name="_Toc412712689"/>
      <w:bookmarkStart w:id="152" w:name="_Toc442442857"/>
      <w:r w:rsidRPr="008E5803">
        <w:t>Genom de initiativ som presenteras inför 2017 är kommissionens ambition fortsatt hög. Generellt krävs långsiktiga målsättningar i energifrågor för att minska de klimatpåverkande utsläppen. En viktig målsättning är att alla energikonsumenter ska ha tillgång till en fullt integrerad energimarknad och den säkerhet som energiförbindelser till andra medlemsstater medför. Strävan fortsätter att genomföra en integrerad inre energimarknad och ökad energieffektivitet i syfte att förbättra konkurrenskraften och hållbarheten. Energieffektivitet</w:t>
      </w:r>
      <w:r w:rsidRPr="008E5803">
        <w:rPr>
          <w:szCs w:val="16"/>
        </w:rPr>
        <w:t xml:space="preserve"> </w:t>
      </w:r>
      <w:r w:rsidRPr="008E5803">
        <w:t>är ett av de mest kostnadseffektiva sätten att trygga ene</w:t>
      </w:r>
      <w:r w:rsidRPr="008E5803">
        <w:t>r</w:t>
      </w:r>
      <w:r w:rsidRPr="008E5803">
        <w:t>giförsörjningen och minska utsläppen av växthusgaser och andra föror</w:t>
      </w:r>
      <w:r w:rsidRPr="008E5803">
        <w:t>e</w:t>
      </w:r>
      <w:r w:rsidRPr="008E5803">
        <w:t>ningar.</w:t>
      </w:r>
    </w:p>
    <w:p w:rsidR="00B63B5E" w:rsidRPr="0080156B" w:rsidRDefault="009437B7" w:rsidP="009437B7">
      <w:r>
        <w:tab/>
      </w:r>
      <w:r w:rsidR="00B63B5E" w:rsidRPr="0080156B">
        <w:t>EU har en tydlig ram för energi- och klimatpolitiken till 2020 och fra</w:t>
      </w:r>
      <w:r w:rsidR="00B63B5E" w:rsidRPr="0080156B">
        <w:t>m</w:t>
      </w:r>
      <w:r w:rsidR="00B63B5E" w:rsidRPr="0080156B">
        <w:t>över. Denna ram samordnar olika politiska mål, som att minska växthu</w:t>
      </w:r>
      <w:r w:rsidR="00B63B5E" w:rsidRPr="0080156B">
        <w:t>s</w:t>
      </w:r>
      <w:r w:rsidR="00B63B5E" w:rsidRPr="0080156B">
        <w:t>gasutsläppen, trygga energiförsörjningen och främja tillväxt, konkurren</w:t>
      </w:r>
      <w:r w:rsidR="00B63B5E" w:rsidRPr="0080156B">
        <w:t>s</w:t>
      </w:r>
      <w:r w:rsidR="00B63B5E" w:rsidRPr="0080156B">
        <w:t>kraft och sysselsättning</w:t>
      </w:r>
      <w:r w:rsidR="0063471C">
        <w:t>.</w:t>
      </w:r>
      <w:r w:rsidR="00B63B5E" w:rsidRPr="0080156B">
        <w:t xml:space="preserve"> Även om EU är på väg att nå målen för 2020</w:t>
      </w:r>
      <w:r w:rsidR="0063471C">
        <w:t>,</w:t>
      </w:r>
      <w:r w:rsidR="00B63B5E" w:rsidRPr="0080156B">
        <w:t xml:space="preserve"> u</w:t>
      </w:r>
      <w:r w:rsidR="00B63B5E" w:rsidRPr="0080156B">
        <w:t>t</w:t>
      </w:r>
      <w:r w:rsidR="00B63B5E" w:rsidRPr="0080156B">
        <w:t xml:space="preserve">formas nu en ny ram för klimat- och energipolitiken fram till 2030. </w:t>
      </w:r>
    </w:p>
    <w:p w:rsidR="00B63B5E" w:rsidRPr="0080156B" w:rsidRDefault="00B63B5E" w:rsidP="00B63B5E">
      <w:pPr>
        <w:autoSpaceDE w:val="0"/>
        <w:autoSpaceDN w:val="0"/>
        <w:adjustRightInd w:val="0"/>
      </w:pPr>
      <w:r w:rsidRPr="0080156B">
        <w:t>En tidig överenskomme</w:t>
      </w:r>
      <w:r w:rsidR="0063471C">
        <w:t>lse om ramen för 2030 är viktig</w:t>
      </w:r>
      <w:r w:rsidRPr="0080156B">
        <w:t xml:space="preserve"> av flera skäl: </w:t>
      </w:r>
    </w:p>
    <w:p w:rsidR="00B63B5E" w:rsidRPr="0080156B" w:rsidRDefault="00B63B5E" w:rsidP="00B63B5E">
      <w:pPr>
        <w:autoSpaceDE w:val="0"/>
        <w:autoSpaceDN w:val="0"/>
        <w:adjustRightInd w:val="0"/>
      </w:pPr>
      <w:r w:rsidRPr="0080156B">
        <w:t>Långa investeringscykler innebär att infrastruktur som finansieras under den</w:t>
      </w:r>
      <w:r w:rsidR="0080156B" w:rsidRPr="0080156B">
        <w:t xml:space="preserve"> </w:t>
      </w:r>
      <w:r w:rsidRPr="0080156B">
        <w:t>närmaste tiden kommer att finnas kvar 2030 och därefter.</w:t>
      </w:r>
      <w:r w:rsidR="0063471C">
        <w:t xml:space="preserve"> </w:t>
      </w:r>
      <w:r w:rsidRPr="0080156B">
        <w:t>Ett förtydl</w:t>
      </w:r>
      <w:r w:rsidRPr="0080156B">
        <w:t>i</w:t>
      </w:r>
      <w:r w:rsidRPr="0080156B">
        <w:t>gande av målen för 2030 kommer att stödja utvecklingen mot en</w:t>
      </w:r>
    </w:p>
    <w:p w:rsidR="00B63B5E" w:rsidRPr="0080156B" w:rsidRDefault="00B63B5E" w:rsidP="00B63B5E">
      <w:pPr>
        <w:autoSpaceDE w:val="0"/>
        <w:autoSpaceDN w:val="0"/>
        <w:adjustRightInd w:val="0"/>
      </w:pPr>
      <w:r w:rsidRPr="0080156B">
        <w:t>konkurrenskraftig ekonomi och ett tryggt energisystem genom att skapa ökad</w:t>
      </w:r>
      <w:r w:rsidR="0080156B" w:rsidRPr="0080156B">
        <w:t xml:space="preserve"> </w:t>
      </w:r>
      <w:r w:rsidRPr="0080156B">
        <w:t>efterfrågan på effektiv och koldioxidsnål teknik och främja forskning, utveckling och innovation.</w:t>
      </w:r>
    </w:p>
    <w:p w:rsidR="009437B7" w:rsidRDefault="009437B7" w:rsidP="009437B7">
      <w:r>
        <w:tab/>
      </w:r>
      <w:r w:rsidR="00B63B5E" w:rsidRPr="002C7AEB">
        <w:t>För att genomföra ovanstående målsättningar utarbetar kommissionen direktiv som ska implementeras i den nationella lagstiftningen. Under 2016 har Ålands energimyndighet inlett sin verksamhet</w:t>
      </w:r>
      <w:r w:rsidR="00B63B5E" w:rsidRPr="002228F0">
        <w:t xml:space="preserve">. Delar av tillsynsansvaret som tidigare </w:t>
      </w:r>
      <w:r w:rsidR="002228F0" w:rsidRPr="002228F0">
        <w:t>inne</w:t>
      </w:r>
      <w:r w:rsidR="00B63B5E" w:rsidRPr="002228F0">
        <w:t>hades av landskapsregeringen har överförts till energ</w:t>
      </w:r>
      <w:r w:rsidR="00B63B5E" w:rsidRPr="002228F0">
        <w:t>i</w:t>
      </w:r>
      <w:r w:rsidR="00B63B5E" w:rsidRPr="002228F0">
        <w:t>myndigheten. Anpassningen av landskapets lagstiftning utgår från bestä</w:t>
      </w:r>
      <w:r w:rsidR="00B63B5E" w:rsidRPr="002228F0">
        <w:t>m</w:t>
      </w:r>
      <w:r w:rsidR="00B63B5E" w:rsidRPr="002228F0">
        <w:t>melserna i energimarknadsdirektivet 2009/72/E</w:t>
      </w:r>
      <w:r w:rsidR="0063471C">
        <w:t>G</w:t>
      </w:r>
      <w:r w:rsidR="00B63B5E" w:rsidRPr="002228F0">
        <w:t xml:space="preserve">. </w:t>
      </w:r>
    </w:p>
    <w:p w:rsidR="00B63B5E" w:rsidRPr="002228F0" w:rsidRDefault="009437B7" w:rsidP="009437B7">
      <w:pPr>
        <w:rPr>
          <w:lang w:val="sv-FI"/>
        </w:rPr>
      </w:pPr>
      <w:r>
        <w:rPr>
          <w:lang w:val="sv-FI"/>
        </w:rPr>
        <w:tab/>
      </w:r>
      <w:r w:rsidR="0063471C">
        <w:rPr>
          <w:lang w:val="sv-FI"/>
        </w:rPr>
        <w:t>För</w:t>
      </w:r>
      <w:r w:rsidR="0063471C" w:rsidRPr="002228F0">
        <w:rPr>
          <w:lang w:val="sv-FI"/>
        </w:rPr>
        <w:t xml:space="preserve"> små </w:t>
      </w:r>
      <w:r w:rsidR="0063471C">
        <w:rPr>
          <w:lang w:val="sv-FI"/>
        </w:rPr>
        <w:t xml:space="preserve">självstyrande </w:t>
      </w:r>
      <w:r w:rsidR="0063471C" w:rsidRPr="002228F0">
        <w:rPr>
          <w:lang w:val="sv-FI"/>
        </w:rPr>
        <w:t>områden som Åland</w:t>
      </w:r>
      <w:r w:rsidR="0063471C">
        <w:rPr>
          <w:lang w:val="sv-FI"/>
        </w:rPr>
        <w:t xml:space="preserve"> är det en utmaning att ett flertal EU-</w:t>
      </w:r>
      <w:r w:rsidR="00B63B5E" w:rsidRPr="002228F0">
        <w:rPr>
          <w:lang w:val="sv-FI"/>
        </w:rPr>
        <w:t xml:space="preserve">direktiv </w:t>
      </w:r>
      <w:r w:rsidR="0063471C">
        <w:rPr>
          <w:lang w:val="sv-FI"/>
        </w:rPr>
        <w:t>ställer krav på</w:t>
      </w:r>
      <w:r w:rsidR="00B63B5E" w:rsidRPr="002228F0">
        <w:rPr>
          <w:lang w:val="sv-FI"/>
        </w:rPr>
        <w:t xml:space="preserve"> oberoende tillsyn</w:t>
      </w:r>
      <w:r w:rsidR="0063471C">
        <w:rPr>
          <w:lang w:val="sv-FI"/>
        </w:rPr>
        <w:t xml:space="preserve">smyndigheter. </w:t>
      </w:r>
      <w:r w:rsidR="00B63B5E" w:rsidRPr="002228F0">
        <w:rPr>
          <w:lang w:val="sv-FI"/>
        </w:rPr>
        <w:t xml:space="preserve">Ett </w:t>
      </w:r>
      <w:r w:rsidR="0063471C">
        <w:rPr>
          <w:lang w:val="sv-FI"/>
        </w:rPr>
        <w:t xml:space="preserve">EU-direktiv </w:t>
      </w:r>
      <w:r w:rsidR="00B63B5E" w:rsidRPr="002228F0">
        <w:rPr>
          <w:lang w:val="sv-FI"/>
        </w:rPr>
        <w:t xml:space="preserve">där nya </w:t>
      </w:r>
      <w:r w:rsidR="0063471C">
        <w:rPr>
          <w:lang w:val="sv-FI"/>
        </w:rPr>
        <w:t>tillsyns</w:t>
      </w:r>
      <w:r w:rsidR="00B63B5E" w:rsidRPr="002228F0">
        <w:rPr>
          <w:lang w:val="sv-FI"/>
        </w:rPr>
        <w:t xml:space="preserve">funktioner krävs är </w:t>
      </w:r>
      <w:r w:rsidR="0063471C" w:rsidRPr="002228F0">
        <w:rPr>
          <w:lang w:val="sv-FI"/>
        </w:rPr>
        <w:t>sambyggnadsdirektivet 2014/61/EU</w:t>
      </w:r>
      <w:r w:rsidR="0063471C">
        <w:rPr>
          <w:lang w:val="sv-FI"/>
        </w:rPr>
        <w:t>, som syftar till att</w:t>
      </w:r>
      <w:r w:rsidR="0063471C" w:rsidRPr="002228F0">
        <w:rPr>
          <w:lang w:val="sv-FI"/>
        </w:rPr>
        <w:t xml:space="preserve"> </w:t>
      </w:r>
      <w:r w:rsidR="00B63B5E" w:rsidRPr="002228F0">
        <w:rPr>
          <w:lang w:val="sv-FI"/>
        </w:rPr>
        <w:t>främja utbyggnaden av databredbands</w:t>
      </w:r>
      <w:r w:rsidR="0063471C">
        <w:rPr>
          <w:lang w:val="sv-FI"/>
        </w:rPr>
        <w:t>nät</w:t>
      </w:r>
      <w:r w:rsidR="00B63B5E" w:rsidRPr="002228F0">
        <w:rPr>
          <w:lang w:val="sv-FI"/>
        </w:rPr>
        <w:t xml:space="preserve">. </w:t>
      </w:r>
    </w:p>
    <w:p w:rsidR="009437B7" w:rsidRDefault="009437B7" w:rsidP="009437B7">
      <w:pPr>
        <w:rPr>
          <w:lang w:val="sv-FI" w:eastAsia="sv-FI"/>
        </w:rPr>
      </w:pPr>
      <w:r>
        <w:rPr>
          <w:lang w:val="sv-FI"/>
        </w:rPr>
        <w:tab/>
      </w:r>
      <w:r w:rsidR="00B63B5E" w:rsidRPr="00EB571B">
        <w:rPr>
          <w:lang w:val="sv-FI"/>
        </w:rPr>
        <w:t xml:space="preserve">Under 2017 fortsätter arbetet med </w:t>
      </w:r>
      <w:r w:rsidR="00931AD8">
        <w:rPr>
          <w:lang w:val="sv-FI"/>
        </w:rPr>
        <w:t>kommissionsförslaget om</w:t>
      </w:r>
      <w:r w:rsidR="00B63B5E" w:rsidRPr="00EB571B">
        <w:rPr>
          <w:lang w:val="sv-FI"/>
        </w:rPr>
        <w:t xml:space="preserve"> ansvarsfö</w:t>
      </w:r>
      <w:r w:rsidR="00B63B5E" w:rsidRPr="00EB571B">
        <w:rPr>
          <w:lang w:val="sv-FI"/>
        </w:rPr>
        <w:t>r</w:t>
      </w:r>
      <w:r w:rsidR="00B63B5E" w:rsidRPr="00EB571B">
        <w:rPr>
          <w:lang w:val="sv-FI"/>
        </w:rPr>
        <w:t>delning för sektorer utanför systemet för handel med utsläppsrätter, t.ex. byggnader, jordbruk och koldioxidsnåla transporter. För att påskynda ene</w:t>
      </w:r>
      <w:r w:rsidR="00B63B5E" w:rsidRPr="00EB571B">
        <w:rPr>
          <w:lang w:val="sv-FI"/>
        </w:rPr>
        <w:t>r</w:t>
      </w:r>
      <w:r w:rsidR="00B63B5E" w:rsidRPr="00EB571B">
        <w:rPr>
          <w:lang w:val="sv-FI"/>
        </w:rPr>
        <w:t xml:space="preserve">giövergången kommer kommissionen att </w:t>
      </w:r>
      <w:r w:rsidR="00931AD8">
        <w:rPr>
          <w:lang w:val="sv-FI"/>
        </w:rPr>
        <w:t>initiera</w:t>
      </w:r>
      <w:r w:rsidR="00B63B5E" w:rsidRPr="00EB571B">
        <w:rPr>
          <w:lang w:val="sv-FI"/>
        </w:rPr>
        <w:t xml:space="preserve"> en ny utformning av ene</w:t>
      </w:r>
      <w:r w:rsidR="00B63B5E" w:rsidRPr="00EB571B">
        <w:rPr>
          <w:lang w:val="sv-FI"/>
        </w:rPr>
        <w:t>r</w:t>
      </w:r>
      <w:r w:rsidR="00B63B5E" w:rsidRPr="00EB571B">
        <w:rPr>
          <w:lang w:val="sv-FI"/>
        </w:rPr>
        <w:t>gimarknaden, uppfyllelse av målet på 15 % sammankoppling av elnätet senast 2030.</w:t>
      </w:r>
      <w:r w:rsidR="0063471C">
        <w:rPr>
          <w:lang w:val="sv-FI"/>
        </w:rPr>
        <w:t xml:space="preserve"> </w:t>
      </w:r>
      <w:r w:rsidR="00B63B5E" w:rsidRPr="00EB571B">
        <w:t xml:space="preserve">I detta ingår bl.a. </w:t>
      </w:r>
      <w:r w:rsidR="00B63B5E" w:rsidRPr="00EB571B">
        <w:rPr>
          <w:lang w:val="sv-FI" w:eastAsia="sv-FI"/>
        </w:rPr>
        <w:t>förslag om elmarknadens utformning och r</w:t>
      </w:r>
      <w:r w:rsidR="00B63B5E" w:rsidRPr="00EB571B">
        <w:rPr>
          <w:lang w:val="sv-FI" w:eastAsia="sv-FI"/>
        </w:rPr>
        <w:t>e</w:t>
      </w:r>
      <w:r w:rsidR="00B63B5E" w:rsidRPr="00EB571B">
        <w:rPr>
          <w:lang w:val="sv-FI" w:eastAsia="sv-FI"/>
        </w:rPr>
        <w:t>gelverk, med översyn av Byrån för samarbete mellan energitillsynsmyndi</w:t>
      </w:r>
      <w:r w:rsidR="00B63B5E" w:rsidRPr="00EB571B">
        <w:rPr>
          <w:lang w:val="sv-FI" w:eastAsia="sv-FI"/>
        </w:rPr>
        <w:t>g</w:t>
      </w:r>
      <w:r w:rsidR="00B63B5E" w:rsidRPr="00EB571B">
        <w:rPr>
          <w:lang w:val="sv-FI" w:eastAsia="sv-FI"/>
        </w:rPr>
        <w:t>heter (Acer).</w:t>
      </w:r>
    </w:p>
    <w:p w:rsidR="00B63B5E" w:rsidRPr="00931AD8" w:rsidRDefault="009437B7" w:rsidP="009437B7">
      <w:r>
        <w:rPr>
          <w:lang w:val="sv-FI" w:eastAsia="sv-FI"/>
        </w:rPr>
        <w:tab/>
      </w:r>
      <w:r w:rsidR="00B63B5E" w:rsidRPr="0066769D">
        <w:t>Förhandlingarna om ett rättsligt bindande internationellt klimatavtal p</w:t>
      </w:r>
      <w:r w:rsidR="00B63B5E" w:rsidRPr="0066769D">
        <w:t>å</w:t>
      </w:r>
      <w:r w:rsidR="00B63B5E" w:rsidRPr="0066769D">
        <w:t>gick under lång tid och parterna lyckades slutligen enas om ett avtal vid förhandlingarna i Paris</w:t>
      </w:r>
      <w:r w:rsidR="00931AD8">
        <w:t xml:space="preserve"> i</w:t>
      </w:r>
      <w:r w:rsidR="00B63B5E" w:rsidRPr="0066769D">
        <w:t xml:space="preserve"> december 2015. Ett klimatavtal där nationer som står för de största delarna av utsläppen ingår är grunden för att uppnå må</w:t>
      </w:r>
      <w:r w:rsidR="00B63B5E" w:rsidRPr="0066769D">
        <w:t>l</w:t>
      </w:r>
      <w:r w:rsidR="00B63B5E" w:rsidRPr="0066769D">
        <w:t>sättni</w:t>
      </w:r>
      <w:r w:rsidR="00931AD8">
        <w:t>ngen att hindra ökningen av CO2-</w:t>
      </w:r>
      <w:r w:rsidR="00B63B5E" w:rsidRPr="0066769D">
        <w:t xml:space="preserve">utsläppen till 2030 och färdplan till </w:t>
      </w:r>
      <w:r w:rsidR="00B63B5E" w:rsidRPr="0066769D">
        <w:lastRenderedPageBreak/>
        <w:t xml:space="preserve">2050. </w:t>
      </w:r>
      <w:r w:rsidR="00B63B5E" w:rsidRPr="0066769D">
        <w:rPr>
          <w:lang w:eastAsia="sv-FI"/>
        </w:rPr>
        <w:t>Företrädarna för rådets ordförandeskap och EU-kommissionen ratif</w:t>
      </w:r>
      <w:r w:rsidR="00B63B5E" w:rsidRPr="0066769D">
        <w:rPr>
          <w:lang w:eastAsia="sv-FI"/>
        </w:rPr>
        <w:t>i</w:t>
      </w:r>
      <w:r w:rsidR="00B63B5E" w:rsidRPr="0066769D">
        <w:rPr>
          <w:lang w:eastAsia="sv-FI"/>
        </w:rPr>
        <w:t xml:space="preserve">cerade Parisavtalet </w:t>
      </w:r>
      <w:r w:rsidR="00931AD8">
        <w:rPr>
          <w:lang w:eastAsia="sv-FI"/>
        </w:rPr>
        <w:t xml:space="preserve">den </w:t>
      </w:r>
      <w:r w:rsidR="00B63B5E" w:rsidRPr="0066769D">
        <w:rPr>
          <w:lang w:eastAsia="sv-FI"/>
        </w:rPr>
        <w:t>5 oktober 2016. Prioriterat för år 2017 är att inleda implementeringen av energiunionen i vilken</w:t>
      </w:r>
      <w:r w:rsidR="00B63B5E" w:rsidRPr="0066769D">
        <w:rPr>
          <w:lang w:val="sv-FI" w:eastAsia="sv-FI"/>
        </w:rPr>
        <w:t xml:space="preserve"> delar av klimatpolitiken g</w:t>
      </w:r>
      <w:r w:rsidR="00B63B5E" w:rsidRPr="0066769D">
        <w:rPr>
          <w:lang w:val="sv-FI" w:eastAsia="sv-FI"/>
        </w:rPr>
        <w:t>e</w:t>
      </w:r>
      <w:r w:rsidR="00B63B5E" w:rsidRPr="0066769D">
        <w:rPr>
          <w:lang w:val="sv-FI" w:eastAsia="sv-FI"/>
        </w:rPr>
        <w:t>nomförs.</w:t>
      </w:r>
      <w:r w:rsidR="00B63B5E" w:rsidRPr="008F4994">
        <w:rPr>
          <w:color w:val="00B050"/>
          <w:lang w:val="sv-FI" w:eastAsia="sv-FI"/>
        </w:rPr>
        <w:t xml:space="preserve"> </w:t>
      </w:r>
      <w:r w:rsidR="00B63B5E" w:rsidRPr="00391A45">
        <w:rPr>
          <w:lang w:val="sv-FI" w:eastAsia="sv-FI"/>
        </w:rPr>
        <w:t>En genomgripande omvandling</w:t>
      </w:r>
      <w:r w:rsidR="00391A45" w:rsidRPr="00391A45">
        <w:rPr>
          <w:lang w:val="sv-FI" w:eastAsia="sv-FI"/>
        </w:rPr>
        <w:t xml:space="preserve"> av</w:t>
      </w:r>
      <w:r w:rsidR="00B63B5E" w:rsidRPr="00391A45">
        <w:rPr>
          <w:lang w:val="sv-FI" w:eastAsia="sv-FI"/>
        </w:rPr>
        <w:t xml:space="preserve"> energisystemen uppnås effe</w:t>
      </w:r>
      <w:r w:rsidR="00B63B5E" w:rsidRPr="00391A45">
        <w:rPr>
          <w:lang w:val="sv-FI" w:eastAsia="sv-FI"/>
        </w:rPr>
        <w:t>k</w:t>
      </w:r>
      <w:r w:rsidR="00B63B5E" w:rsidRPr="00391A45">
        <w:rPr>
          <w:lang w:val="sv-FI" w:eastAsia="sv-FI"/>
        </w:rPr>
        <w:t>tivast genom en kombination av samordnade lagstiftande och icke</w:t>
      </w:r>
      <w:r w:rsidR="00931AD8">
        <w:rPr>
          <w:lang w:val="sv-FI" w:eastAsia="sv-FI"/>
        </w:rPr>
        <w:t>-</w:t>
      </w:r>
      <w:r w:rsidR="00B63B5E" w:rsidRPr="00391A45">
        <w:rPr>
          <w:lang w:val="sv-FI" w:eastAsia="sv-FI"/>
        </w:rPr>
        <w:t>lagstiftande åtgärder</w:t>
      </w:r>
      <w:r w:rsidR="00B63B5E" w:rsidRPr="00CC417B">
        <w:rPr>
          <w:lang w:val="sv-FI" w:eastAsia="sv-FI"/>
        </w:rPr>
        <w:t>. Därigenom säkerställs att åtgärderna på olika nivåer är samstämmiga och tillräckligt ambitiösa. För att uppnå detta kr</w:t>
      </w:r>
      <w:r>
        <w:rPr>
          <w:lang w:val="sv-FI" w:eastAsia="sv-FI"/>
        </w:rPr>
        <w:t>ävs sty</w:t>
      </w:r>
      <w:r>
        <w:rPr>
          <w:lang w:val="sv-FI" w:eastAsia="sv-FI"/>
        </w:rPr>
        <w:t>r</w:t>
      </w:r>
      <w:r>
        <w:rPr>
          <w:lang w:val="sv-FI" w:eastAsia="sv-FI"/>
        </w:rPr>
        <w:t xml:space="preserve">ning av energiunionen. </w:t>
      </w:r>
      <w:r w:rsidR="00B63B5E" w:rsidRPr="00CC417B">
        <w:rPr>
          <w:lang w:val="sv-FI" w:eastAsia="sv-FI"/>
        </w:rPr>
        <w:t xml:space="preserve">Eftersom rapporteringen sker genom energiunionen </w:t>
      </w:r>
      <w:r w:rsidR="00B63B5E" w:rsidRPr="00CC417B">
        <w:rPr>
          <w:lang w:eastAsia="sv-FI"/>
        </w:rPr>
        <w:t xml:space="preserve">medför detta att </w:t>
      </w:r>
      <w:r w:rsidR="00B63B5E" w:rsidRPr="00931AD8">
        <w:rPr>
          <w:lang w:eastAsia="sv-FI"/>
        </w:rPr>
        <w:t>medlems</w:t>
      </w:r>
      <w:r w:rsidR="00931AD8" w:rsidRPr="00931AD8">
        <w:rPr>
          <w:lang w:eastAsia="sv-FI"/>
        </w:rPr>
        <w:t>staterna</w:t>
      </w:r>
      <w:r w:rsidR="00B63B5E" w:rsidRPr="00931AD8">
        <w:rPr>
          <w:lang w:eastAsia="sv-FI"/>
        </w:rPr>
        <w:t xml:space="preserve"> </w:t>
      </w:r>
      <w:r w:rsidR="00931AD8" w:rsidRPr="00931AD8">
        <w:rPr>
          <w:lang w:eastAsia="sv-FI"/>
        </w:rPr>
        <w:t>får</w:t>
      </w:r>
      <w:r w:rsidR="00B63B5E" w:rsidRPr="00931AD8">
        <w:rPr>
          <w:lang w:eastAsia="sv-FI"/>
        </w:rPr>
        <w:t xml:space="preserve"> en mera enhetlig och samlad struktur</w:t>
      </w:r>
      <w:r w:rsidR="00931AD8" w:rsidRPr="00931AD8">
        <w:rPr>
          <w:lang w:eastAsia="sv-FI"/>
        </w:rPr>
        <w:t xml:space="preserve"> för rapportering till kommis</w:t>
      </w:r>
      <w:r w:rsidR="00931AD8">
        <w:rPr>
          <w:lang w:eastAsia="sv-FI"/>
        </w:rPr>
        <w:t>s</w:t>
      </w:r>
      <w:r w:rsidR="00931AD8" w:rsidRPr="00931AD8">
        <w:rPr>
          <w:lang w:eastAsia="sv-FI"/>
        </w:rPr>
        <w:t>ionen</w:t>
      </w:r>
      <w:r w:rsidR="00B63B5E" w:rsidRPr="00931AD8">
        <w:rPr>
          <w:lang w:eastAsia="sv-FI"/>
        </w:rPr>
        <w:t>.</w:t>
      </w:r>
    </w:p>
    <w:p w:rsidR="00B63B5E" w:rsidRPr="00CC417B" w:rsidRDefault="009437B7" w:rsidP="00B63B5E">
      <w:pPr>
        <w:rPr>
          <w:lang w:eastAsia="sv-FI"/>
        </w:rPr>
      </w:pPr>
      <w:r>
        <w:rPr>
          <w:lang w:eastAsia="sv-FI"/>
        </w:rPr>
        <w:tab/>
      </w:r>
      <w:r w:rsidR="00B63B5E" w:rsidRPr="00CC417B">
        <w:rPr>
          <w:lang w:eastAsia="sv-FI"/>
        </w:rPr>
        <w:t>Ytterligare åtgärder som genomförts inom ramen för att uppnå målsät</w:t>
      </w:r>
      <w:r w:rsidR="00B63B5E" w:rsidRPr="00CC417B">
        <w:rPr>
          <w:lang w:eastAsia="sv-FI"/>
        </w:rPr>
        <w:t>t</w:t>
      </w:r>
      <w:r w:rsidR="00B63B5E" w:rsidRPr="00CC417B">
        <w:rPr>
          <w:lang w:eastAsia="sv-FI"/>
        </w:rPr>
        <w:t>ningarna i Parisavtalet är att en rad energirelaterade författningar har anpa</w:t>
      </w:r>
      <w:r w:rsidR="00B63B5E" w:rsidRPr="00CC417B">
        <w:rPr>
          <w:lang w:eastAsia="sv-FI"/>
        </w:rPr>
        <w:t>s</w:t>
      </w:r>
      <w:r w:rsidR="00B63B5E" w:rsidRPr="00CC417B">
        <w:rPr>
          <w:lang w:eastAsia="sv-FI"/>
        </w:rPr>
        <w:t>sats och rapporteringen sker till viss del genom energiunionen.</w:t>
      </w:r>
    </w:p>
    <w:p w:rsidR="00B63B5E" w:rsidRPr="00971422" w:rsidRDefault="00B63B5E" w:rsidP="00B63B5E">
      <w:pPr>
        <w:rPr>
          <w:lang w:val="sv-FI" w:eastAsia="sv-FI"/>
        </w:rPr>
      </w:pPr>
      <w:r w:rsidRPr="00CC417B">
        <w:t>Landskapsregeringen komme</w:t>
      </w:r>
      <w:r w:rsidR="00931AD8">
        <w:t xml:space="preserve">r att följa ärendena </w:t>
      </w:r>
      <w:r w:rsidR="00931AD8" w:rsidRPr="00971422">
        <w:t>under 2017</w:t>
      </w:r>
      <w:r w:rsidRPr="00971422">
        <w:t>.</w:t>
      </w:r>
    </w:p>
    <w:p w:rsidR="004406DE" w:rsidRPr="00971422" w:rsidRDefault="004406DE" w:rsidP="00B77EBA">
      <w:pPr>
        <w:pStyle w:val="Rubrik3"/>
      </w:pPr>
      <w:bookmarkStart w:id="153" w:name="_Toc477424001"/>
      <w:r w:rsidRPr="00971422">
        <w:t>3.2.1</w:t>
      </w:r>
      <w:r w:rsidR="00B45D0E" w:rsidRPr="00971422">
        <w:t>1</w:t>
      </w:r>
      <w:r w:rsidRPr="00971422">
        <w:t xml:space="preserve"> EU-strategin för Östersjöområdet</w:t>
      </w:r>
      <w:bookmarkEnd w:id="150"/>
      <w:bookmarkEnd w:id="151"/>
      <w:bookmarkEnd w:id="152"/>
      <w:bookmarkEnd w:id="153"/>
      <w:r w:rsidRPr="00971422">
        <w:t xml:space="preserve"> </w:t>
      </w:r>
    </w:p>
    <w:p w:rsidR="00446656" w:rsidRPr="006A0527" w:rsidRDefault="00446656" w:rsidP="009437B7">
      <w:bookmarkStart w:id="154" w:name="_Toc410897673"/>
      <w:bookmarkStart w:id="155" w:name="_Toc412712690"/>
      <w:bookmarkStart w:id="156" w:name="_Toc442442858"/>
      <w:r w:rsidRPr="00971422">
        <w:t>HELCOM (Helsingforskommissionen) är det förvaltande organet för ko</w:t>
      </w:r>
      <w:r w:rsidRPr="00971422">
        <w:t>n</w:t>
      </w:r>
      <w:r w:rsidRPr="00971422">
        <w:t xml:space="preserve">ventionen om skydd av den </w:t>
      </w:r>
      <w:r w:rsidR="006A0527" w:rsidRPr="00971422">
        <w:t>marina miljön i Östersjöområdet</w:t>
      </w:r>
      <w:r w:rsidRPr="00971422">
        <w:t>, den så ka</w:t>
      </w:r>
      <w:r w:rsidRPr="00971422">
        <w:t>l</w:t>
      </w:r>
      <w:r w:rsidRPr="00971422">
        <w:t>lade Helsingforskonventionen. De avtalsslutande</w:t>
      </w:r>
      <w:r w:rsidRPr="006A0527">
        <w:t xml:space="preserve"> parterna är de länder som angränsar till Östersjön samt EU. HELCOM bildades för ungefär fyra år</w:t>
      </w:r>
      <w:r w:rsidRPr="006A0527">
        <w:t>t</w:t>
      </w:r>
      <w:r w:rsidRPr="006A0527">
        <w:t>ionden sedan. En viktig milstolpe för HELCOM var när medlemsstaterna 2007 antog Baltic Sea Action Plan (BSAP), ett gemensamt program för att återställa en god ekologisk status i Östersjön. HELCOM</w:t>
      </w:r>
      <w:r w:rsidR="006C3AE2">
        <w:t>:</w:t>
      </w:r>
      <w:r w:rsidRPr="006A0527">
        <w:t>s status som det viktigaste samarbetsorganet för skyddet av den marina miljön stärktes ytte</w:t>
      </w:r>
      <w:r w:rsidRPr="006A0527">
        <w:t>r</w:t>
      </w:r>
      <w:r w:rsidRPr="006A0527">
        <w:t>ligare när EU</w:t>
      </w:r>
      <w:r w:rsidR="006C3AE2">
        <w:t xml:space="preserve"> år</w:t>
      </w:r>
      <w:r w:rsidRPr="006A0527">
        <w:t xml:space="preserve"> 2008 antog </w:t>
      </w:r>
      <w:r w:rsidR="006C3AE2">
        <w:t>e</w:t>
      </w:r>
      <w:r w:rsidRPr="006A0527">
        <w:t>tt ramdirektiv om en marin strategi. I direkt</w:t>
      </w:r>
      <w:r w:rsidRPr="006A0527">
        <w:t>i</w:t>
      </w:r>
      <w:r w:rsidRPr="006A0527">
        <w:t>vet klargörs att medlemsstaterna ska använda befintliga regionala sama</w:t>
      </w:r>
      <w:r w:rsidRPr="006A0527">
        <w:t>r</w:t>
      </w:r>
      <w:r w:rsidRPr="006A0527">
        <w:t>betsorganisationer såsom HELCOM vid genomförandet av direktivet. A</w:t>
      </w:r>
      <w:r w:rsidRPr="006A0527">
        <w:t>r</w:t>
      </w:r>
      <w:r w:rsidRPr="006A0527">
        <w:t>betet inom HELCOM bedrivs huvudsakligen på tjänstemannanivå, men landskapsregeringens ministrar deltar i de politikermöten som anordnas i mån av möjlighet.</w:t>
      </w:r>
    </w:p>
    <w:p w:rsidR="00446656" w:rsidRPr="005A285C" w:rsidRDefault="009437B7" w:rsidP="009437B7">
      <w:r>
        <w:tab/>
      </w:r>
      <w:r w:rsidR="00446656" w:rsidRPr="005A285C">
        <w:t>Europeiska rådet antog i november 2009 en strategi för Östersjöområdet inklusive en tillhörande åtgärdsplan. Målet med strategin är att skapa en god havsmiljö, öka samarbetet i regionen och att skapa ekonomiskt och s</w:t>
      </w:r>
      <w:r w:rsidR="00446656" w:rsidRPr="005A285C">
        <w:t>o</w:t>
      </w:r>
      <w:r w:rsidR="00446656" w:rsidRPr="005A285C">
        <w:t>cialt välstånd. Inom ramen för de olika prioriteringsområdena som o</w:t>
      </w:r>
      <w:r w:rsidR="00446656" w:rsidRPr="005A285C">
        <w:t>m</w:t>
      </w:r>
      <w:r w:rsidR="00446656" w:rsidRPr="005A285C">
        <w:t>nämns i strategin har landskapsregeringen varit aktiva inom de miljöomr</w:t>
      </w:r>
      <w:r w:rsidR="00446656" w:rsidRPr="005A285C">
        <w:t>å</w:t>
      </w:r>
      <w:r w:rsidR="00446656" w:rsidRPr="005A285C">
        <w:t>den som samtidigt prioriterats inom ramen för HELCOM-samarbetet.</w:t>
      </w:r>
    </w:p>
    <w:p w:rsidR="00446656" w:rsidRPr="00D05CDB" w:rsidRDefault="009437B7" w:rsidP="009437B7">
      <w:r>
        <w:tab/>
      </w:r>
      <w:r w:rsidR="006C3AE2">
        <w:t>L</w:t>
      </w:r>
      <w:r w:rsidR="00446656" w:rsidRPr="00D05CDB">
        <w:t>andskapsregeringen har varit och planerar</w:t>
      </w:r>
      <w:r w:rsidR="00D05CDB" w:rsidRPr="00D05CDB">
        <w:t xml:space="preserve"> att </w:t>
      </w:r>
      <w:r w:rsidR="00784B06">
        <w:t xml:space="preserve">fortsättningsvis </w:t>
      </w:r>
      <w:r w:rsidR="00446656" w:rsidRPr="00D05CDB">
        <w:t>vara a</w:t>
      </w:r>
      <w:r w:rsidR="00446656" w:rsidRPr="00D05CDB">
        <w:t>k</w:t>
      </w:r>
      <w:r w:rsidR="00D05CDB" w:rsidRPr="00D05CDB">
        <w:t>tiv</w:t>
      </w:r>
      <w:r w:rsidR="00446656" w:rsidRPr="00D05CDB">
        <w:t xml:space="preserve"> </w:t>
      </w:r>
      <w:r w:rsidR="00784B06">
        <w:t xml:space="preserve">vid </w:t>
      </w:r>
      <w:r w:rsidR="00446656" w:rsidRPr="00D05CDB">
        <w:t>framtagandet av EU-kommissionens riktlinjer för ett hållbart vatte</w:t>
      </w:r>
      <w:r w:rsidR="00446656" w:rsidRPr="00D05CDB">
        <w:t>n</w:t>
      </w:r>
      <w:r w:rsidR="00446656" w:rsidRPr="00D05CDB">
        <w:t>bruk och HELCOM</w:t>
      </w:r>
      <w:r w:rsidR="006C3AE2">
        <w:t>:</w:t>
      </w:r>
      <w:r w:rsidR="00446656" w:rsidRPr="00D05CDB">
        <w:t>s nya rekommendation för vattenbruk i Östersjön. A</w:t>
      </w:r>
      <w:r w:rsidR="00446656" w:rsidRPr="00D05CDB">
        <w:t>r</w:t>
      </w:r>
      <w:r w:rsidR="00446656" w:rsidRPr="00D05CDB">
        <w:t>betet under 2017 kommer att innefatta diskussioner och preciseringar gä</w:t>
      </w:r>
      <w:r w:rsidR="00446656" w:rsidRPr="00D05CDB">
        <w:t>l</w:t>
      </w:r>
      <w:r w:rsidR="00446656" w:rsidRPr="00D05CDB">
        <w:t>lande exempelvis hållbara odlingstekniker och kretsloppslösningar. Vad gäller området miljövänlig sjöfart har landskapsregeringen understött inf</w:t>
      </w:r>
      <w:r w:rsidR="00446656" w:rsidRPr="00D05CDB">
        <w:t>ö</w:t>
      </w:r>
      <w:r w:rsidR="00446656" w:rsidRPr="00D05CDB">
        <w:t>randet av strängare regler vad gäller luftutsläpp från fartygstrafik och u</w:t>
      </w:r>
      <w:r w:rsidR="00446656" w:rsidRPr="00D05CDB">
        <w:t>t</w:t>
      </w:r>
      <w:r w:rsidR="00446656" w:rsidRPr="00D05CDB">
        <w:t>släpp från avloppsvatten (toalettavfall). Landskapsregeringen avser fortsätta följa frågorna och vid behov ta aktiv del i arbetet att skapa en långsiktigt hållbar sjöfart i Östersjön.</w:t>
      </w:r>
    </w:p>
    <w:p w:rsidR="00C2209D" w:rsidRDefault="00C2209D" w:rsidP="00C2209D">
      <w:pPr>
        <w:keepNext/>
        <w:numPr>
          <w:ilvl w:val="2"/>
          <w:numId w:val="0"/>
        </w:numPr>
        <w:spacing w:before="240" w:after="60"/>
        <w:outlineLvl w:val="2"/>
        <w:rPr>
          <w:rFonts w:cs="Arial"/>
          <w:bCs/>
          <w:sz w:val="26"/>
          <w:szCs w:val="26"/>
        </w:rPr>
      </w:pPr>
      <w:bookmarkStart w:id="157" w:name="_Toc412712692"/>
      <w:bookmarkStart w:id="158" w:name="_Toc410897675"/>
      <w:bookmarkStart w:id="159" w:name="_Toc442442860"/>
      <w:bookmarkStart w:id="160" w:name="_Toc477424002"/>
      <w:bookmarkEnd w:id="154"/>
      <w:bookmarkEnd w:id="155"/>
      <w:bookmarkEnd w:id="156"/>
      <w:r w:rsidRPr="00DE5E28">
        <w:rPr>
          <w:rFonts w:cs="Arial"/>
          <w:bCs/>
          <w:sz w:val="26"/>
          <w:szCs w:val="26"/>
        </w:rPr>
        <w:t>3.2.1</w:t>
      </w:r>
      <w:r w:rsidR="00B45D0E">
        <w:rPr>
          <w:rFonts w:cs="Arial"/>
          <w:bCs/>
          <w:sz w:val="26"/>
          <w:szCs w:val="26"/>
        </w:rPr>
        <w:t>2</w:t>
      </w:r>
      <w:r w:rsidRPr="00DE5E28">
        <w:rPr>
          <w:rFonts w:cs="Arial"/>
          <w:bCs/>
          <w:sz w:val="26"/>
          <w:szCs w:val="26"/>
        </w:rPr>
        <w:t xml:space="preserve"> Jämställdhet</w:t>
      </w:r>
      <w:bookmarkEnd w:id="157"/>
      <w:bookmarkEnd w:id="158"/>
      <w:bookmarkEnd w:id="159"/>
      <w:bookmarkEnd w:id="160"/>
    </w:p>
    <w:p w:rsidR="002D3627" w:rsidRPr="00A4543F" w:rsidRDefault="002D3627" w:rsidP="002D3627">
      <w:pPr>
        <w:rPr>
          <w:szCs w:val="22"/>
        </w:rPr>
      </w:pPr>
      <w:r w:rsidRPr="00A4543F">
        <w:rPr>
          <w:szCs w:val="22"/>
        </w:rPr>
        <w:t>Jämställdhet mellan kvinnor och män är ett av Lissabonfördragets grun</w:t>
      </w:r>
      <w:r w:rsidRPr="00A4543F">
        <w:rPr>
          <w:szCs w:val="22"/>
        </w:rPr>
        <w:t>d</w:t>
      </w:r>
      <w:r w:rsidRPr="00A4543F">
        <w:rPr>
          <w:szCs w:val="22"/>
        </w:rPr>
        <w:t>läggande mål.</w:t>
      </w:r>
    </w:p>
    <w:p w:rsidR="002D3627" w:rsidRPr="00A4543F" w:rsidRDefault="002D3627" w:rsidP="008C3FE6">
      <w:pPr>
        <w:ind w:firstLine="284"/>
        <w:rPr>
          <w:szCs w:val="22"/>
        </w:rPr>
      </w:pPr>
      <w:r w:rsidRPr="00A4543F">
        <w:rPr>
          <w:szCs w:val="22"/>
        </w:rPr>
        <w:t>Jämställdhetsarbete på EU-nivå utgörs av vidareutveckling av lagstif</w:t>
      </w:r>
      <w:r w:rsidRPr="00A4543F">
        <w:rPr>
          <w:szCs w:val="22"/>
        </w:rPr>
        <w:t>t</w:t>
      </w:r>
      <w:r w:rsidRPr="00A4543F">
        <w:rPr>
          <w:szCs w:val="22"/>
        </w:rPr>
        <w:t>ning, jämställdhetsintegrering och särskilda åtgärder för främjande av jä</w:t>
      </w:r>
      <w:r w:rsidRPr="00A4543F">
        <w:rPr>
          <w:szCs w:val="22"/>
        </w:rPr>
        <w:t>m</w:t>
      </w:r>
      <w:r w:rsidRPr="00A4543F">
        <w:rPr>
          <w:szCs w:val="22"/>
        </w:rPr>
        <w:t>ställdhet.</w:t>
      </w:r>
    </w:p>
    <w:p w:rsidR="002D3627" w:rsidRPr="00A4543F" w:rsidRDefault="002D3627" w:rsidP="008C3FE6">
      <w:pPr>
        <w:ind w:firstLine="284"/>
        <w:rPr>
          <w:szCs w:val="22"/>
        </w:rPr>
      </w:pPr>
      <w:r w:rsidRPr="00A4543F">
        <w:rPr>
          <w:szCs w:val="22"/>
        </w:rPr>
        <w:t>I december 2015 offentliggjordes kommissionens dokument ”Strategic engagement for gender equality 2016-2019</w:t>
      </w:r>
      <w:r w:rsidR="00B32338">
        <w:rPr>
          <w:szCs w:val="22"/>
        </w:rPr>
        <w:t>”</w:t>
      </w:r>
      <w:r w:rsidRPr="00A4543F">
        <w:rPr>
          <w:szCs w:val="22"/>
        </w:rPr>
        <w:t xml:space="preserve"> som ska ses som en uppföl</w:t>
      </w:r>
      <w:r w:rsidRPr="00A4543F">
        <w:rPr>
          <w:szCs w:val="22"/>
        </w:rPr>
        <w:t>j</w:t>
      </w:r>
      <w:r w:rsidRPr="00A4543F">
        <w:rPr>
          <w:szCs w:val="22"/>
        </w:rPr>
        <w:t>ning och förlängning av jämställdhetsstrategin för åren 2010-2015. Strat</w:t>
      </w:r>
      <w:r w:rsidRPr="00A4543F">
        <w:rPr>
          <w:szCs w:val="22"/>
        </w:rPr>
        <w:t>e</w:t>
      </w:r>
      <w:r w:rsidRPr="00A4543F">
        <w:rPr>
          <w:szCs w:val="22"/>
        </w:rPr>
        <w:lastRenderedPageBreak/>
        <w:t>gin har följande prioriteringar: Öka kvinnors deltagande på arbetsmar</w:t>
      </w:r>
      <w:r w:rsidRPr="00A4543F">
        <w:rPr>
          <w:szCs w:val="22"/>
        </w:rPr>
        <w:t>k</w:t>
      </w:r>
      <w:r w:rsidRPr="00A4543F">
        <w:rPr>
          <w:szCs w:val="22"/>
        </w:rPr>
        <w:t>naden och möjligheter till ekonomiskt oberoende, minska skillnaderna i lön, inkomster och pension mellan könen, främja en jämn könsfördelning i beslutsfattandet, bekämpa könsbaserat våld samt stödja och skydda brott</w:t>
      </w:r>
      <w:r w:rsidRPr="00A4543F">
        <w:rPr>
          <w:szCs w:val="22"/>
        </w:rPr>
        <w:t>s</w:t>
      </w:r>
      <w:r w:rsidRPr="00A4543F">
        <w:rPr>
          <w:szCs w:val="22"/>
        </w:rPr>
        <w:t xml:space="preserve">offren samt främja jämställdhet och kvinnors rättigheter i världen. </w:t>
      </w:r>
    </w:p>
    <w:p w:rsidR="002D3627" w:rsidRPr="00A4543F" w:rsidRDefault="002D3627" w:rsidP="00B32338">
      <w:pPr>
        <w:ind w:firstLine="284"/>
        <w:rPr>
          <w:szCs w:val="22"/>
        </w:rPr>
      </w:pPr>
      <w:r w:rsidRPr="00A4543F">
        <w:rPr>
          <w:szCs w:val="22"/>
        </w:rPr>
        <w:t>I den nya handlingsplanen för jämställdhet 2016-2020 betonas förver</w:t>
      </w:r>
      <w:r w:rsidRPr="00A4543F">
        <w:rPr>
          <w:szCs w:val="22"/>
        </w:rPr>
        <w:t>k</w:t>
      </w:r>
      <w:r w:rsidRPr="00A4543F">
        <w:rPr>
          <w:szCs w:val="22"/>
        </w:rPr>
        <w:t>ligandet av kvinnors och flickors fulla åtnjutande av alla mänskliga och grundläggande friheter liksom egenmakt och jämställdhet för kvinnor och flickor</w:t>
      </w:r>
      <w:r w:rsidR="00B32338">
        <w:rPr>
          <w:szCs w:val="22"/>
        </w:rPr>
        <w:t xml:space="preserve"> samt</w:t>
      </w:r>
      <w:r w:rsidRPr="00A4543F">
        <w:rPr>
          <w:szCs w:val="22"/>
        </w:rPr>
        <w:t xml:space="preserve"> </w:t>
      </w:r>
      <w:r w:rsidR="00B32338">
        <w:rPr>
          <w:szCs w:val="22"/>
        </w:rPr>
        <w:t>m</w:t>
      </w:r>
      <w:r w:rsidRPr="00A4543F">
        <w:rPr>
          <w:szCs w:val="22"/>
        </w:rPr>
        <w:t>ål fem för hållbar utveckling: ”Uppnå jämställdhet för att alla kvinnor och flickor ska få större makt över sina liv.”</w:t>
      </w:r>
    </w:p>
    <w:p w:rsidR="002D3627" w:rsidRPr="00A4543F" w:rsidRDefault="002D3627" w:rsidP="00B32338">
      <w:pPr>
        <w:ind w:firstLine="284"/>
        <w:rPr>
          <w:szCs w:val="22"/>
        </w:rPr>
      </w:pPr>
      <w:r w:rsidRPr="00A4543F">
        <w:rPr>
          <w:szCs w:val="22"/>
        </w:rPr>
        <w:t>Det påbörjade arbetet med att förverkliga den åländska utvecklings- och hållbarhetsagendans strategiska utvecklingsmål 1: ”Välmående människor vars inneboende resurser växer” och mål 2: ”Alla känner tillit och har ver</w:t>
      </w:r>
      <w:r w:rsidRPr="00A4543F">
        <w:rPr>
          <w:szCs w:val="22"/>
        </w:rPr>
        <w:t>k</w:t>
      </w:r>
      <w:r w:rsidRPr="00A4543F">
        <w:rPr>
          <w:szCs w:val="22"/>
        </w:rPr>
        <w:t>liga möjligheter att vara delaktiga i samhället.” ska ses som en del av det åländska arbetet med att förverkliga kommissionens jämställdhetsstrategi och handlingsplan.</w:t>
      </w:r>
    </w:p>
    <w:p w:rsidR="002D3627" w:rsidRPr="00A4543F" w:rsidRDefault="002D3627" w:rsidP="00F9594E">
      <w:pPr>
        <w:ind w:firstLine="284"/>
        <w:rPr>
          <w:szCs w:val="22"/>
        </w:rPr>
      </w:pPr>
      <w:r w:rsidRPr="00A4543F">
        <w:rPr>
          <w:szCs w:val="22"/>
        </w:rPr>
        <w:t>För att nå social hållbarhet och därmed jämställdhet ska ett jämställ</w:t>
      </w:r>
      <w:r w:rsidRPr="00A4543F">
        <w:rPr>
          <w:szCs w:val="22"/>
        </w:rPr>
        <w:t>d</w:t>
      </w:r>
      <w:r w:rsidRPr="00A4543F">
        <w:rPr>
          <w:szCs w:val="22"/>
        </w:rPr>
        <w:t>hetsperspektiv läggas på alla områden i samhället. Strategin kallas jä</w:t>
      </w:r>
      <w:r w:rsidRPr="00A4543F">
        <w:rPr>
          <w:szCs w:val="22"/>
        </w:rPr>
        <w:t>m</w:t>
      </w:r>
      <w:r w:rsidRPr="00A4543F">
        <w:rPr>
          <w:szCs w:val="22"/>
        </w:rPr>
        <w:t>ställdhetsintegrering och innebär att analyser av flickors och pojkars, kvi</w:t>
      </w:r>
      <w:r w:rsidRPr="00A4543F">
        <w:rPr>
          <w:szCs w:val="22"/>
        </w:rPr>
        <w:t>n</w:t>
      </w:r>
      <w:r w:rsidRPr="00A4543F">
        <w:rPr>
          <w:szCs w:val="22"/>
        </w:rPr>
        <w:t>nors och mäns situation och villkor ska ingå i beslutsunderlag och att ko</w:t>
      </w:r>
      <w:r w:rsidRPr="00A4543F">
        <w:rPr>
          <w:szCs w:val="22"/>
        </w:rPr>
        <w:t>n</w:t>
      </w:r>
      <w:r w:rsidRPr="00A4543F">
        <w:rPr>
          <w:szCs w:val="22"/>
        </w:rPr>
        <w:t>sekvenser av förslag ska analyseras ur ett jämställdhetsperspektiv.</w:t>
      </w:r>
    </w:p>
    <w:p w:rsidR="002D3627" w:rsidRPr="00A4543F" w:rsidRDefault="002D3627" w:rsidP="00F9594E">
      <w:pPr>
        <w:ind w:firstLine="284"/>
        <w:rPr>
          <w:szCs w:val="22"/>
        </w:rPr>
      </w:pPr>
      <w:r w:rsidRPr="00A4543F">
        <w:rPr>
          <w:szCs w:val="22"/>
        </w:rPr>
        <w:t>Främjande av jämställdhet, jämställdhetsintegrering, kräver tillgång på grundläggande fakta såsom statistik indelad enligt kön. Statistiken speglar skillnader och likheter på alla områden i livet. Den könsindelade statistiken skapar förutsättning för att se enskilda företeelser till att upptäcka mönster och på så sätt få syn på strukturer och normer för flickor, pojkar, kvinnor och män i samhället.</w:t>
      </w:r>
    </w:p>
    <w:p w:rsidR="002D3627" w:rsidRPr="00A4543F" w:rsidRDefault="00F9594E" w:rsidP="00F9594E">
      <w:pPr>
        <w:ind w:firstLine="284"/>
        <w:rPr>
          <w:szCs w:val="22"/>
        </w:rPr>
      </w:pPr>
      <w:r>
        <w:rPr>
          <w:szCs w:val="22"/>
        </w:rPr>
        <w:t>I b</w:t>
      </w:r>
      <w:r w:rsidR="002D3627" w:rsidRPr="00A4543F">
        <w:rPr>
          <w:szCs w:val="22"/>
        </w:rPr>
        <w:t>ilagan till landskapets budget 2016 ”Kvinnors och mäns villkor i d</w:t>
      </w:r>
      <w:r w:rsidR="002D3627" w:rsidRPr="00A4543F">
        <w:rPr>
          <w:szCs w:val="22"/>
        </w:rPr>
        <w:t>a</w:t>
      </w:r>
      <w:r w:rsidR="002D3627" w:rsidRPr="00A4543F">
        <w:rPr>
          <w:szCs w:val="22"/>
        </w:rPr>
        <w:t>gens demografiska förändringar.”</w:t>
      </w:r>
      <w:r>
        <w:rPr>
          <w:szCs w:val="22"/>
        </w:rPr>
        <w:t xml:space="preserve"> låg</w:t>
      </w:r>
      <w:r w:rsidR="002D3627" w:rsidRPr="00A4543F">
        <w:rPr>
          <w:szCs w:val="22"/>
        </w:rPr>
        <w:t xml:space="preserve"> </w:t>
      </w:r>
      <w:r>
        <w:rPr>
          <w:szCs w:val="22"/>
        </w:rPr>
        <w:t>t</w:t>
      </w:r>
      <w:r w:rsidR="002D3627" w:rsidRPr="00A4543F">
        <w:rPr>
          <w:szCs w:val="22"/>
        </w:rPr>
        <w:t>yngdpunkten gällande uppgifter och statistik på integration och demokratiska förändringar. Under året påbörj</w:t>
      </w:r>
      <w:r w:rsidR="002D3627" w:rsidRPr="00A4543F">
        <w:rPr>
          <w:szCs w:val="22"/>
        </w:rPr>
        <w:t>a</w:t>
      </w:r>
      <w:r w:rsidR="002D3627" w:rsidRPr="00A4543F">
        <w:rPr>
          <w:szCs w:val="22"/>
        </w:rPr>
        <w:t>des arbetet med statistikpublikationen ”På tal om jämställdhet” som berä</w:t>
      </w:r>
      <w:r w:rsidR="002D3627" w:rsidRPr="00A4543F">
        <w:rPr>
          <w:szCs w:val="22"/>
        </w:rPr>
        <w:t>k</w:t>
      </w:r>
      <w:r w:rsidR="002D3627" w:rsidRPr="00A4543F">
        <w:rPr>
          <w:szCs w:val="22"/>
        </w:rPr>
        <w:t>nas utkomma under 2017. Under år 2017 arrangeras utbildning i använ</w:t>
      </w:r>
      <w:r w:rsidR="002D3627" w:rsidRPr="00A4543F">
        <w:rPr>
          <w:szCs w:val="22"/>
        </w:rPr>
        <w:t>d</w:t>
      </w:r>
      <w:r w:rsidR="002D3627" w:rsidRPr="00A4543F">
        <w:rPr>
          <w:szCs w:val="22"/>
        </w:rPr>
        <w:t>ning av och metoder för analys av könsindelad statistik i budgetprocessen.</w:t>
      </w:r>
    </w:p>
    <w:p w:rsidR="002D3627" w:rsidRPr="00A4543F" w:rsidRDefault="002D3627" w:rsidP="002D3627">
      <w:pPr>
        <w:rPr>
          <w:szCs w:val="22"/>
        </w:rPr>
      </w:pPr>
      <w:r w:rsidRPr="00A4543F">
        <w:rPr>
          <w:szCs w:val="22"/>
        </w:rPr>
        <w:t>Ett kontinuerligt hållbart utvecklingsarbete, utbildning i jämställdhets- och genuskunskap, normer, strukturer och värderingar samt kunskap om fö</w:t>
      </w:r>
      <w:r w:rsidRPr="00A4543F">
        <w:rPr>
          <w:szCs w:val="22"/>
        </w:rPr>
        <w:t>r</w:t>
      </w:r>
      <w:r w:rsidRPr="00A4543F">
        <w:rPr>
          <w:szCs w:val="22"/>
        </w:rPr>
        <w:t>ändringsarbete och dess villkor för olika målgrupper är basförutsättning för hållbar jämställdhet. Under år 2015 påbörjades en tre-årig kompetensu</w:t>
      </w:r>
      <w:r w:rsidRPr="00A4543F">
        <w:rPr>
          <w:szCs w:val="22"/>
        </w:rPr>
        <w:t>t</w:t>
      </w:r>
      <w:r w:rsidRPr="00A4543F">
        <w:rPr>
          <w:szCs w:val="22"/>
        </w:rPr>
        <w:t>veckling i genus och jämställdhet med fokus på målgrupper inom offentlig sektor.</w:t>
      </w:r>
    </w:p>
    <w:p w:rsidR="002D3627" w:rsidRPr="00A4543F" w:rsidRDefault="002D3627" w:rsidP="00961651">
      <w:pPr>
        <w:ind w:firstLine="284"/>
        <w:rPr>
          <w:szCs w:val="22"/>
        </w:rPr>
      </w:pPr>
      <w:r w:rsidRPr="00A4543F">
        <w:rPr>
          <w:szCs w:val="22"/>
        </w:rPr>
        <w:t>Det redan påbörjade arbetet med genus- och jämställdhetsintegrering i den åländska barnomsorgsverksamheten fortsatte med målsättningen att skapa en verksamhet med hög och likvärdig kvalitet för flickor och pojkar. Arbetet med jämställd fritid</w:t>
      </w:r>
      <w:r w:rsidR="00F26966">
        <w:rPr>
          <w:szCs w:val="22"/>
        </w:rPr>
        <w:t xml:space="preserve"> fortsätter,</w:t>
      </w:r>
      <w:r w:rsidRPr="00A4543F">
        <w:rPr>
          <w:szCs w:val="22"/>
        </w:rPr>
        <w:t xml:space="preserve"> med målsättningen att skapa föru</w:t>
      </w:r>
      <w:r w:rsidRPr="00A4543F">
        <w:rPr>
          <w:szCs w:val="22"/>
        </w:rPr>
        <w:t>t</w:t>
      </w:r>
      <w:r w:rsidRPr="00A4543F">
        <w:rPr>
          <w:szCs w:val="22"/>
        </w:rPr>
        <w:t>sättningar för unga kvinnor och män till en trygg och jämställd fritid. A</w:t>
      </w:r>
      <w:r w:rsidRPr="00A4543F">
        <w:rPr>
          <w:szCs w:val="22"/>
        </w:rPr>
        <w:t>r</w:t>
      </w:r>
      <w:r w:rsidRPr="00A4543F">
        <w:rPr>
          <w:szCs w:val="22"/>
        </w:rPr>
        <w:t>bete med jämställdhet i projektform är en risk eftersom resultatet inte alltid ger långsiktiga och hållbara effekter så därför har landskapsregeringens m</w:t>
      </w:r>
      <w:r w:rsidRPr="00A4543F">
        <w:rPr>
          <w:szCs w:val="22"/>
        </w:rPr>
        <w:t>e</w:t>
      </w:r>
      <w:r w:rsidRPr="00A4543F">
        <w:rPr>
          <w:szCs w:val="22"/>
        </w:rPr>
        <w:t>tod varit integrerat jämställdhetsarbete i ordinarie verksamhet.</w:t>
      </w:r>
    </w:p>
    <w:p w:rsidR="001D797C" w:rsidRDefault="002D3627" w:rsidP="001D797C">
      <w:pPr>
        <w:ind w:firstLine="284"/>
        <w:rPr>
          <w:szCs w:val="22"/>
        </w:rPr>
      </w:pPr>
      <w:r w:rsidRPr="00A4543F">
        <w:rPr>
          <w:szCs w:val="22"/>
        </w:rPr>
        <w:t>Åtgärder i enlighet med Istanbulkonventionen har vidtagits. Utbildning och kompetensutveckling för berörda myndigheter har arrangerats och flera insatser med olika fokusområden är inplanerade för år 2017. Med stöd av Landskapslag om skyddshem (2015:17) har Landskapsförordning om skyddshemspersonal (ÅFS 2015:18) utarbetats och trätt i kraft.</w:t>
      </w:r>
    </w:p>
    <w:p w:rsidR="00195B7F" w:rsidRPr="00A236FF" w:rsidRDefault="005B258E" w:rsidP="00195B7F">
      <w:pPr>
        <w:pStyle w:val="Rubrik3"/>
      </w:pPr>
      <w:bookmarkStart w:id="161" w:name="_Toc442442861"/>
      <w:bookmarkStart w:id="162" w:name="_Toc477424003"/>
      <w:r>
        <w:t>3.2.1</w:t>
      </w:r>
      <w:r w:rsidR="00B45D0E">
        <w:t>3</w:t>
      </w:r>
      <w:r>
        <w:t xml:space="preserve"> </w:t>
      </w:r>
      <w:r w:rsidR="00A946CC">
        <w:t>Integration</w:t>
      </w:r>
      <w:bookmarkEnd w:id="161"/>
      <w:bookmarkEnd w:id="162"/>
    </w:p>
    <w:p w:rsidR="00AE7A76" w:rsidRPr="006B5D6E" w:rsidRDefault="00AE7A76" w:rsidP="00AE7A76">
      <w:r w:rsidRPr="006B5D6E">
        <w:t xml:space="preserve">Ett av EU-kommissionens prioriterade områden i arbetsprogrammet för 2017, liksom för 2015-16, är migrationspolitik. Den europeiska agendan för </w:t>
      </w:r>
      <w:r w:rsidRPr="006B5D6E">
        <w:lastRenderedPageBreak/>
        <w:t>migration fokuserar på att möta flyktingkrisen genom utökade samarbeten med närregionen så att färre flyktingar och migranter tar sig in i EU på olagliga vägar. Det gör man genom ökat direkt stöd till flyktingar som b</w:t>
      </w:r>
      <w:r w:rsidRPr="006B5D6E">
        <w:t>e</w:t>
      </w:r>
      <w:r w:rsidRPr="006B5D6E">
        <w:t xml:space="preserve">finner sig i EU:s grannländer, samt genom stärkt gränskontroll. På agendan står reformerade Dublinkriterier, inrättandet av en EU-byrå för </w:t>
      </w:r>
      <w:r w:rsidR="00543511">
        <w:t>a</w:t>
      </w:r>
      <w:r w:rsidRPr="006B5D6E">
        <w:t>syl, ett stärkt Eurodac, nytt ramverk för vidarebosättning och insatser för att bättre administrera och sköta laglig invandring. Dessa frågor faller under riksb</w:t>
      </w:r>
      <w:r w:rsidRPr="006B5D6E">
        <w:t>e</w:t>
      </w:r>
      <w:r w:rsidRPr="006B5D6E">
        <w:t>hörighet men är av intresse för landskapsregeringen att bevaka.</w:t>
      </w:r>
    </w:p>
    <w:p w:rsidR="00692170" w:rsidRDefault="00AE7A76" w:rsidP="00AE7A76">
      <w:r w:rsidRPr="00E26CCC">
        <w:rPr>
          <w:color w:val="00B050"/>
        </w:rPr>
        <w:tab/>
      </w:r>
      <w:r w:rsidRPr="006B5D6E">
        <w:t>Lagtinget antog i november 2016 en blankettlag som möjliggör för åländska aktörer att söka medel från Fonden för asyl, migration och inte</w:t>
      </w:r>
      <w:r w:rsidRPr="006B5D6E">
        <w:t>g</w:t>
      </w:r>
      <w:r w:rsidRPr="006B5D6E">
        <w:t>ration (AMIF) 2014-20. Det gäller främst medel som är öronmärkta för i</w:t>
      </w:r>
      <w:r w:rsidRPr="006B5D6E">
        <w:t>n</w:t>
      </w:r>
      <w:r w:rsidRPr="006B5D6E">
        <w:t xml:space="preserve">tegration och vidarebosättning av kvotflyktingar.  En </w:t>
      </w:r>
      <w:r w:rsidRPr="00AB0034">
        <w:t>överenskommelsefö</w:t>
      </w:r>
      <w:r w:rsidRPr="00AB0034">
        <w:t>r</w:t>
      </w:r>
      <w:r w:rsidRPr="0040795F">
        <w:t xml:space="preserve">ordning </w:t>
      </w:r>
      <w:r w:rsidR="00D327A9" w:rsidRPr="00AB0034">
        <w:t>ska antas under början av 2017.</w:t>
      </w:r>
      <w:r w:rsidR="00543511" w:rsidRPr="00AB0034">
        <w:t xml:space="preserve"> </w:t>
      </w:r>
      <w:r w:rsidRPr="00AB0034">
        <w:t>Fo</w:t>
      </w:r>
      <w:r w:rsidRPr="0040795F">
        <w:t>nden</w:t>
      </w:r>
      <w:r w:rsidRPr="006B5D6E">
        <w:t xml:space="preserve"> administreras för Finlands del av inrikesministeriet, men landskapsregeringen ingår i fondens öve</w:t>
      </w:r>
      <w:r w:rsidRPr="006B5D6E">
        <w:t>r</w:t>
      </w:r>
      <w:r w:rsidRPr="006B5D6E">
        <w:t xml:space="preserve">vakningskommittéer. </w:t>
      </w:r>
    </w:p>
    <w:p w:rsidR="00692170" w:rsidRPr="00A60872" w:rsidRDefault="00692170" w:rsidP="009437B7">
      <w:pPr>
        <w:pStyle w:val="Rubrik3"/>
      </w:pPr>
      <w:bookmarkStart w:id="163" w:name="_Toc477424004"/>
      <w:r w:rsidRPr="00A60872">
        <w:t>3.2.1</w:t>
      </w:r>
      <w:r w:rsidR="00B45D0E">
        <w:t>4</w:t>
      </w:r>
      <w:r w:rsidRPr="00A60872">
        <w:t xml:space="preserve"> </w:t>
      </w:r>
      <w:r w:rsidR="00B214DB">
        <w:t>Socialvård</w:t>
      </w:r>
      <w:bookmarkEnd w:id="163"/>
    </w:p>
    <w:p w:rsidR="00692170" w:rsidRPr="00A60872" w:rsidRDefault="00692170" w:rsidP="009437B7">
      <w:r w:rsidRPr="00E22457">
        <w:t>Ett av kommissionens prioriterade områden i arbetsprogrammet för 2017 är EU:s sociala pelare. Landskapsregeringen bedömer att det är väsentligt att följa förslagets utveckling då socialvård hör till landskapets lagstiftning</w:t>
      </w:r>
      <w:r w:rsidRPr="00E22457">
        <w:t>s</w:t>
      </w:r>
      <w:r w:rsidRPr="00E22457">
        <w:t>behörighet</w:t>
      </w:r>
      <w:r w:rsidRPr="00A60872">
        <w:t>. I och med förslaget kan EU ta över en del av lagstiftningsbeh</w:t>
      </w:r>
      <w:r w:rsidRPr="00A60872">
        <w:t>ö</w:t>
      </w:r>
      <w:r w:rsidRPr="00A60872">
        <w:t>righeten som hör till landskapet. Förslaget som i alla fall delvis blir bi</w:t>
      </w:r>
      <w:r w:rsidRPr="00A60872">
        <w:t>n</w:t>
      </w:r>
      <w:r w:rsidRPr="00A60872">
        <w:t>dande EU-rätt i ett senare skede kommer att inverka på arbetet vid lan</w:t>
      </w:r>
      <w:r w:rsidRPr="00A60872">
        <w:t>d</w:t>
      </w:r>
      <w:r w:rsidRPr="00A60872">
        <w:t>skapsregeringen vilket gör det viktigt att följa förslagets behandling. Det bedöms vara sannolikt att detta förutsätter lagstiftningsåtgärder av lan</w:t>
      </w:r>
      <w:r w:rsidRPr="00A60872">
        <w:t>d</w:t>
      </w:r>
      <w:r w:rsidRPr="00A60872">
        <w:t>skap</w:t>
      </w:r>
      <w:r w:rsidR="00C37A2C">
        <w:t>et</w:t>
      </w:r>
      <w:r w:rsidRPr="00A60872">
        <w:t>.</w:t>
      </w:r>
    </w:p>
    <w:p w:rsidR="00AC0D09" w:rsidRPr="00971422" w:rsidRDefault="009437B7" w:rsidP="00A946CC">
      <w:pPr>
        <w:rPr>
          <w:szCs w:val="22"/>
        </w:rPr>
      </w:pPr>
      <w:r>
        <w:tab/>
      </w:r>
      <w:r w:rsidR="00692170" w:rsidRPr="00A60872">
        <w:t>Arbetet med ändring av förordning (EG) nr. 883/2004 om samordning av de sociala trygghetssystemen och förordning (EG) nr. 987/2009 om ti</w:t>
      </w:r>
      <w:r w:rsidR="00692170" w:rsidRPr="00A60872">
        <w:t>l</w:t>
      </w:r>
      <w:r w:rsidR="00A60872" w:rsidRPr="00A60872">
        <w:t>lämpnings</w:t>
      </w:r>
      <w:r w:rsidR="00692170" w:rsidRPr="00A60872">
        <w:t>bestämmelser till förordning (EG) nr. 883/2004 som tillkänn</w:t>
      </w:r>
      <w:r w:rsidR="00692170" w:rsidRPr="00A60872">
        <w:t>a</w:t>
      </w:r>
      <w:r w:rsidR="00692170" w:rsidRPr="00A60872">
        <w:t>gavs i kommissionens arb</w:t>
      </w:r>
      <w:r w:rsidR="00A60872" w:rsidRPr="00A60872">
        <w:t>etsprogram för 2016 fortsätter under</w:t>
      </w:r>
      <w:r w:rsidR="00692170" w:rsidRPr="00A60872">
        <w:t xml:space="preserve"> 2017. I fö</w:t>
      </w:r>
      <w:r w:rsidR="00692170" w:rsidRPr="00A60872">
        <w:t>r</w:t>
      </w:r>
      <w:r w:rsidR="00692170" w:rsidRPr="00A60872">
        <w:t xml:space="preserve">slaget tydliggörs vad </w:t>
      </w:r>
      <w:r w:rsidR="00B214DB">
        <w:t xml:space="preserve">som avses med </w:t>
      </w:r>
      <w:r w:rsidR="00692170" w:rsidRPr="00A60872">
        <w:t xml:space="preserve">förmåner vid långvarigt vårdbehov </w:t>
      </w:r>
      <w:r w:rsidR="00692170" w:rsidRPr="00E505CE">
        <w:t>och var mobila medborgare kan göra</w:t>
      </w:r>
      <w:r w:rsidR="00692170" w:rsidRPr="00A60872">
        <w:t xml:space="preserve"> anspråk på sådana förmåner. Förmo</w:t>
      </w:r>
      <w:r w:rsidR="00692170" w:rsidRPr="00A60872">
        <w:t>d</w:t>
      </w:r>
      <w:r w:rsidR="00692170" w:rsidRPr="00A60872">
        <w:t>ligen behöver landskap</w:t>
      </w:r>
      <w:r w:rsidR="00C37A2C">
        <w:t>et</w:t>
      </w:r>
      <w:r w:rsidR="00692170" w:rsidRPr="00A60872">
        <w:t xml:space="preserve"> vidta lagstiftningsåtgärder på grund av detta</w:t>
      </w:r>
      <w:r w:rsidR="00B214DB">
        <w:t xml:space="preserve"> </w:t>
      </w:r>
      <w:r w:rsidR="00B214DB" w:rsidRPr="00971422">
        <w:t>fö</w:t>
      </w:r>
      <w:r w:rsidR="00B214DB" w:rsidRPr="00971422">
        <w:t>r</w:t>
      </w:r>
      <w:r w:rsidR="00B214DB" w:rsidRPr="00971422">
        <w:t>slag</w:t>
      </w:r>
      <w:r w:rsidR="00692170" w:rsidRPr="00971422">
        <w:t>.</w:t>
      </w:r>
    </w:p>
    <w:p w:rsidR="004406DE" w:rsidRPr="00226E86" w:rsidRDefault="004406DE" w:rsidP="004406DE">
      <w:pPr>
        <w:pStyle w:val="Rubrik2"/>
      </w:pPr>
      <w:bookmarkStart w:id="164" w:name="_Toc410897677"/>
      <w:bookmarkStart w:id="165" w:name="_Toc412712694"/>
      <w:bookmarkStart w:id="166" w:name="_Toc442442862"/>
      <w:bookmarkStart w:id="167" w:name="_Toc477424005"/>
      <w:r w:rsidRPr="00971422">
        <w:t>3.3 Sammanfattning</w:t>
      </w:r>
      <w:r w:rsidRPr="00226E86">
        <w:t xml:space="preserve"> av landskapsregeringens nya pri</w:t>
      </w:r>
      <w:r w:rsidRPr="00226E86">
        <w:t>o</w:t>
      </w:r>
      <w:r w:rsidRPr="00226E86">
        <w:t>riteringar i kommissionens arbetsprogram för 201</w:t>
      </w:r>
      <w:bookmarkEnd w:id="164"/>
      <w:bookmarkEnd w:id="165"/>
      <w:bookmarkEnd w:id="166"/>
      <w:r w:rsidR="00226E86" w:rsidRPr="00226E86">
        <w:t>7</w:t>
      </w:r>
      <w:bookmarkEnd w:id="167"/>
    </w:p>
    <w:p w:rsidR="004406DE" w:rsidRPr="00AD402D" w:rsidRDefault="004406DE" w:rsidP="005242BE">
      <w:r w:rsidRPr="00AD402D">
        <w:t>Nedan finns en tabell över de kommissionsinitiativ som landskapsregerin</w:t>
      </w:r>
      <w:r w:rsidRPr="00AD402D">
        <w:t>g</w:t>
      </w:r>
      <w:r w:rsidRPr="00AD402D">
        <w:t>en prioriterar i kommissionens arbetsprogram för 201</w:t>
      </w:r>
      <w:r w:rsidR="00226E86" w:rsidRPr="00AD402D">
        <w:t>7</w:t>
      </w:r>
      <w:r w:rsidRPr="00AD402D">
        <w:t>. Landskapsreg</w:t>
      </w:r>
      <w:r w:rsidRPr="00AD402D">
        <w:t>e</w:t>
      </w:r>
      <w:r w:rsidRPr="00AD402D">
        <w:t>ringen kommer att följa dessa initiativ och vid behov diarieföra dem.</w:t>
      </w:r>
      <w:r w:rsidR="00733FC9">
        <w:t xml:space="preserve"> </w:t>
      </w:r>
    </w:p>
    <w:p w:rsidR="00115132" w:rsidRPr="008842B6" w:rsidRDefault="00115132" w:rsidP="004406DE">
      <w:pPr>
        <w:pStyle w:val="ANormal"/>
      </w:pPr>
    </w:p>
    <w:p w:rsidR="004406DE" w:rsidRPr="00AD402D" w:rsidRDefault="004406DE" w:rsidP="004406DE">
      <w:pPr>
        <w:pStyle w:val="ANormal"/>
        <w:rPr>
          <w:b/>
          <w:bCs/>
        </w:rPr>
      </w:pPr>
      <w:r w:rsidRPr="00AD402D">
        <w:rPr>
          <w:b/>
          <w:bCs/>
        </w:rPr>
        <w:t>Tabell 1: Initiativ som landskapsregeringen kommer att prioritera</w:t>
      </w:r>
    </w:p>
    <w:tbl>
      <w:tblPr>
        <w:tblW w:w="68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4394"/>
      </w:tblGrid>
      <w:tr w:rsidR="00682599" w:rsidRPr="00866391" w:rsidTr="00E505BD">
        <w:tc>
          <w:tcPr>
            <w:tcW w:w="6804" w:type="dxa"/>
            <w:gridSpan w:val="2"/>
            <w:shd w:val="clear" w:color="auto" w:fill="auto"/>
          </w:tcPr>
          <w:p w:rsidR="00682599" w:rsidRPr="00FC1901" w:rsidRDefault="00682599" w:rsidP="004406DE">
            <w:pPr>
              <w:pStyle w:val="ANormal"/>
              <w:rPr>
                <w:color w:val="FF0000"/>
                <w:szCs w:val="22"/>
              </w:rPr>
            </w:pPr>
            <w:r w:rsidRPr="00FC1901">
              <w:rPr>
                <w:b/>
                <w:bCs/>
                <w:szCs w:val="22"/>
              </w:rPr>
              <w:t>En ny satsning på sysselsättning, tillväxt och investeringar</w:t>
            </w:r>
          </w:p>
        </w:tc>
      </w:tr>
      <w:tr w:rsidR="00C61EE5" w:rsidRPr="00866391" w:rsidTr="00DF4B6F">
        <w:tc>
          <w:tcPr>
            <w:tcW w:w="2410" w:type="dxa"/>
            <w:shd w:val="clear" w:color="auto" w:fill="auto"/>
          </w:tcPr>
          <w:p w:rsidR="00226E86" w:rsidRPr="00201DEC" w:rsidRDefault="00226E86" w:rsidP="00226E86">
            <w:pPr>
              <w:pStyle w:val="Default"/>
              <w:rPr>
                <w:rFonts w:ascii="Times New Roman" w:hAnsi="Times New Roman" w:cs="Times New Roman"/>
                <w:color w:val="auto"/>
                <w:sz w:val="22"/>
                <w:szCs w:val="22"/>
              </w:rPr>
            </w:pPr>
            <w:r w:rsidRPr="00201DEC">
              <w:rPr>
                <w:rFonts w:ascii="Times New Roman" w:hAnsi="Times New Roman" w:cs="Times New Roman"/>
                <w:b/>
                <w:bCs/>
                <w:color w:val="auto"/>
                <w:sz w:val="22"/>
                <w:szCs w:val="22"/>
              </w:rPr>
              <w:t xml:space="preserve">Ungdomsinitiativ </w:t>
            </w:r>
          </w:p>
          <w:p w:rsidR="00C61EE5" w:rsidRPr="00201DEC" w:rsidRDefault="00E505CE" w:rsidP="00C61EE5">
            <w:pPr>
              <w:pStyle w:val="ANormal"/>
              <w:rPr>
                <w:szCs w:val="22"/>
              </w:rPr>
            </w:pPr>
            <w:r w:rsidRPr="00201DEC">
              <w:rPr>
                <w:szCs w:val="22"/>
              </w:rPr>
              <w:t>(nytt initiativ</w:t>
            </w:r>
            <w:r w:rsidR="00ED5612" w:rsidRPr="00201DEC">
              <w:rPr>
                <w:szCs w:val="22"/>
              </w:rPr>
              <w:t>)</w:t>
            </w:r>
          </w:p>
          <w:p w:rsidR="00C61EE5" w:rsidRPr="00201DEC" w:rsidRDefault="00C61EE5" w:rsidP="00C61EE5">
            <w:pPr>
              <w:pStyle w:val="ANormal"/>
              <w:rPr>
                <w:szCs w:val="22"/>
              </w:rPr>
            </w:pPr>
          </w:p>
        </w:tc>
        <w:tc>
          <w:tcPr>
            <w:tcW w:w="4394" w:type="dxa"/>
            <w:shd w:val="clear" w:color="auto" w:fill="auto"/>
          </w:tcPr>
          <w:p w:rsidR="00226E86" w:rsidRPr="00303099" w:rsidRDefault="00226E86" w:rsidP="00226E86">
            <w:pPr>
              <w:pStyle w:val="Default"/>
              <w:rPr>
                <w:rFonts w:ascii="Times New Roman" w:hAnsi="Times New Roman" w:cs="Times New Roman"/>
                <w:color w:val="auto"/>
                <w:sz w:val="22"/>
                <w:szCs w:val="22"/>
              </w:rPr>
            </w:pPr>
            <w:r w:rsidRPr="00303099">
              <w:rPr>
                <w:rFonts w:ascii="Times New Roman" w:hAnsi="Times New Roman" w:cs="Times New Roman"/>
                <w:b/>
                <w:bCs/>
                <w:color w:val="auto"/>
                <w:sz w:val="22"/>
                <w:szCs w:val="22"/>
              </w:rPr>
              <w:t xml:space="preserve">Initiativet omfattar ett förslag till inrättande av en europeisk solidaritetskår </w:t>
            </w:r>
            <w:r w:rsidRPr="00303099">
              <w:rPr>
                <w:rFonts w:ascii="Times New Roman" w:hAnsi="Times New Roman" w:cs="Times New Roman"/>
                <w:color w:val="auto"/>
                <w:sz w:val="22"/>
                <w:szCs w:val="22"/>
              </w:rPr>
              <w:t>(lagstif</w:t>
            </w:r>
            <w:r w:rsidRPr="00303099">
              <w:rPr>
                <w:rFonts w:ascii="Times New Roman" w:hAnsi="Times New Roman" w:cs="Times New Roman"/>
                <w:color w:val="auto"/>
                <w:sz w:val="22"/>
                <w:szCs w:val="22"/>
              </w:rPr>
              <w:t>t</w:t>
            </w:r>
            <w:r w:rsidRPr="00303099">
              <w:rPr>
                <w:rFonts w:ascii="Times New Roman" w:hAnsi="Times New Roman" w:cs="Times New Roman"/>
                <w:color w:val="auto"/>
                <w:sz w:val="22"/>
                <w:szCs w:val="22"/>
              </w:rPr>
              <w:t xml:space="preserve">ning/icke-lagstiftning) </w:t>
            </w:r>
            <w:r w:rsidRPr="00303099">
              <w:rPr>
                <w:rFonts w:ascii="Times New Roman" w:hAnsi="Times New Roman" w:cs="Times New Roman"/>
                <w:b/>
                <w:bCs/>
                <w:color w:val="auto"/>
                <w:sz w:val="22"/>
                <w:szCs w:val="22"/>
              </w:rPr>
              <w:t>och prioriterade å</w:t>
            </w:r>
            <w:r w:rsidRPr="00303099">
              <w:rPr>
                <w:rFonts w:ascii="Times New Roman" w:hAnsi="Times New Roman" w:cs="Times New Roman"/>
                <w:b/>
                <w:bCs/>
                <w:color w:val="auto"/>
                <w:sz w:val="22"/>
                <w:szCs w:val="22"/>
              </w:rPr>
              <w:t>t</w:t>
            </w:r>
            <w:r w:rsidRPr="00303099">
              <w:rPr>
                <w:rFonts w:ascii="Times New Roman" w:hAnsi="Times New Roman" w:cs="Times New Roman"/>
                <w:b/>
                <w:bCs/>
                <w:color w:val="auto"/>
                <w:sz w:val="22"/>
                <w:szCs w:val="22"/>
              </w:rPr>
              <w:t xml:space="preserve">gärder för att genomföra ungdomsinslagen i kompetensagendan, bl.a. en kvalitetsram för lärlingsutbildningar och ett förslag om ökad rörlighet för lärlingar </w:t>
            </w:r>
            <w:r w:rsidRPr="00303099">
              <w:rPr>
                <w:rFonts w:ascii="Times New Roman" w:hAnsi="Times New Roman" w:cs="Times New Roman"/>
                <w:color w:val="auto"/>
                <w:sz w:val="22"/>
                <w:szCs w:val="22"/>
              </w:rPr>
              <w:t>(lagstiftning)</w:t>
            </w:r>
            <w:r w:rsidRPr="00303099">
              <w:rPr>
                <w:rFonts w:ascii="Times New Roman" w:hAnsi="Times New Roman" w:cs="Times New Roman"/>
                <w:b/>
                <w:bCs/>
                <w:color w:val="auto"/>
                <w:sz w:val="22"/>
                <w:szCs w:val="22"/>
              </w:rPr>
              <w:t>, mode</w:t>
            </w:r>
            <w:r w:rsidRPr="00303099">
              <w:rPr>
                <w:rFonts w:ascii="Times New Roman" w:hAnsi="Times New Roman" w:cs="Times New Roman"/>
                <w:b/>
                <w:bCs/>
                <w:color w:val="auto"/>
                <w:sz w:val="22"/>
                <w:szCs w:val="22"/>
              </w:rPr>
              <w:t>r</w:t>
            </w:r>
            <w:r w:rsidRPr="00303099">
              <w:rPr>
                <w:rFonts w:ascii="Times New Roman" w:hAnsi="Times New Roman" w:cs="Times New Roman"/>
                <w:b/>
                <w:bCs/>
                <w:color w:val="auto"/>
                <w:sz w:val="22"/>
                <w:szCs w:val="22"/>
              </w:rPr>
              <w:t xml:space="preserve">nisering av skola och högre utbildning </w:t>
            </w:r>
            <w:r w:rsidRPr="00303099">
              <w:rPr>
                <w:rFonts w:ascii="Times New Roman" w:hAnsi="Times New Roman" w:cs="Times New Roman"/>
                <w:color w:val="auto"/>
                <w:sz w:val="22"/>
                <w:szCs w:val="22"/>
              </w:rPr>
              <w:t>(icke-lagstiftning, andra kvartalet 2017)</w:t>
            </w:r>
            <w:r w:rsidRPr="00303099">
              <w:rPr>
                <w:rFonts w:ascii="Times New Roman" w:hAnsi="Times New Roman" w:cs="Times New Roman"/>
                <w:b/>
                <w:bCs/>
                <w:color w:val="auto"/>
                <w:sz w:val="22"/>
                <w:szCs w:val="22"/>
              </w:rPr>
              <w:t>, samt ett förslag till förbättrad kartläggning av resu</w:t>
            </w:r>
            <w:r w:rsidRPr="00303099">
              <w:rPr>
                <w:rFonts w:ascii="Times New Roman" w:hAnsi="Times New Roman" w:cs="Times New Roman"/>
                <w:b/>
                <w:bCs/>
                <w:color w:val="auto"/>
                <w:sz w:val="22"/>
                <w:szCs w:val="22"/>
              </w:rPr>
              <w:t>l</w:t>
            </w:r>
            <w:r w:rsidRPr="00303099">
              <w:rPr>
                <w:rFonts w:ascii="Times New Roman" w:hAnsi="Times New Roman" w:cs="Times New Roman"/>
                <w:b/>
                <w:bCs/>
                <w:color w:val="auto"/>
                <w:sz w:val="22"/>
                <w:szCs w:val="22"/>
              </w:rPr>
              <w:t>taten för högskoleexaminerade och ungd</w:t>
            </w:r>
            <w:r w:rsidRPr="00303099">
              <w:rPr>
                <w:rFonts w:ascii="Times New Roman" w:hAnsi="Times New Roman" w:cs="Times New Roman"/>
                <w:b/>
                <w:bCs/>
                <w:color w:val="auto"/>
                <w:sz w:val="22"/>
                <w:szCs w:val="22"/>
              </w:rPr>
              <w:t>o</w:t>
            </w:r>
            <w:r w:rsidRPr="00303099">
              <w:rPr>
                <w:rFonts w:ascii="Times New Roman" w:hAnsi="Times New Roman" w:cs="Times New Roman"/>
                <w:b/>
                <w:bCs/>
                <w:color w:val="auto"/>
                <w:sz w:val="22"/>
                <w:szCs w:val="22"/>
              </w:rPr>
              <w:t xml:space="preserve">mar som gått yrkesutbildning </w:t>
            </w:r>
            <w:r w:rsidRPr="00303099">
              <w:rPr>
                <w:rFonts w:ascii="Times New Roman" w:hAnsi="Times New Roman" w:cs="Times New Roman"/>
                <w:color w:val="auto"/>
                <w:sz w:val="22"/>
                <w:szCs w:val="22"/>
              </w:rPr>
              <w:t>(icke-</w:t>
            </w:r>
            <w:r w:rsidRPr="00303099">
              <w:rPr>
                <w:rFonts w:ascii="Times New Roman" w:hAnsi="Times New Roman" w:cs="Times New Roman"/>
                <w:color w:val="auto"/>
                <w:sz w:val="22"/>
                <w:szCs w:val="22"/>
              </w:rPr>
              <w:lastRenderedPageBreak/>
              <w:t>lagstiftning, andra kvartalet 2017)</w:t>
            </w:r>
            <w:r w:rsidRPr="00303099">
              <w:rPr>
                <w:rFonts w:ascii="Times New Roman" w:hAnsi="Times New Roman" w:cs="Times New Roman"/>
                <w:b/>
                <w:bCs/>
                <w:color w:val="auto"/>
                <w:sz w:val="22"/>
                <w:szCs w:val="22"/>
              </w:rPr>
              <w:t xml:space="preserve">. </w:t>
            </w:r>
          </w:p>
          <w:p w:rsidR="00C61EE5" w:rsidRPr="00303099" w:rsidRDefault="00C61EE5" w:rsidP="003402DD">
            <w:pPr>
              <w:pStyle w:val="ANormal"/>
              <w:rPr>
                <w:szCs w:val="22"/>
              </w:rPr>
            </w:pPr>
          </w:p>
        </w:tc>
      </w:tr>
      <w:tr w:rsidR="008E2541" w:rsidRPr="00866391" w:rsidTr="00DF4B6F">
        <w:tc>
          <w:tcPr>
            <w:tcW w:w="2410" w:type="dxa"/>
            <w:shd w:val="clear" w:color="auto" w:fill="auto"/>
          </w:tcPr>
          <w:p w:rsidR="008E2541" w:rsidRPr="00201DEC" w:rsidRDefault="008E2541" w:rsidP="00E505BD">
            <w:pPr>
              <w:pStyle w:val="Default"/>
              <w:rPr>
                <w:rFonts w:ascii="Times New Roman" w:hAnsi="Times New Roman" w:cs="Times New Roman"/>
                <w:b/>
                <w:bCs/>
                <w:color w:val="auto"/>
                <w:sz w:val="22"/>
                <w:szCs w:val="22"/>
              </w:rPr>
            </w:pPr>
          </w:p>
        </w:tc>
        <w:tc>
          <w:tcPr>
            <w:tcW w:w="4394" w:type="dxa"/>
            <w:shd w:val="clear" w:color="auto" w:fill="auto"/>
          </w:tcPr>
          <w:p w:rsidR="008E2541" w:rsidRPr="00303099" w:rsidRDefault="008E2541" w:rsidP="00E505BD">
            <w:pPr>
              <w:pStyle w:val="Default"/>
              <w:rPr>
                <w:rFonts w:ascii="Times New Roman" w:hAnsi="Times New Roman" w:cs="Times New Roman"/>
                <w:b/>
                <w:bCs/>
                <w:color w:val="auto"/>
                <w:sz w:val="22"/>
                <w:szCs w:val="22"/>
              </w:rPr>
            </w:pPr>
          </w:p>
        </w:tc>
      </w:tr>
      <w:tr w:rsidR="008E2541" w:rsidRPr="00866391" w:rsidTr="00DF4B6F">
        <w:tc>
          <w:tcPr>
            <w:tcW w:w="2410" w:type="dxa"/>
            <w:shd w:val="clear" w:color="auto" w:fill="auto"/>
          </w:tcPr>
          <w:p w:rsidR="008E2541" w:rsidRPr="00201DEC" w:rsidRDefault="008E2541" w:rsidP="00E505BD">
            <w:pPr>
              <w:pStyle w:val="Default"/>
              <w:rPr>
                <w:rFonts w:ascii="Times New Roman" w:hAnsi="Times New Roman" w:cs="Times New Roman"/>
                <w:color w:val="auto"/>
                <w:sz w:val="22"/>
                <w:szCs w:val="22"/>
              </w:rPr>
            </w:pPr>
            <w:r w:rsidRPr="00201DEC">
              <w:rPr>
                <w:rFonts w:ascii="Times New Roman" w:hAnsi="Times New Roman" w:cs="Times New Roman"/>
                <w:b/>
                <w:bCs/>
                <w:color w:val="auto"/>
                <w:sz w:val="22"/>
                <w:szCs w:val="22"/>
              </w:rPr>
              <w:t xml:space="preserve">Handlingsplan för den cirkulära ekonomin </w:t>
            </w:r>
          </w:p>
          <w:p w:rsidR="008E2541" w:rsidRPr="00201DEC" w:rsidRDefault="008E2541" w:rsidP="00E505BD">
            <w:pPr>
              <w:pStyle w:val="ANormal"/>
              <w:rPr>
                <w:szCs w:val="22"/>
              </w:rPr>
            </w:pPr>
            <w:r w:rsidRPr="00201DEC">
              <w:rPr>
                <w:szCs w:val="22"/>
              </w:rPr>
              <w:t>(nytt initiativ)</w:t>
            </w:r>
          </w:p>
          <w:p w:rsidR="008E2541" w:rsidRPr="00201DEC" w:rsidRDefault="008E2541" w:rsidP="00E505BD">
            <w:pPr>
              <w:pStyle w:val="ANormal"/>
              <w:rPr>
                <w:szCs w:val="22"/>
                <w:lang w:val="sv-FI"/>
              </w:rPr>
            </w:pPr>
          </w:p>
        </w:tc>
        <w:tc>
          <w:tcPr>
            <w:tcW w:w="4394" w:type="dxa"/>
            <w:shd w:val="clear" w:color="auto" w:fill="auto"/>
          </w:tcPr>
          <w:p w:rsidR="008E2541" w:rsidRPr="00303099" w:rsidRDefault="008E2541" w:rsidP="00E505BD">
            <w:pPr>
              <w:pStyle w:val="Default"/>
              <w:rPr>
                <w:rFonts w:ascii="Times New Roman" w:hAnsi="Times New Roman" w:cs="Times New Roman"/>
                <w:color w:val="auto"/>
                <w:sz w:val="22"/>
                <w:szCs w:val="22"/>
              </w:rPr>
            </w:pPr>
            <w:r w:rsidRPr="00303099">
              <w:rPr>
                <w:rFonts w:ascii="Times New Roman" w:hAnsi="Times New Roman" w:cs="Times New Roman"/>
                <w:b/>
                <w:bCs/>
                <w:color w:val="auto"/>
                <w:sz w:val="22"/>
                <w:szCs w:val="22"/>
              </w:rPr>
              <w:t>Omfattar en strategi för användning, åte</w:t>
            </w:r>
            <w:r w:rsidRPr="00303099">
              <w:rPr>
                <w:rFonts w:ascii="Times New Roman" w:hAnsi="Times New Roman" w:cs="Times New Roman"/>
                <w:b/>
                <w:bCs/>
                <w:color w:val="auto"/>
                <w:sz w:val="22"/>
                <w:szCs w:val="22"/>
              </w:rPr>
              <w:t>r</w:t>
            </w:r>
            <w:r w:rsidRPr="00303099">
              <w:rPr>
                <w:rFonts w:ascii="Times New Roman" w:hAnsi="Times New Roman" w:cs="Times New Roman"/>
                <w:b/>
                <w:bCs/>
                <w:color w:val="auto"/>
                <w:sz w:val="22"/>
                <w:szCs w:val="22"/>
              </w:rPr>
              <w:t xml:space="preserve">användning och återvinning av plast </w:t>
            </w:r>
            <w:r w:rsidRPr="00303099">
              <w:rPr>
                <w:rFonts w:ascii="Times New Roman" w:hAnsi="Times New Roman" w:cs="Times New Roman"/>
                <w:color w:val="auto"/>
                <w:sz w:val="22"/>
                <w:szCs w:val="22"/>
              </w:rPr>
              <w:t>(icke-lagstiftning, fjärde kvartalet 2017)</w:t>
            </w:r>
            <w:r w:rsidRPr="00303099">
              <w:rPr>
                <w:rFonts w:ascii="Times New Roman" w:hAnsi="Times New Roman" w:cs="Times New Roman"/>
                <w:b/>
                <w:bCs/>
                <w:color w:val="auto"/>
                <w:sz w:val="22"/>
                <w:szCs w:val="22"/>
              </w:rPr>
              <w:t>, åtgärder för vatten, ett förslag till förordning om m</w:t>
            </w:r>
            <w:r w:rsidRPr="00303099">
              <w:rPr>
                <w:rFonts w:ascii="Times New Roman" w:hAnsi="Times New Roman" w:cs="Times New Roman"/>
                <w:b/>
                <w:bCs/>
                <w:color w:val="auto"/>
                <w:sz w:val="22"/>
                <w:szCs w:val="22"/>
              </w:rPr>
              <w:t>i</w:t>
            </w:r>
            <w:r w:rsidRPr="00303099">
              <w:rPr>
                <w:rFonts w:ascii="Times New Roman" w:hAnsi="Times New Roman" w:cs="Times New Roman"/>
                <w:b/>
                <w:bCs/>
                <w:color w:val="auto"/>
                <w:sz w:val="22"/>
                <w:szCs w:val="22"/>
              </w:rPr>
              <w:t xml:space="preserve">nimikrav på återanvänt vatten </w:t>
            </w:r>
            <w:r w:rsidRPr="00303099">
              <w:rPr>
                <w:rFonts w:ascii="Times New Roman" w:hAnsi="Times New Roman" w:cs="Times New Roman"/>
                <w:color w:val="auto"/>
                <w:sz w:val="22"/>
                <w:szCs w:val="22"/>
              </w:rPr>
              <w:t>(inkl. kons</w:t>
            </w:r>
            <w:r w:rsidRPr="00303099">
              <w:rPr>
                <w:rFonts w:ascii="Times New Roman" w:hAnsi="Times New Roman" w:cs="Times New Roman"/>
                <w:color w:val="auto"/>
                <w:sz w:val="22"/>
                <w:szCs w:val="22"/>
              </w:rPr>
              <w:t>e</w:t>
            </w:r>
            <w:r w:rsidRPr="00303099">
              <w:rPr>
                <w:rFonts w:ascii="Times New Roman" w:hAnsi="Times New Roman" w:cs="Times New Roman"/>
                <w:color w:val="auto"/>
                <w:sz w:val="22"/>
                <w:szCs w:val="22"/>
              </w:rPr>
              <w:t xml:space="preserve">kvensbedömning, artikel 192 i EUF-fördraget, andra kvartalet 2017), </w:t>
            </w:r>
            <w:r w:rsidRPr="00303099">
              <w:rPr>
                <w:rFonts w:ascii="Times New Roman" w:hAnsi="Times New Roman" w:cs="Times New Roman"/>
                <w:b/>
                <w:bCs/>
                <w:color w:val="auto"/>
                <w:sz w:val="22"/>
                <w:szCs w:val="22"/>
              </w:rPr>
              <w:t>en Refit</w:t>
            </w:r>
            <w:r w:rsidR="00AD1AED" w:rsidRPr="00303099">
              <w:rPr>
                <w:rFonts w:ascii="Times New Roman" w:hAnsi="Times New Roman" w:cs="Times New Roman"/>
                <w:b/>
                <w:bCs/>
                <w:color w:val="auto"/>
                <w:sz w:val="22"/>
                <w:szCs w:val="22"/>
              </w:rPr>
              <w:t>-</w:t>
            </w:r>
            <w:r w:rsidRPr="00303099">
              <w:rPr>
                <w:rFonts w:ascii="Times New Roman" w:hAnsi="Times New Roman" w:cs="Times New Roman"/>
                <w:b/>
                <w:bCs/>
                <w:color w:val="auto"/>
                <w:sz w:val="22"/>
                <w:szCs w:val="22"/>
              </w:rPr>
              <w:t xml:space="preserve">översyn av dricksvattendirektivet </w:t>
            </w:r>
            <w:r w:rsidRPr="00303099">
              <w:rPr>
                <w:rFonts w:ascii="Times New Roman" w:hAnsi="Times New Roman" w:cs="Times New Roman"/>
                <w:color w:val="auto"/>
                <w:sz w:val="22"/>
                <w:szCs w:val="22"/>
              </w:rPr>
              <w:t>(inkl. konsekvensb</w:t>
            </w:r>
            <w:r w:rsidRPr="00303099">
              <w:rPr>
                <w:rFonts w:ascii="Times New Roman" w:hAnsi="Times New Roman" w:cs="Times New Roman"/>
                <w:color w:val="auto"/>
                <w:sz w:val="22"/>
                <w:szCs w:val="22"/>
              </w:rPr>
              <w:t>e</w:t>
            </w:r>
            <w:r w:rsidRPr="00303099">
              <w:rPr>
                <w:rFonts w:ascii="Times New Roman" w:hAnsi="Times New Roman" w:cs="Times New Roman"/>
                <w:color w:val="auto"/>
                <w:sz w:val="22"/>
                <w:szCs w:val="22"/>
              </w:rPr>
              <w:t>dömning, artikel 192.1 i EUF-fördraget, fjärde kvartalet 2017)</w:t>
            </w:r>
            <w:r w:rsidRPr="00303099">
              <w:rPr>
                <w:rFonts w:ascii="Times New Roman" w:hAnsi="Times New Roman" w:cs="Times New Roman"/>
                <w:b/>
                <w:bCs/>
                <w:color w:val="auto"/>
                <w:sz w:val="22"/>
                <w:szCs w:val="22"/>
              </w:rPr>
              <w:t xml:space="preserve">, ett initiativ för att åtgärda rättsliga, tekniska och praktiska hinder på grund av samverkan mellan kemikalie-, produkt- och avfallslagstiftning </w:t>
            </w:r>
            <w:r w:rsidRPr="00303099">
              <w:rPr>
                <w:rFonts w:ascii="Times New Roman" w:hAnsi="Times New Roman" w:cs="Times New Roman"/>
                <w:color w:val="auto"/>
                <w:sz w:val="22"/>
                <w:szCs w:val="22"/>
              </w:rPr>
              <w:t xml:space="preserve">(icke-lagstiftning, fjärde kvartalet 2017) </w:t>
            </w:r>
            <w:r w:rsidRPr="00303099">
              <w:rPr>
                <w:rFonts w:ascii="Times New Roman" w:hAnsi="Times New Roman" w:cs="Times New Roman"/>
                <w:b/>
                <w:bCs/>
                <w:color w:val="auto"/>
                <w:sz w:val="22"/>
                <w:szCs w:val="22"/>
              </w:rPr>
              <w:t>samt fo</w:t>
            </w:r>
            <w:r w:rsidRPr="00303099">
              <w:rPr>
                <w:rFonts w:ascii="Times New Roman" w:hAnsi="Times New Roman" w:cs="Times New Roman"/>
                <w:b/>
                <w:bCs/>
                <w:color w:val="auto"/>
                <w:sz w:val="22"/>
                <w:szCs w:val="22"/>
              </w:rPr>
              <w:t>r</w:t>
            </w:r>
            <w:r w:rsidRPr="00303099">
              <w:rPr>
                <w:rFonts w:ascii="Times New Roman" w:hAnsi="Times New Roman" w:cs="Times New Roman"/>
                <w:b/>
                <w:bCs/>
                <w:color w:val="auto"/>
                <w:sz w:val="22"/>
                <w:szCs w:val="22"/>
              </w:rPr>
              <w:t>mer för övervakning av den cirkulära ek</w:t>
            </w:r>
            <w:r w:rsidRPr="00303099">
              <w:rPr>
                <w:rFonts w:ascii="Times New Roman" w:hAnsi="Times New Roman" w:cs="Times New Roman"/>
                <w:b/>
                <w:bCs/>
                <w:color w:val="auto"/>
                <w:sz w:val="22"/>
                <w:szCs w:val="22"/>
              </w:rPr>
              <w:t>o</w:t>
            </w:r>
            <w:r w:rsidRPr="00303099">
              <w:rPr>
                <w:rFonts w:ascii="Times New Roman" w:hAnsi="Times New Roman" w:cs="Times New Roman"/>
                <w:b/>
                <w:bCs/>
                <w:color w:val="auto"/>
                <w:sz w:val="22"/>
                <w:szCs w:val="22"/>
              </w:rPr>
              <w:t xml:space="preserve">nomin </w:t>
            </w:r>
            <w:r w:rsidRPr="00303099">
              <w:rPr>
                <w:rFonts w:ascii="Times New Roman" w:hAnsi="Times New Roman" w:cs="Times New Roman"/>
                <w:color w:val="auto"/>
                <w:sz w:val="22"/>
                <w:szCs w:val="22"/>
              </w:rPr>
              <w:t>(icke-lagstiftning, tredje kvartalet 2017)</w:t>
            </w:r>
            <w:r w:rsidRPr="00303099">
              <w:rPr>
                <w:rFonts w:ascii="Times New Roman" w:hAnsi="Times New Roman" w:cs="Times New Roman"/>
                <w:b/>
                <w:bCs/>
                <w:color w:val="auto"/>
                <w:sz w:val="22"/>
                <w:szCs w:val="22"/>
              </w:rPr>
              <w:t xml:space="preserve">. </w:t>
            </w:r>
          </w:p>
          <w:p w:rsidR="008E2541" w:rsidRPr="00303099" w:rsidRDefault="008E2541" w:rsidP="00E505BD">
            <w:pPr>
              <w:pStyle w:val="ANormal"/>
              <w:rPr>
                <w:szCs w:val="22"/>
                <w:lang w:val="sv-FI"/>
              </w:rPr>
            </w:pPr>
          </w:p>
        </w:tc>
      </w:tr>
      <w:tr w:rsidR="00203BFA" w:rsidRPr="00866391" w:rsidTr="00DF4B6F">
        <w:tc>
          <w:tcPr>
            <w:tcW w:w="2410" w:type="dxa"/>
            <w:shd w:val="clear" w:color="auto" w:fill="auto"/>
          </w:tcPr>
          <w:p w:rsidR="00203BFA" w:rsidRPr="00201DEC" w:rsidRDefault="00203BFA" w:rsidP="00925AA9">
            <w:pPr>
              <w:pStyle w:val="Default"/>
              <w:rPr>
                <w:rFonts w:ascii="Times New Roman" w:hAnsi="Times New Roman" w:cs="Times New Roman"/>
                <w:b/>
                <w:bCs/>
                <w:color w:val="auto"/>
                <w:sz w:val="22"/>
                <w:szCs w:val="22"/>
              </w:rPr>
            </w:pPr>
          </w:p>
        </w:tc>
        <w:tc>
          <w:tcPr>
            <w:tcW w:w="4394" w:type="dxa"/>
            <w:shd w:val="clear" w:color="auto" w:fill="auto"/>
          </w:tcPr>
          <w:p w:rsidR="00203BFA" w:rsidRPr="00303099" w:rsidRDefault="00203BFA" w:rsidP="00235518">
            <w:pPr>
              <w:pStyle w:val="Default"/>
              <w:rPr>
                <w:rFonts w:ascii="Times New Roman" w:hAnsi="Times New Roman" w:cs="Times New Roman"/>
                <w:b/>
                <w:bCs/>
                <w:color w:val="auto"/>
                <w:sz w:val="22"/>
                <w:szCs w:val="22"/>
              </w:rPr>
            </w:pPr>
          </w:p>
        </w:tc>
      </w:tr>
      <w:tr w:rsidR="00925AA9" w:rsidRPr="00866391" w:rsidTr="00DF4B6F">
        <w:tc>
          <w:tcPr>
            <w:tcW w:w="2410" w:type="dxa"/>
            <w:shd w:val="clear" w:color="auto" w:fill="auto"/>
          </w:tcPr>
          <w:p w:rsidR="00925AA9" w:rsidRPr="00201DEC" w:rsidRDefault="00925AA9" w:rsidP="00925AA9">
            <w:pPr>
              <w:pStyle w:val="Default"/>
              <w:rPr>
                <w:rFonts w:ascii="Times New Roman" w:hAnsi="Times New Roman" w:cs="Times New Roman"/>
                <w:color w:val="auto"/>
                <w:sz w:val="22"/>
                <w:szCs w:val="22"/>
              </w:rPr>
            </w:pPr>
            <w:r w:rsidRPr="00201DEC">
              <w:rPr>
                <w:rFonts w:ascii="Times New Roman" w:hAnsi="Times New Roman" w:cs="Times New Roman"/>
                <w:b/>
                <w:bCs/>
                <w:color w:val="auto"/>
                <w:sz w:val="22"/>
                <w:szCs w:val="22"/>
              </w:rPr>
              <w:t>Avfall från elektrisk och elektronisk utrus</w:t>
            </w:r>
            <w:r w:rsidRPr="00201DEC">
              <w:rPr>
                <w:rFonts w:ascii="Times New Roman" w:hAnsi="Times New Roman" w:cs="Times New Roman"/>
                <w:b/>
                <w:bCs/>
                <w:color w:val="auto"/>
                <w:sz w:val="22"/>
                <w:szCs w:val="22"/>
              </w:rPr>
              <w:t>t</w:t>
            </w:r>
            <w:r w:rsidRPr="00201DEC">
              <w:rPr>
                <w:rFonts w:ascii="Times New Roman" w:hAnsi="Times New Roman" w:cs="Times New Roman"/>
                <w:b/>
                <w:bCs/>
                <w:color w:val="auto"/>
                <w:sz w:val="22"/>
                <w:szCs w:val="22"/>
              </w:rPr>
              <w:t xml:space="preserve">ning </w:t>
            </w:r>
          </w:p>
          <w:p w:rsidR="00925AA9" w:rsidRPr="00201DEC" w:rsidRDefault="00AD1AED" w:rsidP="00E505CE">
            <w:pPr>
              <w:pStyle w:val="ANormal"/>
              <w:rPr>
                <w:szCs w:val="22"/>
              </w:rPr>
            </w:pPr>
            <w:r w:rsidRPr="00201DEC">
              <w:rPr>
                <w:szCs w:val="22"/>
              </w:rPr>
              <w:t>(R</w:t>
            </w:r>
            <w:r w:rsidR="00925AA9" w:rsidRPr="00201DEC">
              <w:rPr>
                <w:szCs w:val="22"/>
              </w:rPr>
              <w:t>efit</w:t>
            </w:r>
            <w:r w:rsidRPr="00201DEC">
              <w:rPr>
                <w:szCs w:val="22"/>
              </w:rPr>
              <w:t>-</w:t>
            </w:r>
            <w:r w:rsidR="00925AA9" w:rsidRPr="00201DEC">
              <w:rPr>
                <w:szCs w:val="22"/>
              </w:rPr>
              <w:t>initiativ)</w:t>
            </w:r>
          </w:p>
        </w:tc>
        <w:tc>
          <w:tcPr>
            <w:tcW w:w="4394" w:type="dxa"/>
            <w:shd w:val="clear" w:color="auto" w:fill="auto"/>
          </w:tcPr>
          <w:p w:rsidR="00235518" w:rsidRPr="00303099" w:rsidRDefault="00235518" w:rsidP="00235518">
            <w:pPr>
              <w:pStyle w:val="Default"/>
              <w:rPr>
                <w:rFonts w:ascii="Times New Roman" w:hAnsi="Times New Roman" w:cs="Times New Roman"/>
                <w:color w:val="auto"/>
                <w:sz w:val="22"/>
                <w:szCs w:val="22"/>
              </w:rPr>
            </w:pPr>
            <w:r w:rsidRPr="00303099">
              <w:rPr>
                <w:rFonts w:ascii="Times New Roman" w:hAnsi="Times New Roman" w:cs="Times New Roman"/>
                <w:b/>
                <w:bCs/>
                <w:color w:val="auto"/>
                <w:sz w:val="22"/>
                <w:szCs w:val="22"/>
              </w:rPr>
              <w:t xml:space="preserve">Genomförandeakt om standardformat och tidsfrister för rapportering </w:t>
            </w:r>
            <w:r w:rsidRPr="00303099">
              <w:rPr>
                <w:rFonts w:ascii="Times New Roman" w:hAnsi="Times New Roman" w:cs="Times New Roman"/>
                <w:color w:val="auto"/>
                <w:sz w:val="22"/>
                <w:szCs w:val="22"/>
              </w:rPr>
              <w:t xml:space="preserve">(direktiv 2012/19/EU, artikel 16.3; fjärde kvartalet 2017). </w:t>
            </w:r>
            <w:r w:rsidRPr="00303099">
              <w:rPr>
                <w:rFonts w:ascii="Times New Roman" w:hAnsi="Times New Roman" w:cs="Times New Roman"/>
                <w:b/>
                <w:bCs/>
                <w:color w:val="auto"/>
                <w:sz w:val="22"/>
                <w:szCs w:val="22"/>
              </w:rPr>
              <w:t>Uppföljning av Refit</w:t>
            </w:r>
            <w:r w:rsidR="00AD1AED" w:rsidRPr="00303099">
              <w:rPr>
                <w:rFonts w:ascii="Times New Roman" w:hAnsi="Times New Roman" w:cs="Times New Roman"/>
                <w:b/>
                <w:bCs/>
                <w:color w:val="auto"/>
                <w:sz w:val="22"/>
                <w:szCs w:val="22"/>
              </w:rPr>
              <w:t>-</w:t>
            </w:r>
            <w:r w:rsidRPr="00303099">
              <w:rPr>
                <w:rFonts w:ascii="Times New Roman" w:hAnsi="Times New Roman" w:cs="Times New Roman"/>
                <w:b/>
                <w:bCs/>
                <w:color w:val="auto"/>
                <w:sz w:val="22"/>
                <w:szCs w:val="22"/>
              </w:rPr>
              <w:t xml:space="preserve">plattformens yttrande. </w:t>
            </w:r>
          </w:p>
          <w:p w:rsidR="00925AA9" w:rsidRPr="00303099" w:rsidRDefault="00925AA9" w:rsidP="004406DE">
            <w:pPr>
              <w:pStyle w:val="ANormal"/>
              <w:rPr>
                <w:szCs w:val="22"/>
              </w:rPr>
            </w:pPr>
          </w:p>
        </w:tc>
      </w:tr>
      <w:tr w:rsidR="00AE65B6" w:rsidRPr="00866391" w:rsidTr="00DF4B6F">
        <w:tc>
          <w:tcPr>
            <w:tcW w:w="2410" w:type="dxa"/>
            <w:shd w:val="clear" w:color="auto" w:fill="auto"/>
          </w:tcPr>
          <w:p w:rsidR="00AE65B6" w:rsidRPr="00201DEC" w:rsidRDefault="00AE65B6" w:rsidP="006B0995">
            <w:pPr>
              <w:pStyle w:val="Default"/>
              <w:rPr>
                <w:rFonts w:ascii="Times New Roman" w:hAnsi="Times New Roman" w:cs="Times New Roman"/>
                <w:b/>
                <w:bCs/>
                <w:color w:val="auto"/>
                <w:sz w:val="22"/>
                <w:szCs w:val="22"/>
              </w:rPr>
            </w:pPr>
          </w:p>
        </w:tc>
        <w:tc>
          <w:tcPr>
            <w:tcW w:w="4394" w:type="dxa"/>
            <w:shd w:val="clear" w:color="auto" w:fill="auto"/>
          </w:tcPr>
          <w:p w:rsidR="00AE65B6" w:rsidRPr="00303099" w:rsidRDefault="00AE65B6" w:rsidP="004406DE">
            <w:pPr>
              <w:pStyle w:val="ANormal"/>
              <w:rPr>
                <w:szCs w:val="22"/>
              </w:rPr>
            </w:pPr>
          </w:p>
        </w:tc>
      </w:tr>
      <w:tr w:rsidR="00AE65B6" w:rsidRPr="00866391" w:rsidTr="00DF4B6F">
        <w:tc>
          <w:tcPr>
            <w:tcW w:w="2410" w:type="dxa"/>
            <w:shd w:val="clear" w:color="auto" w:fill="auto"/>
          </w:tcPr>
          <w:p w:rsidR="00183604" w:rsidRPr="00201DEC" w:rsidRDefault="00183604" w:rsidP="00183604">
            <w:pPr>
              <w:pStyle w:val="Default"/>
              <w:rPr>
                <w:rFonts w:ascii="Times New Roman" w:hAnsi="Times New Roman" w:cs="Times New Roman"/>
                <w:b/>
                <w:color w:val="auto"/>
                <w:sz w:val="22"/>
                <w:szCs w:val="22"/>
              </w:rPr>
            </w:pPr>
            <w:r w:rsidRPr="00201DEC">
              <w:rPr>
                <w:rFonts w:ascii="Times New Roman" w:hAnsi="Times New Roman" w:cs="Times New Roman"/>
                <w:b/>
                <w:color w:val="auto"/>
                <w:sz w:val="22"/>
                <w:szCs w:val="22"/>
              </w:rPr>
              <w:t>Paketet för den cirk</w:t>
            </w:r>
            <w:r w:rsidRPr="00201DEC">
              <w:rPr>
                <w:rFonts w:ascii="Times New Roman" w:hAnsi="Times New Roman" w:cs="Times New Roman"/>
                <w:b/>
                <w:color w:val="auto"/>
                <w:sz w:val="22"/>
                <w:szCs w:val="22"/>
              </w:rPr>
              <w:t>u</w:t>
            </w:r>
            <w:r w:rsidRPr="00201DEC">
              <w:rPr>
                <w:rFonts w:ascii="Times New Roman" w:hAnsi="Times New Roman" w:cs="Times New Roman"/>
                <w:b/>
                <w:color w:val="auto"/>
                <w:sz w:val="22"/>
                <w:szCs w:val="22"/>
              </w:rPr>
              <w:t xml:space="preserve">lära ekonomin </w:t>
            </w:r>
          </w:p>
          <w:p w:rsidR="00AE65B6" w:rsidRPr="00201DEC" w:rsidRDefault="00183604" w:rsidP="00201DEC">
            <w:pPr>
              <w:pStyle w:val="Default"/>
              <w:rPr>
                <w:rFonts w:ascii="Times New Roman" w:hAnsi="Times New Roman" w:cs="Times New Roman"/>
                <w:bCs/>
                <w:color w:val="auto"/>
                <w:sz w:val="22"/>
                <w:szCs w:val="22"/>
              </w:rPr>
            </w:pPr>
            <w:r w:rsidRPr="00201DEC">
              <w:rPr>
                <w:rFonts w:ascii="Times New Roman" w:hAnsi="Times New Roman" w:cs="Times New Roman"/>
                <w:bCs/>
                <w:color w:val="auto"/>
                <w:sz w:val="22"/>
                <w:szCs w:val="22"/>
              </w:rPr>
              <w:t>(prioriterade förslag u</w:t>
            </w:r>
            <w:r w:rsidRPr="00201DEC">
              <w:rPr>
                <w:rFonts w:ascii="Times New Roman" w:hAnsi="Times New Roman" w:cs="Times New Roman"/>
                <w:bCs/>
                <w:color w:val="auto"/>
                <w:sz w:val="22"/>
                <w:szCs w:val="22"/>
              </w:rPr>
              <w:t>n</w:t>
            </w:r>
            <w:r w:rsidRPr="00201DEC">
              <w:rPr>
                <w:rFonts w:ascii="Times New Roman" w:hAnsi="Times New Roman" w:cs="Times New Roman"/>
                <w:bCs/>
                <w:color w:val="auto"/>
                <w:sz w:val="22"/>
                <w:szCs w:val="22"/>
              </w:rPr>
              <w:t>der behandling</w:t>
            </w:r>
            <w:r w:rsidR="00201DEC" w:rsidRPr="00201DEC">
              <w:rPr>
                <w:rFonts w:ascii="Times New Roman" w:hAnsi="Times New Roman" w:cs="Times New Roman"/>
                <w:bCs/>
                <w:color w:val="auto"/>
                <w:sz w:val="22"/>
                <w:szCs w:val="22"/>
              </w:rPr>
              <w:t>)</w:t>
            </w:r>
          </w:p>
        </w:tc>
        <w:tc>
          <w:tcPr>
            <w:tcW w:w="4394" w:type="dxa"/>
            <w:shd w:val="clear" w:color="auto" w:fill="auto"/>
          </w:tcPr>
          <w:p w:rsidR="00704F4F" w:rsidRPr="00303099" w:rsidRDefault="00303099" w:rsidP="00303099">
            <w:r w:rsidRPr="00303099">
              <w:t xml:space="preserve">- </w:t>
            </w:r>
            <w:r w:rsidR="00704F4F" w:rsidRPr="00303099">
              <w:t>Förslag till E</w:t>
            </w:r>
            <w:r w:rsidRPr="00303099">
              <w:t>uropaparlamentets och rådets d</w:t>
            </w:r>
            <w:r w:rsidRPr="00303099">
              <w:t>i</w:t>
            </w:r>
            <w:r w:rsidRPr="00303099">
              <w:t xml:space="preserve">rektiv om ändring </w:t>
            </w:r>
            <w:r w:rsidR="00704F4F" w:rsidRPr="00303099">
              <w:t xml:space="preserve">av direktiven 2000/53/EG om uttjänta fordon, 2006/66/EG om batterier och ackumulatorer och förbrukade batterier och ackumulatorer och 2012/19/EU om avfall som utgörs av eller innehåller elektriska och elektroniska produkter </w:t>
            </w:r>
          </w:p>
          <w:p w:rsidR="00704F4F" w:rsidRPr="00303099" w:rsidRDefault="00303099" w:rsidP="00303099">
            <w:r w:rsidRPr="00303099">
              <w:t xml:space="preserve">- </w:t>
            </w:r>
            <w:r w:rsidR="00704F4F" w:rsidRPr="00303099">
              <w:t>Förslag till E</w:t>
            </w:r>
            <w:r w:rsidRPr="00303099">
              <w:t>uropaparlamentets och rådets d</w:t>
            </w:r>
            <w:r w:rsidRPr="00303099">
              <w:t>i</w:t>
            </w:r>
            <w:r w:rsidRPr="00303099">
              <w:t xml:space="preserve">rektiv om ändring </w:t>
            </w:r>
            <w:r w:rsidR="00704F4F" w:rsidRPr="00303099">
              <w:t xml:space="preserve">av direktiv 1999/31/EG om deponering av avfall </w:t>
            </w:r>
          </w:p>
          <w:p w:rsidR="00704F4F" w:rsidRPr="00303099" w:rsidRDefault="00303099" w:rsidP="00303099">
            <w:r w:rsidRPr="00303099">
              <w:t xml:space="preserve">- </w:t>
            </w:r>
            <w:r w:rsidR="00704F4F" w:rsidRPr="00303099">
              <w:t>Förslag till E</w:t>
            </w:r>
            <w:r w:rsidRPr="00303099">
              <w:t>uropaparlamentets och rådets d</w:t>
            </w:r>
            <w:r w:rsidRPr="00303099">
              <w:t>i</w:t>
            </w:r>
            <w:r w:rsidRPr="00303099">
              <w:t xml:space="preserve">rektiv om ändring </w:t>
            </w:r>
            <w:r w:rsidR="00704F4F" w:rsidRPr="00303099">
              <w:t xml:space="preserve">av direktiv 2008/98/EG om avfall </w:t>
            </w:r>
          </w:p>
          <w:p w:rsidR="005C6177" w:rsidRPr="00303099" w:rsidRDefault="00303099" w:rsidP="00303099">
            <w:r w:rsidRPr="00303099">
              <w:t xml:space="preserve">- </w:t>
            </w:r>
            <w:r w:rsidR="005C6177" w:rsidRPr="00303099">
              <w:t>Förslag till E</w:t>
            </w:r>
            <w:r w:rsidRPr="00303099">
              <w:t>uropaparlamentets och rådets d</w:t>
            </w:r>
            <w:r w:rsidRPr="00303099">
              <w:t>i</w:t>
            </w:r>
            <w:r w:rsidRPr="00303099">
              <w:t xml:space="preserve">rektiv om ändring </w:t>
            </w:r>
            <w:r w:rsidR="005C6177" w:rsidRPr="00303099">
              <w:t xml:space="preserve">av direktiv 94/62/EG om förpackningar och förpackningsavfall </w:t>
            </w:r>
          </w:p>
          <w:p w:rsidR="00AE65B6" w:rsidRPr="00303099" w:rsidRDefault="00AE65B6" w:rsidP="00704F4F">
            <w:pPr>
              <w:pStyle w:val="ANormal"/>
              <w:ind w:left="720"/>
              <w:rPr>
                <w:szCs w:val="22"/>
              </w:rPr>
            </w:pPr>
          </w:p>
        </w:tc>
      </w:tr>
      <w:tr w:rsidR="00AE65B6" w:rsidRPr="00866391" w:rsidTr="00DF4B6F">
        <w:tc>
          <w:tcPr>
            <w:tcW w:w="2410" w:type="dxa"/>
            <w:shd w:val="clear" w:color="auto" w:fill="auto"/>
          </w:tcPr>
          <w:p w:rsidR="00AE65B6" w:rsidRPr="00201DEC" w:rsidRDefault="00AE65B6" w:rsidP="006B0995">
            <w:pPr>
              <w:pStyle w:val="Default"/>
              <w:rPr>
                <w:rFonts w:ascii="Times New Roman" w:hAnsi="Times New Roman" w:cs="Times New Roman"/>
                <w:b/>
                <w:bCs/>
                <w:color w:val="auto"/>
                <w:sz w:val="22"/>
                <w:szCs w:val="22"/>
              </w:rPr>
            </w:pPr>
          </w:p>
        </w:tc>
        <w:tc>
          <w:tcPr>
            <w:tcW w:w="4394" w:type="dxa"/>
            <w:shd w:val="clear" w:color="auto" w:fill="auto"/>
          </w:tcPr>
          <w:p w:rsidR="00AE65B6" w:rsidRPr="00303099" w:rsidRDefault="00AE65B6" w:rsidP="004406DE">
            <w:pPr>
              <w:pStyle w:val="ANormal"/>
              <w:rPr>
                <w:szCs w:val="22"/>
              </w:rPr>
            </w:pPr>
          </w:p>
        </w:tc>
      </w:tr>
      <w:tr w:rsidR="00682599" w:rsidRPr="00866391" w:rsidTr="00E505BD">
        <w:tc>
          <w:tcPr>
            <w:tcW w:w="6804" w:type="dxa"/>
            <w:gridSpan w:val="2"/>
            <w:shd w:val="clear" w:color="auto" w:fill="auto"/>
          </w:tcPr>
          <w:p w:rsidR="00682599" w:rsidRPr="00303099" w:rsidRDefault="00682599" w:rsidP="006B0995">
            <w:pPr>
              <w:pStyle w:val="Default"/>
              <w:rPr>
                <w:rFonts w:ascii="Times New Roman" w:hAnsi="Times New Roman" w:cs="Times New Roman"/>
                <w:color w:val="auto"/>
                <w:sz w:val="22"/>
                <w:szCs w:val="22"/>
              </w:rPr>
            </w:pPr>
            <w:r w:rsidRPr="00303099">
              <w:rPr>
                <w:rFonts w:ascii="Times New Roman" w:hAnsi="Times New Roman" w:cs="Times New Roman"/>
                <w:b/>
                <w:bCs/>
                <w:color w:val="auto"/>
                <w:sz w:val="22"/>
                <w:szCs w:val="22"/>
              </w:rPr>
              <w:t>En fördjupad och mer rättvis inre marknad med en stärkt industr</w:t>
            </w:r>
            <w:r w:rsidRPr="00303099">
              <w:rPr>
                <w:rFonts w:ascii="Times New Roman" w:hAnsi="Times New Roman" w:cs="Times New Roman"/>
                <w:b/>
                <w:bCs/>
                <w:color w:val="auto"/>
                <w:sz w:val="22"/>
                <w:szCs w:val="22"/>
              </w:rPr>
              <w:t>i</w:t>
            </w:r>
            <w:r w:rsidRPr="00303099">
              <w:rPr>
                <w:rFonts w:ascii="Times New Roman" w:hAnsi="Times New Roman" w:cs="Times New Roman"/>
                <w:b/>
                <w:bCs/>
                <w:color w:val="auto"/>
                <w:sz w:val="22"/>
                <w:szCs w:val="22"/>
              </w:rPr>
              <w:t xml:space="preserve">bas </w:t>
            </w:r>
          </w:p>
          <w:p w:rsidR="00682599" w:rsidRPr="00303099" w:rsidRDefault="00682599" w:rsidP="004406DE">
            <w:pPr>
              <w:pStyle w:val="ANormal"/>
              <w:rPr>
                <w:szCs w:val="22"/>
              </w:rPr>
            </w:pPr>
          </w:p>
        </w:tc>
      </w:tr>
      <w:tr w:rsidR="006B0995" w:rsidRPr="00866391" w:rsidTr="00DF4B6F">
        <w:tc>
          <w:tcPr>
            <w:tcW w:w="2410" w:type="dxa"/>
            <w:shd w:val="clear" w:color="auto" w:fill="auto"/>
          </w:tcPr>
          <w:p w:rsidR="006B0995" w:rsidRPr="00201DEC" w:rsidRDefault="006B0995" w:rsidP="006B0995">
            <w:pPr>
              <w:pStyle w:val="Default"/>
              <w:rPr>
                <w:rFonts w:ascii="Times New Roman" w:hAnsi="Times New Roman" w:cs="Times New Roman"/>
                <w:color w:val="auto"/>
                <w:sz w:val="22"/>
                <w:szCs w:val="22"/>
              </w:rPr>
            </w:pPr>
            <w:r w:rsidRPr="00201DEC">
              <w:rPr>
                <w:rFonts w:ascii="Times New Roman" w:hAnsi="Times New Roman" w:cs="Times New Roman"/>
                <w:b/>
                <w:bCs/>
                <w:color w:val="auto"/>
                <w:sz w:val="22"/>
                <w:szCs w:val="22"/>
              </w:rPr>
              <w:t xml:space="preserve">Förordningen om gruppundantag 2015 </w:t>
            </w:r>
          </w:p>
          <w:p w:rsidR="006B0995" w:rsidRPr="00201DEC" w:rsidRDefault="00DB0FE0" w:rsidP="00201DEC">
            <w:pPr>
              <w:pStyle w:val="ANormal"/>
              <w:rPr>
                <w:szCs w:val="22"/>
              </w:rPr>
            </w:pPr>
            <w:r w:rsidRPr="00201DEC">
              <w:rPr>
                <w:szCs w:val="22"/>
              </w:rPr>
              <w:t>(</w:t>
            </w:r>
            <w:r w:rsidR="00AD1AED" w:rsidRPr="00201DEC">
              <w:rPr>
                <w:szCs w:val="22"/>
              </w:rPr>
              <w:t>R</w:t>
            </w:r>
            <w:r w:rsidRPr="00201DEC">
              <w:rPr>
                <w:szCs w:val="22"/>
              </w:rPr>
              <w:t>efit</w:t>
            </w:r>
            <w:r w:rsidR="00AD1AED" w:rsidRPr="00201DEC">
              <w:rPr>
                <w:szCs w:val="22"/>
              </w:rPr>
              <w:t>-</w:t>
            </w:r>
            <w:r w:rsidRPr="00201DEC">
              <w:rPr>
                <w:szCs w:val="22"/>
              </w:rPr>
              <w:t>initiativ)</w:t>
            </w:r>
          </w:p>
        </w:tc>
        <w:tc>
          <w:tcPr>
            <w:tcW w:w="4394" w:type="dxa"/>
            <w:shd w:val="clear" w:color="auto" w:fill="auto"/>
          </w:tcPr>
          <w:p w:rsidR="006B0995" w:rsidRPr="00303099" w:rsidRDefault="006B0995" w:rsidP="006B0995">
            <w:pPr>
              <w:pStyle w:val="Default"/>
              <w:rPr>
                <w:rFonts w:ascii="Times New Roman" w:hAnsi="Times New Roman" w:cs="Times New Roman"/>
                <w:color w:val="auto"/>
                <w:sz w:val="22"/>
                <w:szCs w:val="22"/>
              </w:rPr>
            </w:pPr>
            <w:r w:rsidRPr="00303099">
              <w:rPr>
                <w:rFonts w:ascii="Times New Roman" w:hAnsi="Times New Roman" w:cs="Times New Roman"/>
                <w:b/>
                <w:bCs/>
                <w:color w:val="auto"/>
                <w:sz w:val="22"/>
                <w:szCs w:val="22"/>
              </w:rPr>
              <w:t xml:space="preserve">Översyn av kommissionens förordning 651/2014 genom vilken vissa kategorier av stöd förklaras förenliga med den inre marknaden enligt artiklarna 107 och 108 i fördraget. Genom översynen görs undantag för hamnar och flygplatser </w:t>
            </w:r>
            <w:r w:rsidRPr="00303099">
              <w:rPr>
                <w:rFonts w:ascii="Times New Roman" w:hAnsi="Times New Roman" w:cs="Times New Roman"/>
                <w:color w:val="auto"/>
                <w:sz w:val="22"/>
                <w:szCs w:val="22"/>
              </w:rPr>
              <w:t xml:space="preserve">(rådets förordning </w:t>
            </w:r>
            <w:r w:rsidRPr="00303099">
              <w:rPr>
                <w:rFonts w:ascii="Times New Roman" w:hAnsi="Times New Roman" w:cs="Times New Roman"/>
                <w:color w:val="auto"/>
                <w:sz w:val="22"/>
                <w:szCs w:val="22"/>
              </w:rPr>
              <w:lastRenderedPageBreak/>
              <w:t>2015/1589, första kvartalet 2017)</w:t>
            </w:r>
            <w:r w:rsidRPr="00303099">
              <w:rPr>
                <w:rFonts w:ascii="Times New Roman" w:hAnsi="Times New Roman" w:cs="Times New Roman"/>
                <w:b/>
                <w:bCs/>
                <w:color w:val="auto"/>
                <w:sz w:val="22"/>
                <w:szCs w:val="22"/>
              </w:rPr>
              <w:t xml:space="preserve">. </w:t>
            </w:r>
          </w:p>
          <w:p w:rsidR="006B0995" w:rsidRPr="00303099" w:rsidRDefault="006B0995" w:rsidP="004406DE">
            <w:pPr>
              <w:pStyle w:val="ANormal"/>
              <w:rPr>
                <w:szCs w:val="22"/>
              </w:rPr>
            </w:pPr>
          </w:p>
        </w:tc>
      </w:tr>
      <w:tr w:rsidR="00C61EE5" w:rsidRPr="00866391" w:rsidTr="00DF4B6F">
        <w:tc>
          <w:tcPr>
            <w:tcW w:w="2410" w:type="dxa"/>
            <w:shd w:val="clear" w:color="auto" w:fill="auto"/>
          </w:tcPr>
          <w:p w:rsidR="00C61EE5" w:rsidRPr="00201DEC" w:rsidRDefault="00C61EE5" w:rsidP="004406DE">
            <w:pPr>
              <w:pStyle w:val="ANormal"/>
              <w:rPr>
                <w:b/>
                <w:szCs w:val="22"/>
              </w:rPr>
            </w:pPr>
          </w:p>
        </w:tc>
        <w:tc>
          <w:tcPr>
            <w:tcW w:w="4394" w:type="dxa"/>
            <w:shd w:val="clear" w:color="auto" w:fill="auto"/>
          </w:tcPr>
          <w:p w:rsidR="00C61EE5" w:rsidRPr="00303099" w:rsidRDefault="00C61EE5" w:rsidP="004406DE">
            <w:pPr>
              <w:pStyle w:val="ANormal"/>
              <w:rPr>
                <w:szCs w:val="22"/>
              </w:rPr>
            </w:pPr>
          </w:p>
        </w:tc>
      </w:tr>
      <w:tr w:rsidR="00682599" w:rsidRPr="00866391" w:rsidTr="00E505BD">
        <w:tc>
          <w:tcPr>
            <w:tcW w:w="6804" w:type="dxa"/>
            <w:gridSpan w:val="2"/>
            <w:shd w:val="clear" w:color="auto" w:fill="auto"/>
          </w:tcPr>
          <w:p w:rsidR="00682599" w:rsidRPr="00303099" w:rsidRDefault="00682599" w:rsidP="004406DE">
            <w:pPr>
              <w:pStyle w:val="ANormal"/>
              <w:rPr>
                <w:szCs w:val="22"/>
              </w:rPr>
            </w:pPr>
            <w:r w:rsidRPr="00303099">
              <w:rPr>
                <w:b/>
                <w:szCs w:val="22"/>
              </w:rPr>
              <w:t>En sammankopplad digital inre marknad</w:t>
            </w:r>
          </w:p>
        </w:tc>
      </w:tr>
      <w:tr w:rsidR="00C61EE5" w:rsidRPr="00866391" w:rsidTr="00DF4B6F">
        <w:tc>
          <w:tcPr>
            <w:tcW w:w="2410" w:type="dxa"/>
            <w:shd w:val="clear" w:color="auto" w:fill="auto"/>
          </w:tcPr>
          <w:p w:rsidR="000C7E31" w:rsidRPr="00201DEC" w:rsidRDefault="000C7E31" w:rsidP="000C7E31">
            <w:pPr>
              <w:pStyle w:val="Default"/>
              <w:rPr>
                <w:rFonts w:ascii="Times New Roman" w:hAnsi="Times New Roman" w:cs="Times New Roman"/>
                <w:color w:val="auto"/>
                <w:sz w:val="22"/>
                <w:szCs w:val="22"/>
              </w:rPr>
            </w:pPr>
            <w:r w:rsidRPr="00201DEC">
              <w:rPr>
                <w:rFonts w:ascii="Times New Roman" w:hAnsi="Times New Roman" w:cs="Times New Roman"/>
                <w:b/>
                <w:bCs/>
                <w:color w:val="auto"/>
                <w:sz w:val="22"/>
                <w:szCs w:val="22"/>
              </w:rPr>
              <w:t>Strategin för den dig</w:t>
            </w:r>
            <w:r w:rsidRPr="00201DEC">
              <w:rPr>
                <w:rFonts w:ascii="Times New Roman" w:hAnsi="Times New Roman" w:cs="Times New Roman"/>
                <w:b/>
                <w:bCs/>
                <w:color w:val="auto"/>
                <w:sz w:val="22"/>
                <w:szCs w:val="22"/>
              </w:rPr>
              <w:t>i</w:t>
            </w:r>
            <w:r w:rsidRPr="00201DEC">
              <w:rPr>
                <w:rFonts w:ascii="Times New Roman" w:hAnsi="Times New Roman" w:cs="Times New Roman"/>
                <w:b/>
                <w:bCs/>
                <w:color w:val="auto"/>
                <w:sz w:val="22"/>
                <w:szCs w:val="22"/>
              </w:rPr>
              <w:t xml:space="preserve">tala inre marknaden </w:t>
            </w:r>
          </w:p>
          <w:p w:rsidR="00F2264C" w:rsidRPr="00201DEC" w:rsidRDefault="00F2264C" w:rsidP="00F2264C">
            <w:pPr>
              <w:pStyle w:val="ANormal"/>
              <w:rPr>
                <w:szCs w:val="22"/>
              </w:rPr>
            </w:pPr>
            <w:r w:rsidRPr="00201DEC">
              <w:rPr>
                <w:szCs w:val="22"/>
              </w:rPr>
              <w:t>(nytt initiativ)</w:t>
            </w:r>
          </w:p>
          <w:p w:rsidR="00C61EE5" w:rsidRPr="00201DEC" w:rsidRDefault="00C61EE5" w:rsidP="00C61EE5">
            <w:pPr>
              <w:pStyle w:val="ANormal"/>
              <w:rPr>
                <w:szCs w:val="22"/>
              </w:rPr>
            </w:pPr>
          </w:p>
        </w:tc>
        <w:tc>
          <w:tcPr>
            <w:tcW w:w="4394" w:type="dxa"/>
            <w:shd w:val="clear" w:color="auto" w:fill="auto"/>
          </w:tcPr>
          <w:p w:rsidR="000C7E31" w:rsidRPr="00303099" w:rsidRDefault="000C7E31" w:rsidP="000C7E31">
            <w:pPr>
              <w:pStyle w:val="Default"/>
              <w:rPr>
                <w:rFonts w:ascii="Times New Roman" w:hAnsi="Times New Roman" w:cs="Times New Roman"/>
                <w:color w:val="auto"/>
                <w:sz w:val="22"/>
                <w:szCs w:val="22"/>
              </w:rPr>
            </w:pPr>
            <w:r w:rsidRPr="00303099">
              <w:rPr>
                <w:rFonts w:ascii="Times New Roman" w:hAnsi="Times New Roman" w:cs="Times New Roman"/>
                <w:b/>
                <w:bCs/>
                <w:color w:val="auto"/>
                <w:sz w:val="22"/>
                <w:szCs w:val="22"/>
              </w:rPr>
              <w:t>Halvtidsöversyn av genomförandet av str</w:t>
            </w:r>
            <w:r w:rsidRPr="00303099">
              <w:rPr>
                <w:rFonts w:ascii="Times New Roman" w:hAnsi="Times New Roman" w:cs="Times New Roman"/>
                <w:b/>
                <w:bCs/>
                <w:color w:val="auto"/>
                <w:sz w:val="22"/>
                <w:szCs w:val="22"/>
              </w:rPr>
              <w:t>a</w:t>
            </w:r>
            <w:r w:rsidRPr="00303099">
              <w:rPr>
                <w:rFonts w:ascii="Times New Roman" w:hAnsi="Times New Roman" w:cs="Times New Roman"/>
                <w:b/>
                <w:bCs/>
                <w:color w:val="auto"/>
                <w:sz w:val="22"/>
                <w:szCs w:val="22"/>
              </w:rPr>
              <w:t xml:space="preserve">tegin för den digitala inre marknaden. </w:t>
            </w:r>
          </w:p>
          <w:p w:rsidR="00C61EE5" w:rsidRPr="00303099" w:rsidRDefault="00C61EE5" w:rsidP="00DF4B6F">
            <w:pPr>
              <w:pStyle w:val="ANormal"/>
              <w:rPr>
                <w:szCs w:val="22"/>
              </w:rPr>
            </w:pPr>
          </w:p>
        </w:tc>
      </w:tr>
      <w:tr w:rsidR="00B55FA2" w:rsidRPr="00866391" w:rsidTr="00DF4B6F">
        <w:tc>
          <w:tcPr>
            <w:tcW w:w="2410" w:type="dxa"/>
            <w:shd w:val="clear" w:color="auto" w:fill="auto"/>
          </w:tcPr>
          <w:p w:rsidR="00B55FA2" w:rsidRPr="00201DEC" w:rsidRDefault="00B55FA2" w:rsidP="004406DE">
            <w:pPr>
              <w:pStyle w:val="ANormal"/>
              <w:rPr>
                <w:b/>
                <w:szCs w:val="22"/>
              </w:rPr>
            </w:pPr>
          </w:p>
        </w:tc>
        <w:tc>
          <w:tcPr>
            <w:tcW w:w="4394" w:type="dxa"/>
            <w:shd w:val="clear" w:color="auto" w:fill="auto"/>
          </w:tcPr>
          <w:p w:rsidR="00B55FA2" w:rsidRPr="00303099" w:rsidRDefault="00B55FA2" w:rsidP="004406DE">
            <w:pPr>
              <w:pStyle w:val="ANormal"/>
              <w:rPr>
                <w:szCs w:val="22"/>
              </w:rPr>
            </w:pPr>
          </w:p>
        </w:tc>
      </w:tr>
      <w:tr w:rsidR="00B55FA2" w:rsidRPr="00866391" w:rsidTr="00DF4B6F">
        <w:tc>
          <w:tcPr>
            <w:tcW w:w="2410" w:type="dxa"/>
            <w:shd w:val="clear" w:color="auto" w:fill="auto"/>
          </w:tcPr>
          <w:p w:rsidR="00B55FA2" w:rsidRPr="00201DEC" w:rsidRDefault="00B55FA2" w:rsidP="00B55FA2">
            <w:pPr>
              <w:pStyle w:val="Default"/>
              <w:rPr>
                <w:rFonts w:ascii="Times New Roman" w:hAnsi="Times New Roman" w:cs="Times New Roman"/>
                <w:b/>
                <w:color w:val="auto"/>
                <w:sz w:val="22"/>
                <w:szCs w:val="22"/>
              </w:rPr>
            </w:pPr>
            <w:r w:rsidRPr="00201DEC">
              <w:rPr>
                <w:rFonts w:ascii="Times New Roman" w:hAnsi="Times New Roman" w:cs="Times New Roman"/>
                <w:b/>
                <w:color w:val="auto"/>
                <w:sz w:val="22"/>
                <w:szCs w:val="22"/>
              </w:rPr>
              <w:t>Gränsöverskridande portabilitet för inn</w:t>
            </w:r>
            <w:r w:rsidRPr="00201DEC">
              <w:rPr>
                <w:rFonts w:ascii="Times New Roman" w:hAnsi="Times New Roman" w:cs="Times New Roman"/>
                <w:b/>
                <w:color w:val="auto"/>
                <w:sz w:val="22"/>
                <w:szCs w:val="22"/>
              </w:rPr>
              <w:t>e</w:t>
            </w:r>
            <w:r w:rsidRPr="00201DEC">
              <w:rPr>
                <w:rFonts w:ascii="Times New Roman" w:hAnsi="Times New Roman" w:cs="Times New Roman"/>
                <w:b/>
                <w:color w:val="auto"/>
                <w:sz w:val="22"/>
                <w:szCs w:val="22"/>
              </w:rPr>
              <w:t>håll på den inre mar</w:t>
            </w:r>
            <w:r w:rsidRPr="00201DEC">
              <w:rPr>
                <w:rFonts w:ascii="Times New Roman" w:hAnsi="Times New Roman" w:cs="Times New Roman"/>
                <w:b/>
                <w:color w:val="auto"/>
                <w:sz w:val="22"/>
                <w:szCs w:val="22"/>
              </w:rPr>
              <w:t>k</w:t>
            </w:r>
            <w:r w:rsidRPr="00201DEC">
              <w:rPr>
                <w:rFonts w:ascii="Times New Roman" w:hAnsi="Times New Roman" w:cs="Times New Roman"/>
                <w:b/>
                <w:color w:val="auto"/>
                <w:sz w:val="22"/>
                <w:szCs w:val="22"/>
              </w:rPr>
              <w:t xml:space="preserve">naden </w:t>
            </w:r>
          </w:p>
          <w:p w:rsidR="00B55FA2" w:rsidRPr="00201DEC" w:rsidRDefault="00B55FA2" w:rsidP="00201DEC">
            <w:pPr>
              <w:pStyle w:val="ANormal"/>
              <w:rPr>
                <w:szCs w:val="22"/>
              </w:rPr>
            </w:pPr>
            <w:r w:rsidRPr="00201DEC">
              <w:rPr>
                <w:szCs w:val="22"/>
              </w:rPr>
              <w:t>(prioriterade förslag u</w:t>
            </w:r>
            <w:r w:rsidRPr="00201DEC">
              <w:rPr>
                <w:szCs w:val="22"/>
              </w:rPr>
              <w:t>n</w:t>
            </w:r>
            <w:r w:rsidRPr="00201DEC">
              <w:rPr>
                <w:szCs w:val="22"/>
              </w:rPr>
              <w:t>der behandling</w:t>
            </w:r>
            <w:r w:rsidR="00201DEC" w:rsidRPr="00201DEC">
              <w:rPr>
                <w:szCs w:val="22"/>
              </w:rPr>
              <w:t>)</w:t>
            </w:r>
          </w:p>
        </w:tc>
        <w:tc>
          <w:tcPr>
            <w:tcW w:w="4394" w:type="dxa"/>
            <w:shd w:val="clear" w:color="auto" w:fill="auto"/>
          </w:tcPr>
          <w:p w:rsidR="00B55FA2" w:rsidRPr="00303099" w:rsidRDefault="00B55FA2" w:rsidP="00B55FA2">
            <w:pPr>
              <w:pStyle w:val="Default"/>
              <w:rPr>
                <w:rFonts w:ascii="Times New Roman" w:hAnsi="Times New Roman" w:cs="Times New Roman"/>
                <w:color w:val="auto"/>
                <w:sz w:val="22"/>
                <w:szCs w:val="22"/>
              </w:rPr>
            </w:pPr>
            <w:r w:rsidRPr="00303099">
              <w:rPr>
                <w:rFonts w:ascii="Times New Roman" w:hAnsi="Times New Roman" w:cs="Times New Roman"/>
                <w:color w:val="auto"/>
                <w:sz w:val="22"/>
                <w:szCs w:val="22"/>
              </w:rPr>
              <w:t>Förslag till E</w:t>
            </w:r>
            <w:r w:rsidR="00201DEC" w:rsidRPr="00303099">
              <w:rPr>
                <w:rFonts w:ascii="Times New Roman" w:hAnsi="Times New Roman" w:cs="Times New Roman"/>
                <w:color w:val="auto"/>
                <w:sz w:val="22"/>
                <w:szCs w:val="22"/>
              </w:rPr>
              <w:t>uropaparlamentets och rådets fö</w:t>
            </w:r>
            <w:r w:rsidR="00201DEC" w:rsidRPr="00303099">
              <w:rPr>
                <w:rFonts w:ascii="Times New Roman" w:hAnsi="Times New Roman" w:cs="Times New Roman"/>
                <w:color w:val="auto"/>
                <w:sz w:val="22"/>
                <w:szCs w:val="22"/>
              </w:rPr>
              <w:t>r</w:t>
            </w:r>
            <w:r w:rsidR="00201DEC" w:rsidRPr="00303099">
              <w:rPr>
                <w:rFonts w:ascii="Times New Roman" w:hAnsi="Times New Roman" w:cs="Times New Roman"/>
                <w:color w:val="auto"/>
                <w:sz w:val="22"/>
                <w:szCs w:val="22"/>
              </w:rPr>
              <w:t>ordning om säkerställande av gränsöverskr</w:t>
            </w:r>
            <w:r w:rsidR="00201DEC" w:rsidRPr="00303099">
              <w:rPr>
                <w:rFonts w:ascii="Times New Roman" w:hAnsi="Times New Roman" w:cs="Times New Roman"/>
                <w:color w:val="auto"/>
                <w:sz w:val="22"/>
                <w:szCs w:val="22"/>
              </w:rPr>
              <w:t>i</w:t>
            </w:r>
            <w:r w:rsidR="00201DEC" w:rsidRPr="00303099">
              <w:rPr>
                <w:rFonts w:ascii="Times New Roman" w:hAnsi="Times New Roman" w:cs="Times New Roman"/>
                <w:color w:val="auto"/>
                <w:sz w:val="22"/>
                <w:szCs w:val="22"/>
              </w:rPr>
              <w:t xml:space="preserve">dande portabilitet för </w:t>
            </w:r>
            <w:r w:rsidRPr="00303099">
              <w:rPr>
                <w:rFonts w:ascii="Times New Roman" w:hAnsi="Times New Roman" w:cs="Times New Roman"/>
                <w:color w:val="auto"/>
                <w:sz w:val="22"/>
                <w:szCs w:val="22"/>
              </w:rPr>
              <w:t xml:space="preserve">innehållstjänster online på den inre marknaden </w:t>
            </w:r>
          </w:p>
          <w:p w:rsidR="00B55FA2" w:rsidRPr="00303099" w:rsidRDefault="00B55FA2" w:rsidP="004406DE">
            <w:pPr>
              <w:pStyle w:val="ANormal"/>
              <w:rPr>
                <w:szCs w:val="22"/>
              </w:rPr>
            </w:pPr>
          </w:p>
        </w:tc>
      </w:tr>
      <w:tr w:rsidR="003C540B" w:rsidRPr="00866391" w:rsidTr="00DF4B6F">
        <w:tc>
          <w:tcPr>
            <w:tcW w:w="2410" w:type="dxa"/>
            <w:shd w:val="clear" w:color="auto" w:fill="auto"/>
          </w:tcPr>
          <w:p w:rsidR="003C540B" w:rsidRPr="00201DEC" w:rsidRDefault="003C540B" w:rsidP="004406DE">
            <w:pPr>
              <w:pStyle w:val="ANormal"/>
              <w:rPr>
                <w:b/>
                <w:szCs w:val="22"/>
              </w:rPr>
            </w:pPr>
          </w:p>
        </w:tc>
        <w:tc>
          <w:tcPr>
            <w:tcW w:w="4394" w:type="dxa"/>
            <w:shd w:val="clear" w:color="auto" w:fill="auto"/>
          </w:tcPr>
          <w:p w:rsidR="003C540B" w:rsidRPr="00303099" w:rsidRDefault="003C540B" w:rsidP="004406DE">
            <w:pPr>
              <w:pStyle w:val="ANormal"/>
              <w:rPr>
                <w:szCs w:val="22"/>
              </w:rPr>
            </w:pPr>
          </w:p>
        </w:tc>
      </w:tr>
      <w:tr w:rsidR="003C540B" w:rsidRPr="00866391" w:rsidTr="00DF4B6F">
        <w:tc>
          <w:tcPr>
            <w:tcW w:w="2410" w:type="dxa"/>
            <w:shd w:val="clear" w:color="auto" w:fill="auto"/>
          </w:tcPr>
          <w:p w:rsidR="003C540B" w:rsidRPr="00201DEC" w:rsidRDefault="003C540B" w:rsidP="003C540B">
            <w:pPr>
              <w:pStyle w:val="Default"/>
              <w:rPr>
                <w:rFonts w:ascii="Times New Roman" w:hAnsi="Times New Roman" w:cs="Times New Roman"/>
                <w:b/>
                <w:color w:val="auto"/>
                <w:sz w:val="22"/>
                <w:szCs w:val="22"/>
              </w:rPr>
            </w:pPr>
            <w:r w:rsidRPr="00201DEC">
              <w:rPr>
                <w:rFonts w:ascii="Times New Roman" w:hAnsi="Times New Roman" w:cs="Times New Roman"/>
                <w:b/>
                <w:color w:val="auto"/>
                <w:sz w:val="22"/>
                <w:szCs w:val="22"/>
              </w:rPr>
              <w:t xml:space="preserve">Upphovsrättsreform </w:t>
            </w:r>
          </w:p>
          <w:p w:rsidR="003C540B" w:rsidRPr="00201DEC" w:rsidRDefault="00076F1D" w:rsidP="00201DEC">
            <w:pPr>
              <w:pStyle w:val="ANormal"/>
              <w:rPr>
                <w:b/>
                <w:szCs w:val="22"/>
              </w:rPr>
            </w:pPr>
            <w:r w:rsidRPr="00201DEC">
              <w:rPr>
                <w:szCs w:val="22"/>
              </w:rPr>
              <w:t>(prioriterade förslag u</w:t>
            </w:r>
            <w:r w:rsidRPr="00201DEC">
              <w:rPr>
                <w:szCs w:val="22"/>
              </w:rPr>
              <w:t>n</w:t>
            </w:r>
            <w:r w:rsidRPr="00201DEC">
              <w:rPr>
                <w:szCs w:val="22"/>
              </w:rPr>
              <w:t>der behandling)</w:t>
            </w:r>
          </w:p>
        </w:tc>
        <w:tc>
          <w:tcPr>
            <w:tcW w:w="4394" w:type="dxa"/>
            <w:shd w:val="clear" w:color="auto" w:fill="auto"/>
          </w:tcPr>
          <w:p w:rsidR="00201DEC" w:rsidRPr="00303099" w:rsidRDefault="00201DEC" w:rsidP="00201DEC">
            <w:r w:rsidRPr="00303099">
              <w:t>- Förslag till Europaparlamentets och rådets d</w:t>
            </w:r>
            <w:r w:rsidRPr="00303099">
              <w:t>i</w:t>
            </w:r>
            <w:r w:rsidRPr="00303099">
              <w:t xml:space="preserve">rektiv om upphovsrätt på den digitala inre marknaden </w:t>
            </w:r>
          </w:p>
          <w:p w:rsidR="00201DEC" w:rsidRPr="00303099" w:rsidRDefault="00201DEC" w:rsidP="00201DEC">
            <w:r w:rsidRPr="00303099">
              <w:t>- Förslag till Europaparlamentets och rådets förordning om fastställande av bestämmelser för utövandet av upphovsrätt och närstående rättigheter tillämpliga på vissa av programför</w:t>
            </w:r>
            <w:r w:rsidRPr="00303099">
              <w:t>e</w:t>
            </w:r>
            <w:r w:rsidRPr="00303099">
              <w:t xml:space="preserve">tagens onlinesändningar och vidaresändningar av tv- och radioprogram </w:t>
            </w:r>
          </w:p>
          <w:p w:rsidR="00201DEC" w:rsidRPr="00303099" w:rsidRDefault="00201DEC" w:rsidP="00201DEC">
            <w:r w:rsidRPr="00303099">
              <w:t>- Förslag till Europaparlamentets och rådets d</w:t>
            </w:r>
            <w:r w:rsidRPr="00303099">
              <w:t>i</w:t>
            </w:r>
            <w:r w:rsidRPr="00303099">
              <w:t>rektiv om viss tillåten användning av verk och andra alster som skyddas av upphovsrätt och närstående rättigheter till förmån för personer som är blinda, synsvaga eller har annat läsha</w:t>
            </w:r>
            <w:r w:rsidRPr="00303099">
              <w:t>n</w:t>
            </w:r>
            <w:r w:rsidRPr="00303099">
              <w:t>dikapp och om ändring av direktiv 2001/29/EG om harmonisering av vissa aspekter av up</w:t>
            </w:r>
            <w:r w:rsidRPr="00303099">
              <w:t>p</w:t>
            </w:r>
            <w:r w:rsidRPr="00303099">
              <w:t>hovsrätt och närstående rättigheter i informa</w:t>
            </w:r>
            <w:r w:rsidRPr="00303099">
              <w:t>t</w:t>
            </w:r>
            <w:r w:rsidRPr="00303099">
              <w:t xml:space="preserve">ionssamhället </w:t>
            </w:r>
          </w:p>
          <w:p w:rsidR="00201DEC" w:rsidRPr="00303099" w:rsidRDefault="00201DEC" w:rsidP="00201DEC">
            <w:r w:rsidRPr="00303099">
              <w:t>- Förslag till Europaparlamentets och rådets förordning om gränsöverskridande utbyte me</w:t>
            </w:r>
            <w:r w:rsidRPr="00303099">
              <w:t>l</w:t>
            </w:r>
            <w:r w:rsidRPr="00303099">
              <w:t>lan unionen och tredjeländer av exemplar i til</w:t>
            </w:r>
            <w:r w:rsidRPr="00303099">
              <w:t>l</w:t>
            </w:r>
            <w:r w:rsidRPr="00303099">
              <w:t>gängligt format av vissa verk och andra alster som skyddas av upphovsrätt och närstående rättigheter till förmån för personer som är blinda, synsvaga eller har annat läshandikapp</w:t>
            </w:r>
          </w:p>
          <w:p w:rsidR="003C540B" w:rsidRPr="00303099" w:rsidRDefault="003C540B" w:rsidP="00201DEC"/>
        </w:tc>
      </w:tr>
      <w:tr w:rsidR="00D87171" w:rsidRPr="00866391" w:rsidTr="00DF4B6F">
        <w:tc>
          <w:tcPr>
            <w:tcW w:w="2410" w:type="dxa"/>
            <w:shd w:val="clear" w:color="auto" w:fill="auto"/>
          </w:tcPr>
          <w:p w:rsidR="00D87171" w:rsidRPr="00201DEC" w:rsidRDefault="00D87171" w:rsidP="004406DE">
            <w:pPr>
              <w:pStyle w:val="ANormal"/>
              <w:rPr>
                <w:b/>
                <w:szCs w:val="22"/>
              </w:rPr>
            </w:pPr>
          </w:p>
        </w:tc>
        <w:tc>
          <w:tcPr>
            <w:tcW w:w="4394" w:type="dxa"/>
            <w:shd w:val="clear" w:color="auto" w:fill="auto"/>
          </w:tcPr>
          <w:p w:rsidR="00D87171" w:rsidRPr="00201DEC" w:rsidRDefault="00D87171" w:rsidP="004406DE">
            <w:pPr>
              <w:pStyle w:val="ANormal"/>
              <w:rPr>
                <w:szCs w:val="22"/>
              </w:rPr>
            </w:pPr>
          </w:p>
        </w:tc>
      </w:tr>
      <w:tr w:rsidR="00D87171" w:rsidRPr="00866391" w:rsidTr="00DF4B6F">
        <w:tc>
          <w:tcPr>
            <w:tcW w:w="2410" w:type="dxa"/>
            <w:shd w:val="clear" w:color="auto" w:fill="auto"/>
          </w:tcPr>
          <w:p w:rsidR="00D87171" w:rsidRPr="00201DEC" w:rsidRDefault="00D87171" w:rsidP="00D87171">
            <w:pPr>
              <w:pStyle w:val="Default"/>
              <w:rPr>
                <w:rFonts w:ascii="Times New Roman" w:hAnsi="Times New Roman" w:cs="Times New Roman"/>
                <w:b/>
                <w:color w:val="auto"/>
                <w:sz w:val="22"/>
                <w:szCs w:val="22"/>
              </w:rPr>
            </w:pPr>
            <w:r w:rsidRPr="00201DEC">
              <w:rPr>
                <w:rFonts w:ascii="Times New Roman" w:hAnsi="Times New Roman" w:cs="Times New Roman"/>
                <w:b/>
                <w:color w:val="auto"/>
                <w:sz w:val="22"/>
                <w:szCs w:val="22"/>
              </w:rPr>
              <w:t xml:space="preserve">Audiovisuella medier </w:t>
            </w:r>
          </w:p>
          <w:p w:rsidR="00D87171" w:rsidRPr="00201DEC" w:rsidRDefault="00D87171" w:rsidP="00201DEC">
            <w:pPr>
              <w:pStyle w:val="ANormal"/>
              <w:rPr>
                <w:b/>
                <w:szCs w:val="22"/>
              </w:rPr>
            </w:pPr>
            <w:r w:rsidRPr="00201DEC">
              <w:rPr>
                <w:szCs w:val="22"/>
              </w:rPr>
              <w:t>(prioriterade förslag u</w:t>
            </w:r>
            <w:r w:rsidRPr="00201DEC">
              <w:rPr>
                <w:szCs w:val="22"/>
              </w:rPr>
              <w:t>n</w:t>
            </w:r>
            <w:r w:rsidRPr="00201DEC">
              <w:rPr>
                <w:szCs w:val="22"/>
              </w:rPr>
              <w:t>der behandling)</w:t>
            </w:r>
          </w:p>
        </w:tc>
        <w:tc>
          <w:tcPr>
            <w:tcW w:w="4394" w:type="dxa"/>
            <w:shd w:val="clear" w:color="auto" w:fill="auto"/>
          </w:tcPr>
          <w:p w:rsidR="00D46C20" w:rsidRPr="00201DEC" w:rsidRDefault="00D46C20" w:rsidP="00D46C20">
            <w:pPr>
              <w:pStyle w:val="Default"/>
              <w:rPr>
                <w:rFonts w:ascii="Times New Roman" w:hAnsi="Times New Roman" w:cs="Times New Roman"/>
                <w:color w:val="auto"/>
                <w:sz w:val="22"/>
                <w:szCs w:val="22"/>
              </w:rPr>
            </w:pPr>
            <w:r w:rsidRPr="00201DEC">
              <w:rPr>
                <w:rFonts w:ascii="Times New Roman" w:hAnsi="Times New Roman" w:cs="Times New Roman"/>
                <w:color w:val="auto"/>
                <w:sz w:val="22"/>
                <w:szCs w:val="22"/>
              </w:rPr>
              <w:t>Förslag till E</w:t>
            </w:r>
            <w:r w:rsidR="00201DEC" w:rsidRPr="00201DEC">
              <w:rPr>
                <w:rFonts w:ascii="Times New Roman" w:hAnsi="Times New Roman" w:cs="Times New Roman"/>
                <w:color w:val="auto"/>
                <w:sz w:val="22"/>
                <w:szCs w:val="22"/>
              </w:rPr>
              <w:t>uropaparlamentets och rådets d</w:t>
            </w:r>
            <w:r w:rsidR="00201DEC" w:rsidRPr="00201DEC">
              <w:rPr>
                <w:rFonts w:ascii="Times New Roman" w:hAnsi="Times New Roman" w:cs="Times New Roman"/>
                <w:color w:val="auto"/>
                <w:sz w:val="22"/>
                <w:szCs w:val="22"/>
              </w:rPr>
              <w:t>i</w:t>
            </w:r>
            <w:r w:rsidR="00201DEC" w:rsidRPr="00201DEC">
              <w:rPr>
                <w:rFonts w:ascii="Times New Roman" w:hAnsi="Times New Roman" w:cs="Times New Roman"/>
                <w:color w:val="auto"/>
                <w:sz w:val="22"/>
                <w:szCs w:val="22"/>
              </w:rPr>
              <w:t xml:space="preserve">rektiv om ändring </w:t>
            </w:r>
            <w:r w:rsidRPr="00201DEC">
              <w:rPr>
                <w:rFonts w:ascii="Times New Roman" w:hAnsi="Times New Roman" w:cs="Times New Roman"/>
                <w:color w:val="auto"/>
                <w:sz w:val="22"/>
                <w:szCs w:val="22"/>
              </w:rPr>
              <w:t>av direktiv 2010/13/EU om samordning av vissa bestämmelser som fas</w:t>
            </w:r>
            <w:r w:rsidRPr="00201DEC">
              <w:rPr>
                <w:rFonts w:ascii="Times New Roman" w:hAnsi="Times New Roman" w:cs="Times New Roman"/>
                <w:color w:val="auto"/>
                <w:sz w:val="22"/>
                <w:szCs w:val="22"/>
              </w:rPr>
              <w:t>t</w:t>
            </w:r>
            <w:r w:rsidRPr="00201DEC">
              <w:rPr>
                <w:rFonts w:ascii="Times New Roman" w:hAnsi="Times New Roman" w:cs="Times New Roman"/>
                <w:color w:val="auto"/>
                <w:sz w:val="22"/>
                <w:szCs w:val="22"/>
              </w:rPr>
              <w:t>ställs i medlemsstaternas lagar och andra fö</w:t>
            </w:r>
            <w:r w:rsidRPr="00201DEC">
              <w:rPr>
                <w:rFonts w:ascii="Times New Roman" w:hAnsi="Times New Roman" w:cs="Times New Roman"/>
                <w:color w:val="auto"/>
                <w:sz w:val="22"/>
                <w:szCs w:val="22"/>
              </w:rPr>
              <w:t>r</w:t>
            </w:r>
            <w:r w:rsidRPr="00201DEC">
              <w:rPr>
                <w:rFonts w:ascii="Times New Roman" w:hAnsi="Times New Roman" w:cs="Times New Roman"/>
                <w:color w:val="auto"/>
                <w:sz w:val="22"/>
                <w:szCs w:val="22"/>
              </w:rPr>
              <w:t>fattningar om tillhandahållande av audiovis</w:t>
            </w:r>
            <w:r w:rsidRPr="00201DEC">
              <w:rPr>
                <w:rFonts w:ascii="Times New Roman" w:hAnsi="Times New Roman" w:cs="Times New Roman"/>
                <w:color w:val="auto"/>
                <w:sz w:val="22"/>
                <w:szCs w:val="22"/>
              </w:rPr>
              <w:t>u</w:t>
            </w:r>
            <w:r w:rsidRPr="00201DEC">
              <w:rPr>
                <w:rFonts w:ascii="Times New Roman" w:hAnsi="Times New Roman" w:cs="Times New Roman"/>
                <w:color w:val="auto"/>
                <w:sz w:val="22"/>
                <w:szCs w:val="22"/>
              </w:rPr>
              <w:t xml:space="preserve">ella medietjänster, mot bakgrund av ändrade marknadsförhållanden </w:t>
            </w:r>
          </w:p>
          <w:p w:rsidR="00D87171" w:rsidRPr="00201DEC" w:rsidRDefault="00D87171" w:rsidP="004406DE">
            <w:pPr>
              <w:pStyle w:val="ANormal"/>
              <w:rPr>
                <w:szCs w:val="22"/>
              </w:rPr>
            </w:pPr>
          </w:p>
        </w:tc>
      </w:tr>
      <w:tr w:rsidR="00614E24" w:rsidRPr="00866391" w:rsidTr="00DF4B6F">
        <w:tc>
          <w:tcPr>
            <w:tcW w:w="2410" w:type="dxa"/>
            <w:shd w:val="clear" w:color="auto" w:fill="auto"/>
          </w:tcPr>
          <w:p w:rsidR="00614E24" w:rsidRPr="00201DEC" w:rsidRDefault="00614E24" w:rsidP="004406DE">
            <w:pPr>
              <w:pStyle w:val="ANormal"/>
              <w:rPr>
                <w:b/>
                <w:szCs w:val="22"/>
              </w:rPr>
            </w:pPr>
          </w:p>
        </w:tc>
        <w:tc>
          <w:tcPr>
            <w:tcW w:w="4394" w:type="dxa"/>
            <w:shd w:val="clear" w:color="auto" w:fill="auto"/>
          </w:tcPr>
          <w:p w:rsidR="00614E24" w:rsidRPr="00201DEC" w:rsidRDefault="00614E24" w:rsidP="004406DE">
            <w:pPr>
              <w:pStyle w:val="ANormal"/>
              <w:rPr>
                <w:szCs w:val="22"/>
              </w:rPr>
            </w:pPr>
          </w:p>
        </w:tc>
      </w:tr>
      <w:tr w:rsidR="00614E24" w:rsidRPr="00866391" w:rsidTr="00DF4B6F">
        <w:tc>
          <w:tcPr>
            <w:tcW w:w="2410" w:type="dxa"/>
            <w:shd w:val="clear" w:color="auto" w:fill="auto"/>
          </w:tcPr>
          <w:p w:rsidR="00614E24" w:rsidRPr="00201DEC" w:rsidRDefault="00614E24" w:rsidP="00614E24">
            <w:pPr>
              <w:pStyle w:val="Default"/>
              <w:rPr>
                <w:rFonts w:ascii="Times New Roman" w:hAnsi="Times New Roman" w:cs="Times New Roman"/>
                <w:b/>
                <w:color w:val="auto"/>
                <w:sz w:val="22"/>
                <w:szCs w:val="22"/>
              </w:rPr>
            </w:pPr>
            <w:r w:rsidRPr="00201DEC">
              <w:rPr>
                <w:rFonts w:ascii="Times New Roman" w:hAnsi="Times New Roman" w:cs="Times New Roman"/>
                <w:b/>
                <w:color w:val="auto"/>
                <w:sz w:val="22"/>
                <w:szCs w:val="22"/>
              </w:rPr>
              <w:t>Förslag mot omotiv</w:t>
            </w:r>
            <w:r w:rsidRPr="00201DEC">
              <w:rPr>
                <w:rFonts w:ascii="Times New Roman" w:hAnsi="Times New Roman" w:cs="Times New Roman"/>
                <w:b/>
                <w:color w:val="auto"/>
                <w:sz w:val="22"/>
                <w:szCs w:val="22"/>
              </w:rPr>
              <w:t>e</w:t>
            </w:r>
            <w:r w:rsidRPr="00201DEC">
              <w:rPr>
                <w:rFonts w:ascii="Times New Roman" w:hAnsi="Times New Roman" w:cs="Times New Roman"/>
                <w:b/>
                <w:color w:val="auto"/>
                <w:sz w:val="22"/>
                <w:szCs w:val="22"/>
              </w:rPr>
              <w:t xml:space="preserve">rad geoblockering </w:t>
            </w:r>
          </w:p>
          <w:p w:rsidR="00614E24" w:rsidRPr="00201DEC" w:rsidRDefault="00614E24" w:rsidP="00201DEC">
            <w:pPr>
              <w:pStyle w:val="ANormal"/>
              <w:rPr>
                <w:b/>
                <w:szCs w:val="22"/>
              </w:rPr>
            </w:pPr>
            <w:r w:rsidRPr="00201DEC">
              <w:rPr>
                <w:szCs w:val="22"/>
              </w:rPr>
              <w:t>(prioriterade förslag u</w:t>
            </w:r>
            <w:r w:rsidRPr="00201DEC">
              <w:rPr>
                <w:szCs w:val="22"/>
              </w:rPr>
              <w:t>n</w:t>
            </w:r>
            <w:r w:rsidRPr="00201DEC">
              <w:rPr>
                <w:szCs w:val="22"/>
              </w:rPr>
              <w:t>der behandling)</w:t>
            </w:r>
          </w:p>
        </w:tc>
        <w:tc>
          <w:tcPr>
            <w:tcW w:w="4394" w:type="dxa"/>
            <w:shd w:val="clear" w:color="auto" w:fill="auto"/>
          </w:tcPr>
          <w:p w:rsidR="0003077F" w:rsidRPr="00201DEC" w:rsidRDefault="0003077F" w:rsidP="0003077F">
            <w:pPr>
              <w:pStyle w:val="Default"/>
              <w:rPr>
                <w:rFonts w:ascii="Times New Roman" w:hAnsi="Times New Roman" w:cs="Times New Roman"/>
                <w:color w:val="auto"/>
                <w:sz w:val="22"/>
                <w:szCs w:val="22"/>
              </w:rPr>
            </w:pPr>
            <w:r w:rsidRPr="00201DEC">
              <w:rPr>
                <w:rFonts w:ascii="Times New Roman" w:hAnsi="Times New Roman" w:cs="Times New Roman"/>
                <w:color w:val="auto"/>
                <w:sz w:val="22"/>
                <w:szCs w:val="22"/>
              </w:rPr>
              <w:t>Förslag till E</w:t>
            </w:r>
            <w:r w:rsidR="00201DEC" w:rsidRPr="00201DEC">
              <w:rPr>
                <w:rFonts w:ascii="Times New Roman" w:hAnsi="Times New Roman" w:cs="Times New Roman"/>
                <w:color w:val="auto"/>
                <w:sz w:val="22"/>
                <w:szCs w:val="22"/>
              </w:rPr>
              <w:t>uropaparlamentets och rådets fö</w:t>
            </w:r>
            <w:r w:rsidR="00201DEC" w:rsidRPr="00201DEC">
              <w:rPr>
                <w:rFonts w:ascii="Times New Roman" w:hAnsi="Times New Roman" w:cs="Times New Roman"/>
                <w:color w:val="auto"/>
                <w:sz w:val="22"/>
                <w:szCs w:val="22"/>
              </w:rPr>
              <w:t>r</w:t>
            </w:r>
            <w:r w:rsidR="00201DEC" w:rsidRPr="00201DEC">
              <w:rPr>
                <w:rFonts w:ascii="Times New Roman" w:hAnsi="Times New Roman" w:cs="Times New Roman"/>
                <w:color w:val="auto"/>
                <w:sz w:val="22"/>
                <w:szCs w:val="22"/>
              </w:rPr>
              <w:t xml:space="preserve">ordning om </w:t>
            </w:r>
            <w:r w:rsidRPr="00201DEC">
              <w:rPr>
                <w:rFonts w:ascii="Times New Roman" w:hAnsi="Times New Roman" w:cs="Times New Roman"/>
                <w:color w:val="auto"/>
                <w:sz w:val="22"/>
                <w:szCs w:val="22"/>
              </w:rPr>
              <w:t>åtgärder mot geoblockering och andra former av diskriminering på grund av kundernas nationalitet, bosättningsort eller et</w:t>
            </w:r>
            <w:r w:rsidRPr="00201DEC">
              <w:rPr>
                <w:rFonts w:ascii="Times New Roman" w:hAnsi="Times New Roman" w:cs="Times New Roman"/>
                <w:color w:val="auto"/>
                <w:sz w:val="22"/>
                <w:szCs w:val="22"/>
              </w:rPr>
              <w:t>a</w:t>
            </w:r>
            <w:r w:rsidRPr="00201DEC">
              <w:rPr>
                <w:rFonts w:ascii="Times New Roman" w:hAnsi="Times New Roman" w:cs="Times New Roman"/>
                <w:color w:val="auto"/>
                <w:sz w:val="22"/>
                <w:szCs w:val="22"/>
              </w:rPr>
              <w:lastRenderedPageBreak/>
              <w:t>bleringsort på den inre marknaden och om än</w:t>
            </w:r>
            <w:r w:rsidRPr="00201DEC">
              <w:rPr>
                <w:rFonts w:ascii="Times New Roman" w:hAnsi="Times New Roman" w:cs="Times New Roman"/>
                <w:color w:val="auto"/>
                <w:sz w:val="22"/>
                <w:szCs w:val="22"/>
              </w:rPr>
              <w:t>d</w:t>
            </w:r>
            <w:r w:rsidRPr="00201DEC">
              <w:rPr>
                <w:rFonts w:ascii="Times New Roman" w:hAnsi="Times New Roman" w:cs="Times New Roman"/>
                <w:color w:val="auto"/>
                <w:sz w:val="22"/>
                <w:szCs w:val="22"/>
              </w:rPr>
              <w:t>ring av förordning (EG) nr 2006/2004 och d</w:t>
            </w:r>
            <w:r w:rsidRPr="00201DEC">
              <w:rPr>
                <w:rFonts w:ascii="Times New Roman" w:hAnsi="Times New Roman" w:cs="Times New Roman"/>
                <w:color w:val="auto"/>
                <w:sz w:val="22"/>
                <w:szCs w:val="22"/>
              </w:rPr>
              <w:t>i</w:t>
            </w:r>
            <w:r w:rsidRPr="00201DEC">
              <w:rPr>
                <w:rFonts w:ascii="Times New Roman" w:hAnsi="Times New Roman" w:cs="Times New Roman"/>
                <w:color w:val="auto"/>
                <w:sz w:val="22"/>
                <w:szCs w:val="22"/>
              </w:rPr>
              <w:t xml:space="preserve">rektiv 2009/22/EG </w:t>
            </w:r>
          </w:p>
          <w:p w:rsidR="00614E24" w:rsidRPr="00201DEC" w:rsidRDefault="00614E24" w:rsidP="004406DE">
            <w:pPr>
              <w:pStyle w:val="ANormal"/>
              <w:rPr>
                <w:szCs w:val="22"/>
              </w:rPr>
            </w:pPr>
          </w:p>
        </w:tc>
      </w:tr>
      <w:tr w:rsidR="007C26F3" w:rsidRPr="00866391" w:rsidTr="00DF4B6F">
        <w:tc>
          <w:tcPr>
            <w:tcW w:w="2410" w:type="dxa"/>
            <w:shd w:val="clear" w:color="auto" w:fill="auto"/>
          </w:tcPr>
          <w:p w:rsidR="007C26F3" w:rsidRPr="00201DEC" w:rsidRDefault="007C26F3" w:rsidP="004406DE">
            <w:pPr>
              <w:pStyle w:val="ANormal"/>
              <w:rPr>
                <w:b/>
                <w:szCs w:val="22"/>
              </w:rPr>
            </w:pPr>
          </w:p>
        </w:tc>
        <w:tc>
          <w:tcPr>
            <w:tcW w:w="4394" w:type="dxa"/>
            <w:shd w:val="clear" w:color="auto" w:fill="auto"/>
          </w:tcPr>
          <w:p w:rsidR="007C26F3" w:rsidRPr="00201DEC" w:rsidRDefault="007C26F3" w:rsidP="004406DE">
            <w:pPr>
              <w:pStyle w:val="ANormal"/>
              <w:rPr>
                <w:szCs w:val="22"/>
              </w:rPr>
            </w:pPr>
          </w:p>
        </w:tc>
      </w:tr>
      <w:tr w:rsidR="00682599" w:rsidRPr="00866391" w:rsidTr="00E505BD">
        <w:tc>
          <w:tcPr>
            <w:tcW w:w="6804" w:type="dxa"/>
            <w:gridSpan w:val="2"/>
            <w:shd w:val="clear" w:color="auto" w:fill="auto"/>
          </w:tcPr>
          <w:p w:rsidR="00682599" w:rsidRPr="00201DEC" w:rsidRDefault="00682599" w:rsidP="007C26F3">
            <w:pPr>
              <w:pStyle w:val="Default"/>
              <w:rPr>
                <w:rFonts w:ascii="Times New Roman" w:hAnsi="Times New Roman" w:cs="Times New Roman"/>
                <w:color w:val="auto"/>
                <w:sz w:val="22"/>
                <w:szCs w:val="22"/>
              </w:rPr>
            </w:pPr>
            <w:r w:rsidRPr="00201DEC">
              <w:rPr>
                <w:rFonts w:ascii="Times New Roman" w:hAnsi="Times New Roman" w:cs="Times New Roman"/>
                <w:b/>
                <w:bCs/>
                <w:color w:val="auto"/>
                <w:sz w:val="22"/>
                <w:szCs w:val="22"/>
              </w:rPr>
              <w:t>En motståndskraftig energiunion med en framåtblickande klimatpol</w:t>
            </w:r>
            <w:r w:rsidRPr="00201DEC">
              <w:rPr>
                <w:rFonts w:ascii="Times New Roman" w:hAnsi="Times New Roman" w:cs="Times New Roman"/>
                <w:b/>
                <w:bCs/>
                <w:color w:val="auto"/>
                <w:sz w:val="22"/>
                <w:szCs w:val="22"/>
              </w:rPr>
              <w:t>i</w:t>
            </w:r>
            <w:r w:rsidRPr="00201DEC">
              <w:rPr>
                <w:rFonts w:ascii="Times New Roman" w:hAnsi="Times New Roman" w:cs="Times New Roman"/>
                <w:b/>
                <w:bCs/>
                <w:color w:val="auto"/>
                <w:sz w:val="22"/>
                <w:szCs w:val="22"/>
              </w:rPr>
              <w:t xml:space="preserve">tik </w:t>
            </w:r>
          </w:p>
          <w:p w:rsidR="00682599" w:rsidRPr="00201DEC" w:rsidRDefault="00682599" w:rsidP="004406DE">
            <w:pPr>
              <w:pStyle w:val="ANormal"/>
              <w:rPr>
                <w:szCs w:val="22"/>
              </w:rPr>
            </w:pPr>
          </w:p>
        </w:tc>
      </w:tr>
      <w:tr w:rsidR="007C26F3" w:rsidRPr="00866391" w:rsidTr="00DF4B6F">
        <w:tc>
          <w:tcPr>
            <w:tcW w:w="2410" w:type="dxa"/>
            <w:shd w:val="clear" w:color="auto" w:fill="auto"/>
          </w:tcPr>
          <w:p w:rsidR="00595226" w:rsidRPr="00201DEC" w:rsidRDefault="00595226" w:rsidP="00595226">
            <w:pPr>
              <w:pStyle w:val="Default"/>
              <w:rPr>
                <w:rFonts w:ascii="Times New Roman" w:hAnsi="Times New Roman" w:cs="Times New Roman"/>
                <w:b/>
                <w:color w:val="auto"/>
                <w:sz w:val="22"/>
                <w:szCs w:val="22"/>
              </w:rPr>
            </w:pPr>
            <w:r w:rsidRPr="00201DEC">
              <w:rPr>
                <w:rFonts w:ascii="Times New Roman" w:hAnsi="Times New Roman" w:cs="Times New Roman"/>
                <w:b/>
                <w:color w:val="auto"/>
                <w:sz w:val="22"/>
                <w:szCs w:val="22"/>
              </w:rPr>
              <w:t xml:space="preserve">EU:s system för handel med utsläppsrätter </w:t>
            </w:r>
          </w:p>
          <w:p w:rsidR="007C26F3" w:rsidRPr="00201DEC" w:rsidRDefault="00595226" w:rsidP="00201DEC">
            <w:pPr>
              <w:pStyle w:val="ANormal"/>
              <w:rPr>
                <w:b/>
                <w:szCs w:val="22"/>
              </w:rPr>
            </w:pPr>
            <w:r w:rsidRPr="00201DEC">
              <w:rPr>
                <w:szCs w:val="22"/>
              </w:rPr>
              <w:t>(prioriterade förslag u</w:t>
            </w:r>
            <w:r w:rsidRPr="00201DEC">
              <w:rPr>
                <w:szCs w:val="22"/>
              </w:rPr>
              <w:t>n</w:t>
            </w:r>
            <w:r w:rsidRPr="00201DEC">
              <w:rPr>
                <w:szCs w:val="22"/>
              </w:rPr>
              <w:t>der behandling)</w:t>
            </w:r>
          </w:p>
        </w:tc>
        <w:tc>
          <w:tcPr>
            <w:tcW w:w="4394" w:type="dxa"/>
            <w:shd w:val="clear" w:color="auto" w:fill="auto"/>
          </w:tcPr>
          <w:p w:rsidR="00CD6400" w:rsidRPr="00201DEC" w:rsidRDefault="00CD6400" w:rsidP="00CD6400">
            <w:pPr>
              <w:pStyle w:val="Default"/>
              <w:rPr>
                <w:rFonts w:ascii="Times New Roman" w:hAnsi="Times New Roman" w:cs="Times New Roman"/>
                <w:color w:val="auto"/>
                <w:sz w:val="22"/>
                <w:szCs w:val="22"/>
              </w:rPr>
            </w:pPr>
            <w:r w:rsidRPr="00201DEC">
              <w:rPr>
                <w:rFonts w:ascii="Times New Roman" w:hAnsi="Times New Roman" w:cs="Times New Roman"/>
                <w:color w:val="auto"/>
                <w:sz w:val="22"/>
                <w:szCs w:val="22"/>
              </w:rPr>
              <w:t>Förslag till E</w:t>
            </w:r>
            <w:r w:rsidR="00201DEC" w:rsidRPr="00201DEC">
              <w:rPr>
                <w:rFonts w:ascii="Times New Roman" w:hAnsi="Times New Roman" w:cs="Times New Roman"/>
                <w:color w:val="auto"/>
                <w:sz w:val="22"/>
                <w:szCs w:val="22"/>
              </w:rPr>
              <w:t>uropaparlamentets och rådets d</w:t>
            </w:r>
            <w:r w:rsidR="00201DEC" w:rsidRPr="00201DEC">
              <w:rPr>
                <w:rFonts w:ascii="Times New Roman" w:hAnsi="Times New Roman" w:cs="Times New Roman"/>
                <w:color w:val="auto"/>
                <w:sz w:val="22"/>
                <w:szCs w:val="22"/>
              </w:rPr>
              <w:t>i</w:t>
            </w:r>
            <w:r w:rsidR="00201DEC" w:rsidRPr="00201DEC">
              <w:rPr>
                <w:rFonts w:ascii="Times New Roman" w:hAnsi="Times New Roman" w:cs="Times New Roman"/>
                <w:color w:val="auto"/>
                <w:sz w:val="22"/>
                <w:szCs w:val="22"/>
              </w:rPr>
              <w:t xml:space="preserve">rektiv om </w:t>
            </w:r>
            <w:r w:rsidRPr="00201DEC">
              <w:rPr>
                <w:rFonts w:ascii="Times New Roman" w:hAnsi="Times New Roman" w:cs="Times New Roman"/>
                <w:color w:val="auto"/>
                <w:sz w:val="22"/>
                <w:szCs w:val="22"/>
              </w:rPr>
              <w:t>ändring av direktiv 2003/87/EG för att främja kostnadseffektiva utsläppsmins</w:t>
            </w:r>
            <w:r w:rsidRPr="00201DEC">
              <w:rPr>
                <w:rFonts w:ascii="Times New Roman" w:hAnsi="Times New Roman" w:cs="Times New Roman"/>
                <w:color w:val="auto"/>
                <w:sz w:val="22"/>
                <w:szCs w:val="22"/>
              </w:rPr>
              <w:t>k</w:t>
            </w:r>
            <w:r w:rsidRPr="00201DEC">
              <w:rPr>
                <w:rFonts w:ascii="Times New Roman" w:hAnsi="Times New Roman" w:cs="Times New Roman"/>
                <w:color w:val="auto"/>
                <w:sz w:val="22"/>
                <w:szCs w:val="22"/>
              </w:rPr>
              <w:t xml:space="preserve">ningar och koldioxidsnåla investeringar </w:t>
            </w:r>
          </w:p>
          <w:p w:rsidR="007C26F3" w:rsidRPr="00201DEC" w:rsidRDefault="007C26F3" w:rsidP="004406DE">
            <w:pPr>
              <w:pStyle w:val="ANormal"/>
              <w:rPr>
                <w:szCs w:val="22"/>
              </w:rPr>
            </w:pPr>
          </w:p>
        </w:tc>
      </w:tr>
      <w:tr w:rsidR="005F59D3" w:rsidRPr="00866391" w:rsidTr="00DF4B6F">
        <w:tc>
          <w:tcPr>
            <w:tcW w:w="2410" w:type="dxa"/>
            <w:shd w:val="clear" w:color="auto" w:fill="auto"/>
          </w:tcPr>
          <w:p w:rsidR="005F59D3" w:rsidRPr="00201DEC" w:rsidRDefault="005F59D3" w:rsidP="004406DE">
            <w:pPr>
              <w:pStyle w:val="ANormal"/>
              <w:rPr>
                <w:b/>
                <w:szCs w:val="22"/>
              </w:rPr>
            </w:pPr>
          </w:p>
        </w:tc>
        <w:tc>
          <w:tcPr>
            <w:tcW w:w="4394" w:type="dxa"/>
            <w:shd w:val="clear" w:color="auto" w:fill="auto"/>
          </w:tcPr>
          <w:p w:rsidR="005F59D3" w:rsidRPr="00201DEC" w:rsidRDefault="005F59D3" w:rsidP="004406DE">
            <w:pPr>
              <w:pStyle w:val="ANormal"/>
              <w:rPr>
                <w:szCs w:val="22"/>
              </w:rPr>
            </w:pPr>
          </w:p>
        </w:tc>
      </w:tr>
      <w:tr w:rsidR="005F59D3" w:rsidRPr="00866391" w:rsidTr="00DF4B6F">
        <w:tc>
          <w:tcPr>
            <w:tcW w:w="2410" w:type="dxa"/>
            <w:shd w:val="clear" w:color="auto" w:fill="auto"/>
          </w:tcPr>
          <w:p w:rsidR="0029192D" w:rsidRPr="00201DEC" w:rsidRDefault="0029192D" w:rsidP="0029192D">
            <w:pPr>
              <w:pStyle w:val="Default"/>
              <w:rPr>
                <w:rFonts w:ascii="Times New Roman" w:hAnsi="Times New Roman" w:cs="Times New Roman"/>
                <w:b/>
                <w:color w:val="auto"/>
                <w:sz w:val="22"/>
                <w:szCs w:val="22"/>
              </w:rPr>
            </w:pPr>
            <w:r w:rsidRPr="00201DEC">
              <w:rPr>
                <w:rFonts w:ascii="Times New Roman" w:hAnsi="Times New Roman" w:cs="Times New Roman"/>
                <w:b/>
                <w:color w:val="auto"/>
                <w:sz w:val="22"/>
                <w:szCs w:val="22"/>
              </w:rPr>
              <w:t xml:space="preserve">Beslut om fördelning av bördorna </w:t>
            </w:r>
          </w:p>
          <w:p w:rsidR="005F59D3" w:rsidRPr="00201DEC" w:rsidRDefault="0029192D" w:rsidP="00201DEC">
            <w:pPr>
              <w:pStyle w:val="ANormal"/>
              <w:rPr>
                <w:b/>
                <w:szCs w:val="22"/>
              </w:rPr>
            </w:pPr>
            <w:r w:rsidRPr="00201DEC">
              <w:rPr>
                <w:szCs w:val="22"/>
              </w:rPr>
              <w:t>(prioriterade förslag u</w:t>
            </w:r>
            <w:r w:rsidRPr="00201DEC">
              <w:rPr>
                <w:szCs w:val="22"/>
              </w:rPr>
              <w:t>n</w:t>
            </w:r>
            <w:r w:rsidRPr="00201DEC">
              <w:rPr>
                <w:szCs w:val="22"/>
              </w:rPr>
              <w:t>der behandling)</w:t>
            </w:r>
          </w:p>
        </w:tc>
        <w:tc>
          <w:tcPr>
            <w:tcW w:w="4394" w:type="dxa"/>
            <w:shd w:val="clear" w:color="auto" w:fill="auto"/>
          </w:tcPr>
          <w:p w:rsidR="00BE3ADA" w:rsidRPr="00201DEC" w:rsidRDefault="00BE3ADA" w:rsidP="00BE3ADA">
            <w:pPr>
              <w:pStyle w:val="Default"/>
              <w:rPr>
                <w:rFonts w:ascii="Times New Roman" w:hAnsi="Times New Roman" w:cs="Times New Roman"/>
                <w:color w:val="auto"/>
                <w:sz w:val="22"/>
                <w:szCs w:val="22"/>
              </w:rPr>
            </w:pPr>
            <w:r w:rsidRPr="00201DEC">
              <w:rPr>
                <w:rFonts w:ascii="Times New Roman" w:hAnsi="Times New Roman" w:cs="Times New Roman"/>
                <w:color w:val="auto"/>
                <w:sz w:val="22"/>
                <w:szCs w:val="22"/>
              </w:rPr>
              <w:t>Förslag till E</w:t>
            </w:r>
            <w:r w:rsidR="00201DEC" w:rsidRPr="00201DEC">
              <w:rPr>
                <w:rFonts w:ascii="Times New Roman" w:hAnsi="Times New Roman" w:cs="Times New Roman"/>
                <w:color w:val="auto"/>
                <w:sz w:val="22"/>
                <w:szCs w:val="22"/>
              </w:rPr>
              <w:t>uropaparlamentets och rådets fö</w:t>
            </w:r>
            <w:r w:rsidR="00201DEC" w:rsidRPr="00201DEC">
              <w:rPr>
                <w:rFonts w:ascii="Times New Roman" w:hAnsi="Times New Roman" w:cs="Times New Roman"/>
                <w:color w:val="auto"/>
                <w:sz w:val="22"/>
                <w:szCs w:val="22"/>
              </w:rPr>
              <w:t>r</w:t>
            </w:r>
            <w:r w:rsidR="00201DEC" w:rsidRPr="00201DEC">
              <w:rPr>
                <w:rFonts w:ascii="Times New Roman" w:hAnsi="Times New Roman" w:cs="Times New Roman"/>
                <w:color w:val="auto"/>
                <w:sz w:val="22"/>
                <w:szCs w:val="22"/>
              </w:rPr>
              <w:t xml:space="preserve">ordning om </w:t>
            </w:r>
            <w:r w:rsidRPr="00201DEC">
              <w:rPr>
                <w:rFonts w:ascii="Times New Roman" w:hAnsi="Times New Roman" w:cs="Times New Roman"/>
                <w:color w:val="auto"/>
                <w:sz w:val="22"/>
                <w:szCs w:val="22"/>
              </w:rPr>
              <w:t>bindande årliga minskningar av medlemsstaternas växthusgasutsläpp 2021–2030 för att skapa en motståndskraftig energ</w:t>
            </w:r>
            <w:r w:rsidRPr="00201DEC">
              <w:rPr>
                <w:rFonts w:ascii="Times New Roman" w:hAnsi="Times New Roman" w:cs="Times New Roman"/>
                <w:color w:val="auto"/>
                <w:sz w:val="22"/>
                <w:szCs w:val="22"/>
              </w:rPr>
              <w:t>i</w:t>
            </w:r>
            <w:r w:rsidRPr="00201DEC">
              <w:rPr>
                <w:rFonts w:ascii="Times New Roman" w:hAnsi="Times New Roman" w:cs="Times New Roman"/>
                <w:color w:val="auto"/>
                <w:sz w:val="22"/>
                <w:szCs w:val="22"/>
              </w:rPr>
              <w:t>union och fullgöra åtagandena enligt Parisavt</w:t>
            </w:r>
            <w:r w:rsidRPr="00201DEC">
              <w:rPr>
                <w:rFonts w:ascii="Times New Roman" w:hAnsi="Times New Roman" w:cs="Times New Roman"/>
                <w:color w:val="auto"/>
                <w:sz w:val="22"/>
                <w:szCs w:val="22"/>
              </w:rPr>
              <w:t>a</w:t>
            </w:r>
            <w:r w:rsidRPr="00201DEC">
              <w:rPr>
                <w:rFonts w:ascii="Times New Roman" w:hAnsi="Times New Roman" w:cs="Times New Roman"/>
                <w:color w:val="auto"/>
                <w:sz w:val="22"/>
                <w:szCs w:val="22"/>
              </w:rPr>
              <w:t>let samt om ändring av Europaparlamentets och rådets förordning nr 525/2013 om en me</w:t>
            </w:r>
            <w:r w:rsidRPr="00201DEC">
              <w:rPr>
                <w:rFonts w:ascii="Times New Roman" w:hAnsi="Times New Roman" w:cs="Times New Roman"/>
                <w:color w:val="auto"/>
                <w:sz w:val="22"/>
                <w:szCs w:val="22"/>
              </w:rPr>
              <w:t>k</w:t>
            </w:r>
            <w:r w:rsidRPr="00201DEC">
              <w:rPr>
                <w:rFonts w:ascii="Times New Roman" w:hAnsi="Times New Roman" w:cs="Times New Roman"/>
                <w:color w:val="auto"/>
                <w:sz w:val="22"/>
                <w:szCs w:val="22"/>
              </w:rPr>
              <w:t>anism för att övervaka och rapportera utsläpp av växthusgaser och för att rapportera annan information som är relevant för klimatförän</w:t>
            </w:r>
            <w:r w:rsidRPr="00201DEC">
              <w:rPr>
                <w:rFonts w:ascii="Times New Roman" w:hAnsi="Times New Roman" w:cs="Times New Roman"/>
                <w:color w:val="auto"/>
                <w:sz w:val="22"/>
                <w:szCs w:val="22"/>
              </w:rPr>
              <w:t>d</w:t>
            </w:r>
            <w:r w:rsidRPr="00201DEC">
              <w:rPr>
                <w:rFonts w:ascii="Times New Roman" w:hAnsi="Times New Roman" w:cs="Times New Roman"/>
                <w:color w:val="auto"/>
                <w:sz w:val="22"/>
                <w:szCs w:val="22"/>
              </w:rPr>
              <w:t xml:space="preserve">ringen </w:t>
            </w:r>
          </w:p>
          <w:p w:rsidR="005F59D3" w:rsidRPr="00201DEC" w:rsidRDefault="005F59D3" w:rsidP="004406DE">
            <w:pPr>
              <w:pStyle w:val="ANormal"/>
              <w:rPr>
                <w:szCs w:val="22"/>
              </w:rPr>
            </w:pPr>
          </w:p>
        </w:tc>
      </w:tr>
      <w:tr w:rsidR="00C61EE5" w:rsidRPr="00866391" w:rsidTr="00DF4B6F">
        <w:tc>
          <w:tcPr>
            <w:tcW w:w="2410" w:type="dxa"/>
            <w:shd w:val="clear" w:color="auto" w:fill="auto"/>
          </w:tcPr>
          <w:p w:rsidR="00C61EE5" w:rsidRPr="00201DEC" w:rsidRDefault="00C61EE5" w:rsidP="004406DE">
            <w:pPr>
              <w:pStyle w:val="ANormal"/>
              <w:rPr>
                <w:b/>
                <w:szCs w:val="22"/>
              </w:rPr>
            </w:pPr>
          </w:p>
        </w:tc>
        <w:tc>
          <w:tcPr>
            <w:tcW w:w="4394" w:type="dxa"/>
            <w:shd w:val="clear" w:color="auto" w:fill="auto"/>
          </w:tcPr>
          <w:p w:rsidR="00C61EE5" w:rsidRPr="00201DEC" w:rsidRDefault="00C61EE5" w:rsidP="004406DE">
            <w:pPr>
              <w:pStyle w:val="ANormal"/>
              <w:rPr>
                <w:szCs w:val="22"/>
              </w:rPr>
            </w:pPr>
          </w:p>
        </w:tc>
      </w:tr>
      <w:tr w:rsidR="00682599" w:rsidRPr="00866391" w:rsidTr="00E505BD">
        <w:tc>
          <w:tcPr>
            <w:tcW w:w="6804" w:type="dxa"/>
            <w:gridSpan w:val="2"/>
            <w:shd w:val="clear" w:color="auto" w:fill="auto"/>
          </w:tcPr>
          <w:p w:rsidR="00682599" w:rsidRPr="00201DEC" w:rsidRDefault="00682599" w:rsidP="00D01BEB">
            <w:pPr>
              <w:pStyle w:val="Default"/>
              <w:rPr>
                <w:rFonts w:ascii="Times New Roman" w:hAnsi="Times New Roman" w:cs="Times New Roman"/>
                <w:b/>
                <w:color w:val="auto"/>
                <w:sz w:val="22"/>
                <w:szCs w:val="22"/>
              </w:rPr>
            </w:pPr>
            <w:r w:rsidRPr="00201DEC">
              <w:rPr>
                <w:rFonts w:ascii="Times New Roman" w:hAnsi="Times New Roman" w:cs="Times New Roman"/>
                <w:b/>
                <w:bCs/>
                <w:color w:val="auto"/>
                <w:sz w:val="22"/>
                <w:szCs w:val="22"/>
              </w:rPr>
              <w:t xml:space="preserve">En djupare och mer rättvis ekonomisk och monetär union </w:t>
            </w:r>
          </w:p>
          <w:p w:rsidR="00682599" w:rsidRPr="00201DEC" w:rsidRDefault="00682599" w:rsidP="004406DE">
            <w:pPr>
              <w:pStyle w:val="ANormal"/>
              <w:rPr>
                <w:szCs w:val="22"/>
              </w:rPr>
            </w:pPr>
          </w:p>
        </w:tc>
      </w:tr>
      <w:tr w:rsidR="00C61EE5" w:rsidRPr="00866391" w:rsidTr="00DF4B6F">
        <w:tc>
          <w:tcPr>
            <w:tcW w:w="2410" w:type="dxa"/>
            <w:shd w:val="clear" w:color="auto" w:fill="auto"/>
          </w:tcPr>
          <w:p w:rsidR="00D01BEB" w:rsidRPr="00201DEC" w:rsidRDefault="00D01BEB" w:rsidP="00D01BEB">
            <w:pPr>
              <w:pStyle w:val="Default"/>
              <w:rPr>
                <w:rFonts w:ascii="Times New Roman" w:hAnsi="Times New Roman" w:cs="Times New Roman"/>
                <w:color w:val="auto"/>
                <w:sz w:val="22"/>
                <w:szCs w:val="22"/>
              </w:rPr>
            </w:pPr>
            <w:r w:rsidRPr="00201DEC">
              <w:rPr>
                <w:rFonts w:ascii="Times New Roman" w:hAnsi="Times New Roman" w:cs="Times New Roman"/>
                <w:b/>
                <w:bCs/>
                <w:color w:val="auto"/>
                <w:sz w:val="22"/>
                <w:szCs w:val="22"/>
              </w:rPr>
              <w:t>Den europeiska pel</w:t>
            </w:r>
            <w:r w:rsidRPr="00201DEC">
              <w:rPr>
                <w:rFonts w:ascii="Times New Roman" w:hAnsi="Times New Roman" w:cs="Times New Roman"/>
                <w:b/>
                <w:bCs/>
                <w:color w:val="auto"/>
                <w:sz w:val="22"/>
                <w:szCs w:val="22"/>
              </w:rPr>
              <w:t>a</w:t>
            </w:r>
            <w:r w:rsidRPr="00201DEC">
              <w:rPr>
                <w:rFonts w:ascii="Times New Roman" w:hAnsi="Times New Roman" w:cs="Times New Roman"/>
                <w:b/>
                <w:bCs/>
                <w:color w:val="auto"/>
                <w:sz w:val="22"/>
                <w:szCs w:val="22"/>
              </w:rPr>
              <w:t>ren för sociala rätti</w:t>
            </w:r>
            <w:r w:rsidRPr="00201DEC">
              <w:rPr>
                <w:rFonts w:ascii="Times New Roman" w:hAnsi="Times New Roman" w:cs="Times New Roman"/>
                <w:b/>
                <w:bCs/>
                <w:color w:val="auto"/>
                <w:sz w:val="22"/>
                <w:szCs w:val="22"/>
              </w:rPr>
              <w:t>g</w:t>
            </w:r>
            <w:r w:rsidRPr="00201DEC">
              <w:rPr>
                <w:rFonts w:ascii="Times New Roman" w:hAnsi="Times New Roman" w:cs="Times New Roman"/>
                <w:b/>
                <w:bCs/>
                <w:color w:val="auto"/>
                <w:sz w:val="22"/>
                <w:szCs w:val="22"/>
              </w:rPr>
              <w:t xml:space="preserve">heter </w:t>
            </w:r>
          </w:p>
          <w:p w:rsidR="00F2264C" w:rsidRPr="00201DEC" w:rsidRDefault="00F2264C" w:rsidP="00F2264C">
            <w:pPr>
              <w:pStyle w:val="ANormal"/>
              <w:rPr>
                <w:szCs w:val="22"/>
              </w:rPr>
            </w:pPr>
            <w:r w:rsidRPr="00201DEC">
              <w:rPr>
                <w:szCs w:val="22"/>
              </w:rPr>
              <w:t>(nytt initiativ)</w:t>
            </w:r>
          </w:p>
          <w:p w:rsidR="00C61EE5" w:rsidRPr="00201DEC" w:rsidRDefault="00C61EE5" w:rsidP="00C61EE5">
            <w:pPr>
              <w:pStyle w:val="ANormal"/>
              <w:rPr>
                <w:szCs w:val="22"/>
              </w:rPr>
            </w:pPr>
          </w:p>
        </w:tc>
        <w:tc>
          <w:tcPr>
            <w:tcW w:w="4394" w:type="dxa"/>
            <w:shd w:val="clear" w:color="auto" w:fill="auto"/>
          </w:tcPr>
          <w:p w:rsidR="000231D0" w:rsidRPr="00201DEC" w:rsidRDefault="000231D0" w:rsidP="000231D0">
            <w:pPr>
              <w:pStyle w:val="Default"/>
              <w:rPr>
                <w:rFonts w:ascii="Times New Roman" w:hAnsi="Times New Roman" w:cs="Times New Roman"/>
                <w:color w:val="auto"/>
                <w:sz w:val="22"/>
                <w:szCs w:val="22"/>
              </w:rPr>
            </w:pPr>
            <w:r w:rsidRPr="00201DEC">
              <w:rPr>
                <w:rFonts w:ascii="Times New Roman" w:hAnsi="Times New Roman" w:cs="Times New Roman"/>
                <w:b/>
                <w:bCs/>
                <w:color w:val="auto"/>
                <w:sz w:val="22"/>
                <w:szCs w:val="22"/>
              </w:rPr>
              <w:t>Efter det offentliga samrådet ska det läggas fram ett förslag till pelare för sociala rätti</w:t>
            </w:r>
            <w:r w:rsidRPr="00201DEC">
              <w:rPr>
                <w:rFonts w:ascii="Times New Roman" w:hAnsi="Times New Roman" w:cs="Times New Roman"/>
                <w:b/>
                <w:bCs/>
                <w:color w:val="auto"/>
                <w:sz w:val="22"/>
                <w:szCs w:val="22"/>
              </w:rPr>
              <w:t>g</w:t>
            </w:r>
            <w:r w:rsidRPr="00201DEC">
              <w:rPr>
                <w:rFonts w:ascii="Times New Roman" w:hAnsi="Times New Roman" w:cs="Times New Roman"/>
                <w:b/>
                <w:bCs/>
                <w:color w:val="auto"/>
                <w:sz w:val="22"/>
                <w:szCs w:val="22"/>
              </w:rPr>
              <w:t xml:space="preserve">heter </w:t>
            </w:r>
            <w:r w:rsidRPr="00201DEC">
              <w:rPr>
                <w:rFonts w:ascii="Times New Roman" w:hAnsi="Times New Roman" w:cs="Times New Roman"/>
                <w:color w:val="auto"/>
                <w:sz w:val="22"/>
                <w:szCs w:val="22"/>
              </w:rPr>
              <w:t xml:space="preserve">(första kvartalet 2017) </w:t>
            </w:r>
            <w:r w:rsidRPr="00201DEC">
              <w:rPr>
                <w:rFonts w:ascii="Times New Roman" w:hAnsi="Times New Roman" w:cs="Times New Roman"/>
                <w:b/>
                <w:bCs/>
                <w:color w:val="auto"/>
                <w:sz w:val="22"/>
                <w:szCs w:val="22"/>
              </w:rPr>
              <w:t xml:space="preserve">med relaterade initiativ, t.ex. om balans mellan arbete och privatliv för arbetande familjer </w:t>
            </w:r>
            <w:r w:rsidRPr="00201DEC">
              <w:rPr>
                <w:rFonts w:ascii="Times New Roman" w:hAnsi="Times New Roman" w:cs="Times New Roman"/>
                <w:color w:val="auto"/>
                <w:sz w:val="22"/>
                <w:szCs w:val="22"/>
              </w:rPr>
              <w:t>(lagstif</w:t>
            </w:r>
            <w:r w:rsidRPr="00201DEC">
              <w:rPr>
                <w:rFonts w:ascii="Times New Roman" w:hAnsi="Times New Roman" w:cs="Times New Roman"/>
                <w:color w:val="auto"/>
                <w:sz w:val="22"/>
                <w:szCs w:val="22"/>
              </w:rPr>
              <w:t>t</w:t>
            </w:r>
            <w:r w:rsidRPr="00201DEC">
              <w:rPr>
                <w:rFonts w:ascii="Times New Roman" w:hAnsi="Times New Roman" w:cs="Times New Roman"/>
                <w:color w:val="auto"/>
                <w:sz w:val="22"/>
                <w:szCs w:val="22"/>
              </w:rPr>
              <w:t>ning/icke-lagstiftning, inkl. konsekvensb</w:t>
            </w:r>
            <w:r w:rsidRPr="00201DEC">
              <w:rPr>
                <w:rFonts w:ascii="Times New Roman" w:hAnsi="Times New Roman" w:cs="Times New Roman"/>
                <w:color w:val="auto"/>
                <w:sz w:val="22"/>
                <w:szCs w:val="22"/>
              </w:rPr>
              <w:t>e</w:t>
            </w:r>
            <w:r w:rsidRPr="00201DEC">
              <w:rPr>
                <w:rFonts w:ascii="Times New Roman" w:hAnsi="Times New Roman" w:cs="Times New Roman"/>
                <w:color w:val="auto"/>
                <w:sz w:val="22"/>
                <w:szCs w:val="22"/>
              </w:rPr>
              <w:t>dömning, artiklarna 153 och 157 i EUF-fördraget)</w:t>
            </w:r>
            <w:r w:rsidRPr="00201DEC">
              <w:rPr>
                <w:rFonts w:ascii="Times New Roman" w:hAnsi="Times New Roman" w:cs="Times New Roman"/>
                <w:b/>
                <w:bCs/>
                <w:color w:val="auto"/>
                <w:sz w:val="22"/>
                <w:szCs w:val="22"/>
              </w:rPr>
              <w:t xml:space="preserve">, om tillgång till socialt skydd </w:t>
            </w:r>
            <w:r w:rsidRPr="00201DEC">
              <w:rPr>
                <w:rFonts w:ascii="Times New Roman" w:hAnsi="Times New Roman" w:cs="Times New Roman"/>
                <w:color w:val="auto"/>
                <w:sz w:val="22"/>
                <w:szCs w:val="22"/>
              </w:rPr>
              <w:t>(la</w:t>
            </w:r>
            <w:r w:rsidRPr="00201DEC">
              <w:rPr>
                <w:rFonts w:ascii="Times New Roman" w:hAnsi="Times New Roman" w:cs="Times New Roman"/>
                <w:color w:val="auto"/>
                <w:sz w:val="22"/>
                <w:szCs w:val="22"/>
              </w:rPr>
              <w:t>g</w:t>
            </w:r>
            <w:r w:rsidRPr="00201DEC">
              <w:rPr>
                <w:rFonts w:ascii="Times New Roman" w:hAnsi="Times New Roman" w:cs="Times New Roman"/>
                <w:color w:val="auto"/>
                <w:sz w:val="22"/>
                <w:szCs w:val="22"/>
              </w:rPr>
              <w:t>stiftning/icke-lagstiftning, inkl. konsekvensb</w:t>
            </w:r>
            <w:r w:rsidRPr="00201DEC">
              <w:rPr>
                <w:rFonts w:ascii="Times New Roman" w:hAnsi="Times New Roman" w:cs="Times New Roman"/>
                <w:color w:val="auto"/>
                <w:sz w:val="22"/>
                <w:szCs w:val="22"/>
              </w:rPr>
              <w:t>e</w:t>
            </w:r>
            <w:r w:rsidRPr="00201DEC">
              <w:rPr>
                <w:rFonts w:ascii="Times New Roman" w:hAnsi="Times New Roman" w:cs="Times New Roman"/>
                <w:color w:val="auto"/>
                <w:sz w:val="22"/>
                <w:szCs w:val="22"/>
              </w:rPr>
              <w:t>dömning, artiklarna 153 och 292)</w:t>
            </w:r>
            <w:r w:rsidRPr="00201DEC">
              <w:rPr>
                <w:rFonts w:ascii="Times New Roman" w:hAnsi="Times New Roman" w:cs="Times New Roman"/>
                <w:b/>
                <w:bCs/>
                <w:color w:val="auto"/>
                <w:sz w:val="22"/>
                <w:szCs w:val="22"/>
              </w:rPr>
              <w:t>, om ti</w:t>
            </w:r>
            <w:r w:rsidRPr="00201DEC">
              <w:rPr>
                <w:rFonts w:ascii="Times New Roman" w:hAnsi="Times New Roman" w:cs="Times New Roman"/>
                <w:b/>
                <w:bCs/>
                <w:color w:val="auto"/>
                <w:sz w:val="22"/>
                <w:szCs w:val="22"/>
              </w:rPr>
              <w:t>l</w:t>
            </w:r>
            <w:r w:rsidRPr="00201DEC">
              <w:rPr>
                <w:rFonts w:ascii="Times New Roman" w:hAnsi="Times New Roman" w:cs="Times New Roman"/>
                <w:b/>
                <w:bCs/>
                <w:color w:val="auto"/>
                <w:sz w:val="22"/>
                <w:szCs w:val="22"/>
              </w:rPr>
              <w:t xml:space="preserve">lämpning av arbetstidsdirektivet </w:t>
            </w:r>
            <w:r w:rsidRPr="00201DEC">
              <w:rPr>
                <w:rFonts w:ascii="Times New Roman" w:hAnsi="Times New Roman" w:cs="Times New Roman"/>
                <w:color w:val="auto"/>
                <w:sz w:val="22"/>
                <w:szCs w:val="22"/>
              </w:rPr>
              <w:t xml:space="preserve">(icke-lagstiftning) </w:t>
            </w:r>
            <w:r w:rsidRPr="00201DEC">
              <w:rPr>
                <w:rFonts w:ascii="Times New Roman" w:hAnsi="Times New Roman" w:cs="Times New Roman"/>
                <w:b/>
                <w:bCs/>
                <w:color w:val="auto"/>
                <w:sz w:val="22"/>
                <w:szCs w:val="22"/>
              </w:rPr>
              <w:t>samt en Refit</w:t>
            </w:r>
            <w:r w:rsidR="00AD1AED" w:rsidRPr="00201DEC">
              <w:rPr>
                <w:rFonts w:ascii="Times New Roman" w:hAnsi="Times New Roman" w:cs="Times New Roman"/>
                <w:b/>
                <w:bCs/>
                <w:color w:val="auto"/>
                <w:sz w:val="22"/>
                <w:szCs w:val="22"/>
              </w:rPr>
              <w:t>-</w:t>
            </w:r>
            <w:r w:rsidRPr="00201DEC">
              <w:rPr>
                <w:rFonts w:ascii="Times New Roman" w:hAnsi="Times New Roman" w:cs="Times New Roman"/>
                <w:b/>
                <w:bCs/>
                <w:color w:val="auto"/>
                <w:sz w:val="22"/>
                <w:szCs w:val="22"/>
              </w:rPr>
              <w:t>översyn av dire</w:t>
            </w:r>
            <w:r w:rsidRPr="00201DEC">
              <w:rPr>
                <w:rFonts w:ascii="Times New Roman" w:hAnsi="Times New Roman" w:cs="Times New Roman"/>
                <w:b/>
                <w:bCs/>
                <w:color w:val="auto"/>
                <w:sz w:val="22"/>
                <w:szCs w:val="22"/>
              </w:rPr>
              <w:t>k</w:t>
            </w:r>
            <w:r w:rsidRPr="00201DEC">
              <w:rPr>
                <w:rFonts w:ascii="Times New Roman" w:hAnsi="Times New Roman" w:cs="Times New Roman"/>
                <w:b/>
                <w:bCs/>
                <w:color w:val="auto"/>
                <w:sz w:val="22"/>
                <w:szCs w:val="22"/>
              </w:rPr>
              <w:t>tivet om skriftlig information som stadgar om arbetsgivarens plikt att informera a</w:t>
            </w:r>
            <w:r w:rsidRPr="00201DEC">
              <w:rPr>
                <w:rFonts w:ascii="Times New Roman" w:hAnsi="Times New Roman" w:cs="Times New Roman"/>
                <w:b/>
                <w:bCs/>
                <w:color w:val="auto"/>
                <w:sz w:val="22"/>
                <w:szCs w:val="22"/>
              </w:rPr>
              <w:t>r</w:t>
            </w:r>
            <w:r w:rsidRPr="00201DEC">
              <w:rPr>
                <w:rFonts w:ascii="Times New Roman" w:hAnsi="Times New Roman" w:cs="Times New Roman"/>
                <w:b/>
                <w:bCs/>
                <w:color w:val="auto"/>
                <w:sz w:val="22"/>
                <w:szCs w:val="22"/>
              </w:rPr>
              <w:t>betstagarna om villkoren för anställning</w:t>
            </w:r>
            <w:r w:rsidRPr="00201DEC">
              <w:rPr>
                <w:rFonts w:ascii="Times New Roman" w:hAnsi="Times New Roman" w:cs="Times New Roman"/>
                <w:b/>
                <w:bCs/>
                <w:color w:val="auto"/>
                <w:sz w:val="22"/>
                <w:szCs w:val="22"/>
              </w:rPr>
              <w:t>s</w:t>
            </w:r>
            <w:r w:rsidRPr="00201DEC">
              <w:rPr>
                <w:rFonts w:ascii="Times New Roman" w:hAnsi="Times New Roman" w:cs="Times New Roman"/>
                <w:b/>
                <w:bCs/>
                <w:color w:val="auto"/>
                <w:sz w:val="22"/>
                <w:szCs w:val="22"/>
              </w:rPr>
              <w:t xml:space="preserve">kontraktet eller anställningsförhållandet </w:t>
            </w:r>
            <w:r w:rsidRPr="00201DEC">
              <w:rPr>
                <w:rFonts w:ascii="Times New Roman" w:hAnsi="Times New Roman" w:cs="Times New Roman"/>
                <w:color w:val="auto"/>
                <w:sz w:val="22"/>
                <w:szCs w:val="22"/>
              </w:rPr>
              <w:t>(lagstiftning, inkl. konsekvensbedömning, a</w:t>
            </w:r>
            <w:r w:rsidRPr="00201DEC">
              <w:rPr>
                <w:rFonts w:ascii="Times New Roman" w:hAnsi="Times New Roman" w:cs="Times New Roman"/>
                <w:color w:val="auto"/>
                <w:sz w:val="22"/>
                <w:szCs w:val="22"/>
              </w:rPr>
              <w:t>r</w:t>
            </w:r>
            <w:r w:rsidRPr="00201DEC">
              <w:rPr>
                <w:rFonts w:ascii="Times New Roman" w:hAnsi="Times New Roman" w:cs="Times New Roman"/>
                <w:color w:val="auto"/>
                <w:sz w:val="22"/>
                <w:szCs w:val="22"/>
              </w:rPr>
              <w:t>tiklarna 153.1 b och 154 i EUF-fördraget)</w:t>
            </w:r>
            <w:r w:rsidRPr="00201DEC">
              <w:rPr>
                <w:rFonts w:ascii="Times New Roman" w:hAnsi="Times New Roman" w:cs="Times New Roman"/>
                <w:b/>
                <w:bCs/>
                <w:color w:val="auto"/>
                <w:sz w:val="22"/>
                <w:szCs w:val="22"/>
              </w:rPr>
              <w:t xml:space="preserve">. </w:t>
            </w:r>
          </w:p>
          <w:p w:rsidR="00C61EE5" w:rsidRPr="00201DEC" w:rsidRDefault="00C61EE5" w:rsidP="00DF4B6F">
            <w:pPr>
              <w:pStyle w:val="ANormal"/>
              <w:rPr>
                <w:szCs w:val="22"/>
              </w:rPr>
            </w:pPr>
          </w:p>
        </w:tc>
      </w:tr>
      <w:tr w:rsidR="00C61EE5" w:rsidRPr="00866391" w:rsidTr="00DF4B6F">
        <w:tc>
          <w:tcPr>
            <w:tcW w:w="2410" w:type="dxa"/>
            <w:shd w:val="clear" w:color="auto" w:fill="auto"/>
          </w:tcPr>
          <w:p w:rsidR="00C61EE5" w:rsidRPr="00201DEC" w:rsidRDefault="00C61EE5" w:rsidP="004406DE">
            <w:pPr>
              <w:pStyle w:val="ANormal"/>
              <w:rPr>
                <w:b/>
                <w:szCs w:val="22"/>
              </w:rPr>
            </w:pPr>
          </w:p>
        </w:tc>
        <w:tc>
          <w:tcPr>
            <w:tcW w:w="4394" w:type="dxa"/>
            <w:shd w:val="clear" w:color="auto" w:fill="auto"/>
          </w:tcPr>
          <w:p w:rsidR="00C61EE5" w:rsidRPr="00201DEC" w:rsidRDefault="00C61EE5" w:rsidP="004406DE">
            <w:pPr>
              <w:pStyle w:val="ANormal"/>
              <w:rPr>
                <w:szCs w:val="22"/>
              </w:rPr>
            </w:pPr>
          </w:p>
        </w:tc>
      </w:tr>
      <w:tr w:rsidR="00682599" w:rsidRPr="00866391" w:rsidTr="00E505BD">
        <w:tc>
          <w:tcPr>
            <w:tcW w:w="6804" w:type="dxa"/>
            <w:gridSpan w:val="2"/>
            <w:shd w:val="clear" w:color="auto" w:fill="auto"/>
          </w:tcPr>
          <w:p w:rsidR="00682599" w:rsidRPr="00201DEC" w:rsidRDefault="00682599" w:rsidP="00B95E85">
            <w:pPr>
              <w:pStyle w:val="Default"/>
              <w:rPr>
                <w:rFonts w:ascii="Times New Roman" w:hAnsi="Times New Roman" w:cs="Times New Roman"/>
                <w:color w:val="auto"/>
                <w:sz w:val="22"/>
                <w:szCs w:val="22"/>
              </w:rPr>
            </w:pPr>
            <w:r w:rsidRPr="00201DEC">
              <w:rPr>
                <w:rFonts w:ascii="Times New Roman" w:hAnsi="Times New Roman" w:cs="Times New Roman"/>
                <w:b/>
                <w:bCs/>
                <w:color w:val="auto"/>
                <w:sz w:val="22"/>
                <w:szCs w:val="22"/>
              </w:rPr>
              <w:t xml:space="preserve">En union i demokratisk förändring </w:t>
            </w:r>
          </w:p>
          <w:p w:rsidR="00682599" w:rsidRPr="00201DEC" w:rsidRDefault="00682599" w:rsidP="004406DE">
            <w:pPr>
              <w:pStyle w:val="ANormal"/>
              <w:rPr>
                <w:szCs w:val="22"/>
              </w:rPr>
            </w:pPr>
          </w:p>
        </w:tc>
      </w:tr>
      <w:tr w:rsidR="00C61EE5" w:rsidRPr="00866391" w:rsidTr="00DF4B6F">
        <w:tc>
          <w:tcPr>
            <w:tcW w:w="2410" w:type="dxa"/>
            <w:shd w:val="clear" w:color="auto" w:fill="auto"/>
          </w:tcPr>
          <w:p w:rsidR="00F863C5" w:rsidRPr="00201DEC" w:rsidRDefault="00F863C5" w:rsidP="00F863C5">
            <w:pPr>
              <w:pStyle w:val="Default"/>
              <w:rPr>
                <w:rFonts w:ascii="Times New Roman" w:hAnsi="Times New Roman" w:cs="Times New Roman"/>
                <w:color w:val="auto"/>
                <w:sz w:val="22"/>
                <w:szCs w:val="22"/>
              </w:rPr>
            </w:pPr>
            <w:r w:rsidRPr="00201DEC">
              <w:rPr>
                <w:rFonts w:ascii="Times New Roman" w:hAnsi="Times New Roman" w:cs="Times New Roman"/>
                <w:b/>
                <w:bCs/>
                <w:color w:val="auto"/>
                <w:sz w:val="22"/>
                <w:szCs w:val="22"/>
              </w:rPr>
              <w:t>En mer strategisk i</w:t>
            </w:r>
            <w:r w:rsidRPr="00201DEC">
              <w:rPr>
                <w:rFonts w:ascii="Times New Roman" w:hAnsi="Times New Roman" w:cs="Times New Roman"/>
                <w:b/>
                <w:bCs/>
                <w:color w:val="auto"/>
                <w:sz w:val="22"/>
                <w:szCs w:val="22"/>
              </w:rPr>
              <w:t>n</w:t>
            </w:r>
            <w:r w:rsidRPr="00201DEC">
              <w:rPr>
                <w:rFonts w:ascii="Times New Roman" w:hAnsi="Times New Roman" w:cs="Times New Roman"/>
                <w:b/>
                <w:bCs/>
                <w:color w:val="auto"/>
                <w:sz w:val="22"/>
                <w:szCs w:val="22"/>
              </w:rPr>
              <w:t>ställning till tilläm</w:t>
            </w:r>
            <w:r w:rsidRPr="00201DEC">
              <w:rPr>
                <w:rFonts w:ascii="Times New Roman" w:hAnsi="Times New Roman" w:cs="Times New Roman"/>
                <w:b/>
                <w:bCs/>
                <w:color w:val="auto"/>
                <w:sz w:val="22"/>
                <w:szCs w:val="22"/>
              </w:rPr>
              <w:t>p</w:t>
            </w:r>
            <w:r w:rsidRPr="00201DEC">
              <w:rPr>
                <w:rFonts w:ascii="Times New Roman" w:hAnsi="Times New Roman" w:cs="Times New Roman"/>
                <w:b/>
                <w:bCs/>
                <w:color w:val="auto"/>
                <w:sz w:val="22"/>
                <w:szCs w:val="22"/>
              </w:rPr>
              <w:t xml:space="preserve">ningen av EU-rätten </w:t>
            </w:r>
          </w:p>
          <w:p w:rsidR="00F2264C" w:rsidRPr="00201DEC" w:rsidRDefault="00F2264C" w:rsidP="00F2264C">
            <w:pPr>
              <w:pStyle w:val="ANormal"/>
              <w:rPr>
                <w:szCs w:val="22"/>
              </w:rPr>
            </w:pPr>
            <w:r w:rsidRPr="00201DEC">
              <w:rPr>
                <w:szCs w:val="22"/>
              </w:rPr>
              <w:t>(nytt initiativ)</w:t>
            </w:r>
          </w:p>
          <w:p w:rsidR="00C61EE5" w:rsidRPr="00201DEC" w:rsidRDefault="00C61EE5" w:rsidP="00C61EE5">
            <w:pPr>
              <w:pStyle w:val="ANormal"/>
              <w:rPr>
                <w:szCs w:val="22"/>
              </w:rPr>
            </w:pPr>
          </w:p>
        </w:tc>
        <w:tc>
          <w:tcPr>
            <w:tcW w:w="4394" w:type="dxa"/>
            <w:shd w:val="clear" w:color="auto" w:fill="auto"/>
          </w:tcPr>
          <w:p w:rsidR="00F863C5" w:rsidRPr="00201DEC" w:rsidRDefault="00F863C5" w:rsidP="00F863C5">
            <w:pPr>
              <w:pStyle w:val="Default"/>
              <w:rPr>
                <w:rFonts w:ascii="Times New Roman" w:hAnsi="Times New Roman" w:cs="Times New Roman"/>
                <w:color w:val="auto"/>
                <w:sz w:val="22"/>
                <w:szCs w:val="22"/>
              </w:rPr>
            </w:pPr>
            <w:r w:rsidRPr="00201DEC">
              <w:rPr>
                <w:rFonts w:ascii="Times New Roman" w:hAnsi="Times New Roman" w:cs="Times New Roman"/>
                <w:b/>
                <w:bCs/>
                <w:color w:val="auto"/>
                <w:sz w:val="22"/>
                <w:szCs w:val="22"/>
              </w:rPr>
              <w:t>Åtgärder för att öka satsningarna på ti</w:t>
            </w:r>
            <w:r w:rsidRPr="00201DEC">
              <w:rPr>
                <w:rFonts w:ascii="Times New Roman" w:hAnsi="Times New Roman" w:cs="Times New Roman"/>
                <w:b/>
                <w:bCs/>
                <w:color w:val="auto"/>
                <w:sz w:val="22"/>
                <w:szCs w:val="22"/>
              </w:rPr>
              <w:t>l</w:t>
            </w:r>
            <w:r w:rsidRPr="00201DEC">
              <w:rPr>
                <w:rFonts w:ascii="Times New Roman" w:hAnsi="Times New Roman" w:cs="Times New Roman"/>
                <w:b/>
                <w:bCs/>
                <w:color w:val="auto"/>
                <w:sz w:val="22"/>
                <w:szCs w:val="22"/>
              </w:rPr>
              <w:t>lämpning, genomförande och genomdr</w:t>
            </w:r>
            <w:r w:rsidRPr="00201DEC">
              <w:rPr>
                <w:rFonts w:ascii="Times New Roman" w:hAnsi="Times New Roman" w:cs="Times New Roman"/>
                <w:b/>
                <w:bCs/>
                <w:color w:val="auto"/>
                <w:sz w:val="22"/>
                <w:szCs w:val="22"/>
              </w:rPr>
              <w:t>i</w:t>
            </w:r>
            <w:r w:rsidRPr="00201DEC">
              <w:rPr>
                <w:rFonts w:ascii="Times New Roman" w:hAnsi="Times New Roman" w:cs="Times New Roman"/>
                <w:b/>
                <w:bCs/>
                <w:color w:val="auto"/>
                <w:sz w:val="22"/>
                <w:szCs w:val="22"/>
              </w:rPr>
              <w:t xml:space="preserve">vande av EU-rätten </w:t>
            </w:r>
            <w:r w:rsidRPr="00201DEC">
              <w:rPr>
                <w:rFonts w:ascii="Times New Roman" w:hAnsi="Times New Roman" w:cs="Times New Roman"/>
                <w:color w:val="auto"/>
                <w:sz w:val="22"/>
                <w:szCs w:val="22"/>
              </w:rPr>
              <w:t xml:space="preserve">(icke-lagstiftning, fjärde kvartalet 2016) </w:t>
            </w:r>
            <w:r w:rsidRPr="00201DEC">
              <w:rPr>
                <w:rFonts w:ascii="Times New Roman" w:hAnsi="Times New Roman" w:cs="Times New Roman"/>
                <w:b/>
                <w:bCs/>
                <w:color w:val="auto"/>
                <w:sz w:val="22"/>
                <w:szCs w:val="22"/>
              </w:rPr>
              <w:t>enligt kommissionens prior</w:t>
            </w:r>
            <w:r w:rsidRPr="00201DEC">
              <w:rPr>
                <w:rFonts w:ascii="Times New Roman" w:hAnsi="Times New Roman" w:cs="Times New Roman"/>
                <w:b/>
                <w:bCs/>
                <w:color w:val="auto"/>
                <w:sz w:val="22"/>
                <w:szCs w:val="22"/>
              </w:rPr>
              <w:t>i</w:t>
            </w:r>
            <w:r w:rsidRPr="00201DEC">
              <w:rPr>
                <w:rFonts w:ascii="Times New Roman" w:hAnsi="Times New Roman" w:cs="Times New Roman"/>
                <w:b/>
                <w:bCs/>
                <w:color w:val="auto"/>
                <w:sz w:val="22"/>
                <w:szCs w:val="22"/>
              </w:rPr>
              <w:t>teringar, konkreta förslag för bättre ti</w:t>
            </w:r>
            <w:r w:rsidRPr="00201DEC">
              <w:rPr>
                <w:rFonts w:ascii="Times New Roman" w:hAnsi="Times New Roman" w:cs="Times New Roman"/>
                <w:b/>
                <w:bCs/>
                <w:color w:val="auto"/>
                <w:sz w:val="22"/>
                <w:szCs w:val="22"/>
              </w:rPr>
              <w:t>l</w:t>
            </w:r>
            <w:r w:rsidRPr="00201DEC">
              <w:rPr>
                <w:rFonts w:ascii="Times New Roman" w:hAnsi="Times New Roman" w:cs="Times New Roman"/>
                <w:b/>
                <w:bCs/>
                <w:color w:val="auto"/>
                <w:sz w:val="22"/>
                <w:szCs w:val="22"/>
              </w:rPr>
              <w:lastRenderedPageBreak/>
              <w:t>lämpning av reglerna för den inre mar</w:t>
            </w:r>
            <w:r w:rsidRPr="00201DEC">
              <w:rPr>
                <w:rFonts w:ascii="Times New Roman" w:hAnsi="Times New Roman" w:cs="Times New Roman"/>
                <w:b/>
                <w:bCs/>
                <w:color w:val="auto"/>
                <w:sz w:val="22"/>
                <w:szCs w:val="22"/>
              </w:rPr>
              <w:t>k</w:t>
            </w:r>
            <w:r w:rsidRPr="00201DEC">
              <w:rPr>
                <w:rFonts w:ascii="Times New Roman" w:hAnsi="Times New Roman" w:cs="Times New Roman"/>
                <w:b/>
                <w:bCs/>
                <w:color w:val="auto"/>
                <w:sz w:val="22"/>
                <w:szCs w:val="22"/>
              </w:rPr>
              <w:t xml:space="preserve">naden </w:t>
            </w:r>
            <w:r w:rsidRPr="00201DEC">
              <w:rPr>
                <w:rFonts w:ascii="Times New Roman" w:hAnsi="Times New Roman" w:cs="Times New Roman"/>
                <w:color w:val="auto"/>
                <w:sz w:val="22"/>
                <w:szCs w:val="22"/>
              </w:rPr>
              <w:t xml:space="preserve">(jfr punkt 6) </w:t>
            </w:r>
            <w:r w:rsidRPr="00201DEC">
              <w:rPr>
                <w:rFonts w:ascii="Times New Roman" w:hAnsi="Times New Roman" w:cs="Times New Roman"/>
                <w:b/>
                <w:bCs/>
                <w:color w:val="auto"/>
                <w:sz w:val="22"/>
                <w:szCs w:val="22"/>
              </w:rPr>
              <w:t>och Refit</w:t>
            </w:r>
            <w:r w:rsidR="00AD1AED" w:rsidRPr="00201DEC">
              <w:rPr>
                <w:rFonts w:ascii="Times New Roman" w:hAnsi="Times New Roman" w:cs="Times New Roman"/>
                <w:b/>
                <w:bCs/>
                <w:color w:val="auto"/>
                <w:sz w:val="22"/>
                <w:szCs w:val="22"/>
              </w:rPr>
              <w:t>-</w:t>
            </w:r>
            <w:r w:rsidRPr="00201DEC">
              <w:rPr>
                <w:rFonts w:ascii="Times New Roman" w:hAnsi="Times New Roman" w:cs="Times New Roman"/>
                <w:b/>
                <w:bCs/>
                <w:color w:val="auto"/>
                <w:sz w:val="22"/>
                <w:szCs w:val="22"/>
              </w:rPr>
              <w:t>initiativ för korrekt genomförande och genomdrivande av miljöreglerna, bl.a. garantier för att mi</w:t>
            </w:r>
            <w:r w:rsidRPr="00201DEC">
              <w:rPr>
                <w:rFonts w:ascii="Times New Roman" w:hAnsi="Times New Roman" w:cs="Times New Roman"/>
                <w:b/>
                <w:bCs/>
                <w:color w:val="auto"/>
                <w:sz w:val="22"/>
                <w:szCs w:val="22"/>
              </w:rPr>
              <w:t>l</w:t>
            </w:r>
            <w:r w:rsidRPr="00201DEC">
              <w:rPr>
                <w:rFonts w:ascii="Times New Roman" w:hAnsi="Times New Roman" w:cs="Times New Roman"/>
                <w:b/>
                <w:bCs/>
                <w:color w:val="auto"/>
                <w:sz w:val="22"/>
                <w:szCs w:val="22"/>
              </w:rPr>
              <w:t xml:space="preserve">jöreglerna följs </w:t>
            </w:r>
            <w:r w:rsidRPr="00201DEC">
              <w:rPr>
                <w:rFonts w:ascii="Times New Roman" w:hAnsi="Times New Roman" w:cs="Times New Roman"/>
                <w:color w:val="auto"/>
                <w:sz w:val="22"/>
                <w:szCs w:val="22"/>
              </w:rPr>
              <w:t>(icke-lagstiftning, tred</w:t>
            </w:r>
            <w:r w:rsidR="00AD1AED" w:rsidRPr="00201DEC">
              <w:rPr>
                <w:rFonts w:ascii="Times New Roman" w:hAnsi="Times New Roman" w:cs="Times New Roman"/>
                <w:color w:val="auto"/>
                <w:sz w:val="22"/>
                <w:szCs w:val="22"/>
              </w:rPr>
              <w:t>j</w:t>
            </w:r>
            <w:r w:rsidRPr="00201DEC">
              <w:rPr>
                <w:rFonts w:ascii="Times New Roman" w:hAnsi="Times New Roman" w:cs="Times New Roman"/>
                <w:color w:val="auto"/>
                <w:sz w:val="22"/>
                <w:szCs w:val="22"/>
              </w:rPr>
              <w:t>e kva</w:t>
            </w:r>
            <w:r w:rsidRPr="00201DEC">
              <w:rPr>
                <w:rFonts w:ascii="Times New Roman" w:hAnsi="Times New Roman" w:cs="Times New Roman"/>
                <w:color w:val="auto"/>
                <w:sz w:val="22"/>
                <w:szCs w:val="22"/>
              </w:rPr>
              <w:t>r</w:t>
            </w:r>
            <w:r w:rsidRPr="00201DEC">
              <w:rPr>
                <w:rFonts w:ascii="Times New Roman" w:hAnsi="Times New Roman" w:cs="Times New Roman"/>
                <w:color w:val="auto"/>
                <w:sz w:val="22"/>
                <w:szCs w:val="22"/>
              </w:rPr>
              <w:t>talet 2017)</w:t>
            </w:r>
            <w:r w:rsidRPr="00201DEC">
              <w:rPr>
                <w:rFonts w:ascii="Times New Roman" w:hAnsi="Times New Roman" w:cs="Times New Roman"/>
                <w:b/>
                <w:bCs/>
                <w:color w:val="auto"/>
                <w:sz w:val="22"/>
                <w:szCs w:val="22"/>
              </w:rPr>
              <w:t xml:space="preserve">, tillgång till rättsmedel </w:t>
            </w:r>
            <w:r w:rsidRPr="00201DEC">
              <w:rPr>
                <w:rFonts w:ascii="Times New Roman" w:hAnsi="Times New Roman" w:cs="Times New Roman"/>
                <w:color w:val="auto"/>
                <w:sz w:val="22"/>
                <w:szCs w:val="22"/>
              </w:rPr>
              <w:t xml:space="preserve">(icke-lagstiftning, första kvartalet 2017) </w:t>
            </w:r>
            <w:r w:rsidRPr="00201DEC">
              <w:rPr>
                <w:rFonts w:ascii="Times New Roman" w:hAnsi="Times New Roman" w:cs="Times New Roman"/>
                <w:b/>
                <w:bCs/>
                <w:color w:val="auto"/>
                <w:sz w:val="22"/>
                <w:szCs w:val="22"/>
              </w:rPr>
              <w:t>och öve</w:t>
            </w:r>
            <w:r w:rsidRPr="00201DEC">
              <w:rPr>
                <w:rFonts w:ascii="Times New Roman" w:hAnsi="Times New Roman" w:cs="Times New Roman"/>
                <w:b/>
                <w:bCs/>
                <w:color w:val="auto"/>
                <w:sz w:val="22"/>
                <w:szCs w:val="22"/>
              </w:rPr>
              <w:t>r</w:t>
            </w:r>
            <w:r w:rsidRPr="00201DEC">
              <w:rPr>
                <w:rFonts w:ascii="Times New Roman" w:hAnsi="Times New Roman" w:cs="Times New Roman"/>
                <w:b/>
                <w:bCs/>
                <w:color w:val="auto"/>
                <w:sz w:val="22"/>
                <w:szCs w:val="22"/>
              </w:rPr>
              <w:t xml:space="preserve">vakning, insyn och rapportering </w:t>
            </w:r>
            <w:r w:rsidRPr="00201DEC">
              <w:rPr>
                <w:rFonts w:ascii="Times New Roman" w:hAnsi="Times New Roman" w:cs="Times New Roman"/>
                <w:color w:val="auto"/>
                <w:sz w:val="22"/>
                <w:szCs w:val="22"/>
              </w:rPr>
              <w:t>(lagstif</w:t>
            </w:r>
            <w:r w:rsidRPr="00201DEC">
              <w:rPr>
                <w:rFonts w:ascii="Times New Roman" w:hAnsi="Times New Roman" w:cs="Times New Roman"/>
                <w:color w:val="auto"/>
                <w:sz w:val="22"/>
                <w:szCs w:val="22"/>
              </w:rPr>
              <w:t>t</w:t>
            </w:r>
            <w:r w:rsidRPr="00201DEC">
              <w:rPr>
                <w:rFonts w:ascii="Times New Roman" w:hAnsi="Times New Roman" w:cs="Times New Roman"/>
                <w:color w:val="auto"/>
                <w:sz w:val="22"/>
                <w:szCs w:val="22"/>
              </w:rPr>
              <w:t>ning/icke-lagstiftning, andra kvartalet 2017)</w:t>
            </w:r>
            <w:r w:rsidRPr="00201DEC">
              <w:rPr>
                <w:rFonts w:ascii="Times New Roman" w:hAnsi="Times New Roman" w:cs="Times New Roman"/>
                <w:b/>
                <w:bCs/>
                <w:color w:val="auto"/>
                <w:sz w:val="22"/>
                <w:szCs w:val="22"/>
              </w:rPr>
              <w:t xml:space="preserve">. </w:t>
            </w:r>
          </w:p>
          <w:p w:rsidR="00C61EE5" w:rsidRPr="00201DEC" w:rsidRDefault="00C61EE5" w:rsidP="00DF4B6F">
            <w:pPr>
              <w:pStyle w:val="ANormal"/>
              <w:rPr>
                <w:szCs w:val="22"/>
              </w:rPr>
            </w:pPr>
          </w:p>
        </w:tc>
      </w:tr>
      <w:tr w:rsidR="00C61EE5" w:rsidRPr="00866391" w:rsidTr="00DF4B6F">
        <w:tc>
          <w:tcPr>
            <w:tcW w:w="2410" w:type="dxa"/>
            <w:shd w:val="clear" w:color="auto" w:fill="auto"/>
          </w:tcPr>
          <w:p w:rsidR="00C61EE5" w:rsidRPr="00201DEC" w:rsidRDefault="00C61EE5" w:rsidP="004406DE">
            <w:pPr>
              <w:pStyle w:val="ANormal"/>
              <w:rPr>
                <w:b/>
                <w:szCs w:val="22"/>
              </w:rPr>
            </w:pPr>
          </w:p>
        </w:tc>
        <w:tc>
          <w:tcPr>
            <w:tcW w:w="4394" w:type="dxa"/>
            <w:shd w:val="clear" w:color="auto" w:fill="auto"/>
          </w:tcPr>
          <w:p w:rsidR="00C61EE5" w:rsidRPr="00201DEC" w:rsidRDefault="00C61EE5" w:rsidP="004406DE">
            <w:pPr>
              <w:pStyle w:val="ANormal"/>
              <w:rPr>
                <w:szCs w:val="22"/>
              </w:rPr>
            </w:pPr>
          </w:p>
        </w:tc>
      </w:tr>
      <w:tr w:rsidR="00682599" w:rsidRPr="00866391" w:rsidTr="00E505BD">
        <w:tc>
          <w:tcPr>
            <w:tcW w:w="6804" w:type="dxa"/>
            <w:gridSpan w:val="2"/>
            <w:shd w:val="clear" w:color="auto" w:fill="auto"/>
          </w:tcPr>
          <w:p w:rsidR="00682599" w:rsidRPr="00201DEC" w:rsidRDefault="00682599" w:rsidP="006B16A0">
            <w:pPr>
              <w:pStyle w:val="Default"/>
              <w:rPr>
                <w:rFonts w:ascii="Times New Roman" w:hAnsi="Times New Roman" w:cs="Times New Roman"/>
                <w:color w:val="auto"/>
                <w:sz w:val="22"/>
                <w:szCs w:val="22"/>
              </w:rPr>
            </w:pPr>
            <w:r w:rsidRPr="00201DEC">
              <w:rPr>
                <w:rFonts w:ascii="Times New Roman" w:hAnsi="Times New Roman" w:cs="Times New Roman"/>
                <w:b/>
                <w:bCs/>
                <w:color w:val="auto"/>
                <w:sz w:val="22"/>
                <w:szCs w:val="22"/>
              </w:rPr>
              <w:t xml:space="preserve">Handel: ett rimligt och balanserat frihandelsavtal med USA </w:t>
            </w:r>
          </w:p>
          <w:p w:rsidR="00682599" w:rsidRPr="00201DEC" w:rsidRDefault="00682599" w:rsidP="00DF4B6F">
            <w:pPr>
              <w:pStyle w:val="ANormal"/>
              <w:rPr>
                <w:szCs w:val="22"/>
              </w:rPr>
            </w:pPr>
          </w:p>
        </w:tc>
      </w:tr>
      <w:tr w:rsidR="00C61EE5" w:rsidRPr="00866391" w:rsidTr="00201DEC">
        <w:trPr>
          <w:trHeight w:val="3793"/>
        </w:trPr>
        <w:tc>
          <w:tcPr>
            <w:tcW w:w="2410" w:type="dxa"/>
            <w:shd w:val="clear" w:color="auto" w:fill="auto"/>
          </w:tcPr>
          <w:p w:rsidR="00267ECA" w:rsidRPr="00201DEC" w:rsidRDefault="00267ECA" w:rsidP="00267ECA">
            <w:pPr>
              <w:pStyle w:val="Default"/>
              <w:rPr>
                <w:rFonts w:ascii="Times New Roman" w:hAnsi="Times New Roman" w:cs="Times New Roman"/>
                <w:b/>
                <w:color w:val="auto"/>
                <w:sz w:val="22"/>
                <w:szCs w:val="22"/>
              </w:rPr>
            </w:pPr>
            <w:r w:rsidRPr="00201DEC">
              <w:rPr>
                <w:rFonts w:ascii="Times New Roman" w:hAnsi="Times New Roman" w:cs="Times New Roman"/>
                <w:b/>
                <w:color w:val="auto"/>
                <w:sz w:val="22"/>
                <w:szCs w:val="22"/>
              </w:rPr>
              <w:t xml:space="preserve">Snabb ratificering av frihandelsavtalet med Kanada (CETA) </w:t>
            </w:r>
          </w:p>
          <w:p w:rsidR="00C61EE5" w:rsidRPr="00201DEC" w:rsidRDefault="001F4EBE" w:rsidP="00201DEC">
            <w:pPr>
              <w:pStyle w:val="ANormal"/>
              <w:rPr>
                <w:b/>
                <w:szCs w:val="22"/>
              </w:rPr>
            </w:pPr>
            <w:r w:rsidRPr="00201DEC">
              <w:rPr>
                <w:szCs w:val="22"/>
              </w:rPr>
              <w:t>(prioriterade förslag u</w:t>
            </w:r>
            <w:r w:rsidRPr="00201DEC">
              <w:rPr>
                <w:szCs w:val="22"/>
              </w:rPr>
              <w:t>n</w:t>
            </w:r>
            <w:r w:rsidRPr="00201DEC">
              <w:rPr>
                <w:szCs w:val="22"/>
              </w:rPr>
              <w:t>der behandling)</w:t>
            </w:r>
          </w:p>
        </w:tc>
        <w:tc>
          <w:tcPr>
            <w:tcW w:w="4394" w:type="dxa"/>
            <w:shd w:val="clear" w:color="auto" w:fill="auto"/>
          </w:tcPr>
          <w:p w:rsidR="00201DEC" w:rsidRPr="00201DEC" w:rsidRDefault="00201DEC" w:rsidP="00201DEC">
            <w:pPr>
              <w:pStyle w:val="ANormal"/>
              <w:rPr>
                <w:szCs w:val="22"/>
              </w:rPr>
            </w:pPr>
            <w:r w:rsidRPr="00201DEC">
              <w:rPr>
                <w:szCs w:val="22"/>
              </w:rPr>
              <w:t xml:space="preserve">- Förslag till rådets beslut om ingående av det övergripande avtalet om ekonomi och handel mellan Kanada, å ena sidan, och Europeiska unionen och dess medlemsstater, å andra sidan </w:t>
            </w:r>
          </w:p>
          <w:p w:rsidR="00201DEC" w:rsidRPr="00201DEC" w:rsidRDefault="00201DEC" w:rsidP="00201DEC">
            <w:pPr>
              <w:pStyle w:val="ANormal"/>
              <w:rPr>
                <w:szCs w:val="22"/>
              </w:rPr>
            </w:pPr>
            <w:r w:rsidRPr="00201DEC">
              <w:rPr>
                <w:szCs w:val="22"/>
              </w:rPr>
              <w:t>- Förslag till rådets beslut om undertecknande på Europeiska unionens vägnar av det övergr</w:t>
            </w:r>
            <w:r w:rsidRPr="00201DEC">
              <w:rPr>
                <w:szCs w:val="22"/>
              </w:rPr>
              <w:t>i</w:t>
            </w:r>
            <w:r w:rsidRPr="00201DEC">
              <w:rPr>
                <w:szCs w:val="22"/>
              </w:rPr>
              <w:t xml:space="preserve">pande avtalet om ekonomi och handel mellan Kanada, å ena sidan, och Europeiska unionen och dess medlemsstater, å andra sidan </w:t>
            </w:r>
          </w:p>
          <w:p w:rsidR="00C61EE5" w:rsidRPr="00201DEC" w:rsidRDefault="00201DEC" w:rsidP="00201DEC">
            <w:pPr>
              <w:pStyle w:val="ANormal"/>
              <w:rPr>
                <w:szCs w:val="22"/>
              </w:rPr>
            </w:pPr>
            <w:r w:rsidRPr="00201DEC">
              <w:rPr>
                <w:szCs w:val="22"/>
              </w:rPr>
              <w:t>- Förslag till rådets beslut om provisorisk ti</w:t>
            </w:r>
            <w:r w:rsidRPr="00201DEC">
              <w:rPr>
                <w:szCs w:val="22"/>
              </w:rPr>
              <w:t>l</w:t>
            </w:r>
            <w:r w:rsidRPr="00201DEC">
              <w:rPr>
                <w:szCs w:val="22"/>
              </w:rPr>
              <w:t>lämpning av det övergripande avtalet om ek</w:t>
            </w:r>
            <w:r w:rsidRPr="00201DEC">
              <w:rPr>
                <w:szCs w:val="22"/>
              </w:rPr>
              <w:t>o</w:t>
            </w:r>
            <w:r w:rsidRPr="00201DEC">
              <w:rPr>
                <w:szCs w:val="22"/>
              </w:rPr>
              <w:t>nomi och handel mellan Kanada, å ena sidan, och Europeiska unionen och dess medlemsst</w:t>
            </w:r>
            <w:r w:rsidRPr="00201DEC">
              <w:rPr>
                <w:szCs w:val="22"/>
              </w:rPr>
              <w:t>a</w:t>
            </w:r>
            <w:r w:rsidRPr="00201DEC">
              <w:rPr>
                <w:szCs w:val="22"/>
              </w:rPr>
              <w:t>ter, å andra sidan</w:t>
            </w:r>
          </w:p>
        </w:tc>
      </w:tr>
      <w:tr w:rsidR="00C61EE5" w:rsidRPr="00866391" w:rsidTr="00DF4B6F">
        <w:tc>
          <w:tcPr>
            <w:tcW w:w="2410" w:type="dxa"/>
            <w:shd w:val="clear" w:color="auto" w:fill="auto"/>
          </w:tcPr>
          <w:p w:rsidR="00C61EE5" w:rsidRPr="00201DEC" w:rsidRDefault="00C61EE5" w:rsidP="00C61EE5">
            <w:pPr>
              <w:pStyle w:val="ANormal"/>
              <w:rPr>
                <w:szCs w:val="22"/>
              </w:rPr>
            </w:pPr>
          </w:p>
        </w:tc>
        <w:tc>
          <w:tcPr>
            <w:tcW w:w="4394" w:type="dxa"/>
            <w:shd w:val="clear" w:color="auto" w:fill="auto"/>
          </w:tcPr>
          <w:p w:rsidR="00C61EE5" w:rsidRPr="00201DEC" w:rsidRDefault="00C61EE5" w:rsidP="00D724D1">
            <w:pPr>
              <w:pStyle w:val="ANormal"/>
              <w:rPr>
                <w:szCs w:val="22"/>
              </w:rPr>
            </w:pPr>
          </w:p>
        </w:tc>
      </w:tr>
      <w:tr w:rsidR="00682599" w:rsidRPr="00866391" w:rsidTr="00E505BD">
        <w:tc>
          <w:tcPr>
            <w:tcW w:w="6804" w:type="dxa"/>
            <w:gridSpan w:val="2"/>
            <w:shd w:val="clear" w:color="auto" w:fill="auto"/>
          </w:tcPr>
          <w:p w:rsidR="00682599" w:rsidRPr="00201DEC" w:rsidRDefault="00682599" w:rsidP="0029192C">
            <w:pPr>
              <w:pStyle w:val="Default"/>
              <w:rPr>
                <w:rFonts w:ascii="Times New Roman" w:hAnsi="Times New Roman" w:cs="Times New Roman"/>
                <w:color w:val="auto"/>
                <w:sz w:val="22"/>
                <w:szCs w:val="22"/>
              </w:rPr>
            </w:pPr>
            <w:r w:rsidRPr="00201DEC">
              <w:rPr>
                <w:rFonts w:ascii="Times New Roman" w:hAnsi="Times New Roman" w:cs="Times New Roman"/>
                <w:b/>
                <w:bCs/>
                <w:color w:val="auto"/>
                <w:sz w:val="22"/>
                <w:szCs w:val="22"/>
              </w:rPr>
              <w:t xml:space="preserve">Ett område för rättvisa och grundläggande rättigheter som grundar sig på ömsesidigt förtroende </w:t>
            </w:r>
          </w:p>
          <w:p w:rsidR="00682599" w:rsidRPr="00201DEC" w:rsidRDefault="00682599" w:rsidP="004406DE">
            <w:pPr>
              <w:pStyle w:val="ANormal"/>
              <w:rPr>
                <w:szCs w:val="22"/>
              </w:rPr>
            </w:pPr>
          </w:p>
        </w:tc>
      </w:tr>
      <w:tr w:rsidR="00C61EE5" w:rsidRPr="00866391" w:rsidTr="00DF4B6F">
        <w:tc>
          <w:tcPr>
            <w:tcW w:w="2410" w:type="dxa"/>
            <w:shd w:val="clear" w:color="auto" w:fill="auto"/>
          </w:tcPr>
          <w:p w:rsidR="00DC198F" w:rsidRPr="00201DEC" w:rsidRDefault="00DC198F" w:rsidP="00DC198F">
            <w:pPr>
              <w:pStyle w:val="Default"/>
              <w:rPr>
                <w:rFonts w:ascii="Times New Roman" w:hAnsi="Times New Roman" w:cs="Times New Roman"/>
                <w:b/>
                <w:color w:val="auto"/>
                <w:sz w:val="22"/>
                <w:szCs w:val="22"/>
              </w:rPr>
            </w:pPr>
            <w:r w:rsidRPr="00201DEC">
              <w:rPr>
                <w:rFonts w:ascii="Times New Roman" w:hAnsi="Times New Roman" w:cs="Times New Roman"/>
                <w:b/>
                <w:color w:val="auto"/>
                <w:sz w:val="22"/>
                <w:szCs w:val="22"/>
              </w:rPr>
              <w:t xml:space="preserve">Vapendirektiv </w:t>
            </w:r>
          </w:p>
          <w:p w:rsidR="00C61EE5" w:rsidRPr="00201DEC" w:rsidRDefault="00DC198F" w:rsidP="00201DEC">
            <w:pPr>
              <w:pStyle w:val="ANormal"/>
              <w:rPr>
                <w:szCs w:val="22"/>
              </w:rPr>
            </w:pPr>
            <w:r w:rsidRPr="00201DEC">
              <w:rPr>
                <w:szCs w:val="22"/>
              </w:rPr>
              <w:t>(prioriterade förslag u</w:t>
            </w:r>
            <w:r w:rsidRPr="00201DEC">
              <w:rPr>
                <w:szCs w:val="22"/>
              </w:rPr>
              <w:t>n</w:t>
            </w:r>
            <w:r w:rsidRPr="00201DEC">
              <w:rPr>
                <w:szCs w:val="22"/>
              </w:rPr>
              <w:t>der behandling)</w:t>
            </w:r>
          </w:p>
        </w:tc>
        <w:tc>
          <w:tcPr>
            <w:tcW w:w="4394" w:type="dxa"/>
            <w:shd w:val="clear" w:color="auto" w:fill="auto"/>
          </w:tcPr>
          <w:p w:rsidR="00DC198F" w:rsidRPr="00201DEC" w:rsidRDefault="00DC198F" w:rsidP="00DC198F">
            <w:pPr>
              <w:pStyle w:val="Default"/>
              <w:rPr>
                <w:rFonts w:ascii="Times New Roman" w:hAnsi="Times New Roman" w:cs="Times New Roman"/>
                <w:color w:val="auto"/>
                <w:sz w:val="22"/>
                <w:szCs w:val="22"/>
              </w:rPr>
            </w:pPr>
            <w:r w:rsidRPr="00201DEC">
              <w:rPr>
                <w:rFonts w:ascii="Times New Roman" w:hAnsi="Times New Roman" w:cs="Times New Roman"/>
                <w:color w:val="auto"/>
                <w:sz w:val="22"/>
                <w:szCs w:val="22"/>
              </w:rPr>
              <w:t>Förslag till E</w:t>
            </w:r>
            <w:r w:rsidR="00201DEC" w:rsidRPr="00201DEC">
              <w:rPr>
                <w:rFonts w:ascii="Times New Roman" w:hAnsi="Times New Roman" w:cs="Times New Roman"/>
                <w:color w:val="auto"/>
                <w:sz w:val="22"/>
                <w:szCs w:val="22"/>
              </w:rPr>
              <w:t>uropaparlamentets och rådets d</w:t>
            </w:r>
            <w:r w:rsidR="00201DEC" w:rsidRPr="00201DEC">
              <w:rPr>
                <w:rFonts w:ascii="Times New Roman" w:hAnsi="Times New Roman" w:cs="Times New Roman"/>
                <w:color w:val="auto"/>
                <w:sz w:val="22"/>
                <w:szCs w:val="22"/>
              </w:rPr>
              <w:t>i</w:t>
            </w:r>
            <w:r w:rsidR="00201DEC" w:rsidRPr="00201DEC">
              <w:rPr>
                <w:rFonts w:ascii="Times New Roman" w:hAnsi="Times New Roman" w:cs="Times New Roman"/>
                <w:color w:val="auto"/>
                <w:sz w:val="22"/>
                <w:szCs w:val="22"/>
              </w:rPr>
              <w:t xml:space="preserve">rektiv </w:t>
            </w:r>
            <w:r w:rsidRPr="00201DEC">
              <w:rPr>
                <w:rFonts w:ascii="Times New Roman" w:hAnsi="Times New Roman" w:cs="Times New Roman"/>
                <w:color w:val="auto"/>
                <w:sz w:val="22"/>
                <w:szCs w:val="22"/>
              </w:rPr>
              <w:t>om ändring av rådets direktiv 91/477/EEG om kontroll av förvärv och inn</w:t>
            </w:r>
            <w:r w:rsidRPr="00201DEC">
              <w:rPr>
                <w:rFonts w:ascii="Times New Roman" w:hAnsi="Times New Roman" w:cs="Times New Roman"/>
                <w:color w:val="auto"/>
                <w:sz w:val="22"/>
                <w:szCs w:val="22"/>
              </w:rPr>
              <w:t>e</w:t>
            </w:r>
            <w:r w:rsidRPr="00201DEC">
              <w:rPr>
                <w:rFonts w:ascii="Times New Roman" w:hAnsi="Times New Roman" w:cs="Times New Roman"/>
                <w:color w:val="auto"/>
                <w:sz w:val="22"/>
                <w:szCs w:val="22"/>
              </w:rPr>
              <w:t xml:space="preserve">hav av vapen </w:t>
            </w:r>
          </w:p>
          <w:p w:rsidR="00C61EE5" w:rsidRPr="00201DEC" w:rsidRDefault="00C61EE5" w:rsidP="00F83674">
            <w:pPr>
              <w:pStyle w:val="ANormal"/>
              <w:rPr>
                <w:szCs w:val="22"/>
              </w:rPr>
            </w:pPr>
          </w:p>
        </w:tc>
      </w:tr>
    </w:tbl>
    <w:p w:rsidR="009437B7" w:rsidRDefault="009437B7" w:rsidP="00DA55F4">
      <w:pPr>
        <w:pStyle w:val="Rubrik2"/>
        <w:numPr>
          <w:ilvl w:val="1"/>
          <w:numId w:val="4"/>
        </w:numPr>
      </w:pPr>
    </w:p>
    <w:p w:rsidR="00DA55F4" w:rsidRPr="00531A6D" w:rsidRDefault="00DA55F4" w:rsidP="00DA55F4">
      <w:pPr>
        <w:pStyle w:val="Rubrik2"/>
        <w:numPr>
          <w:ilvl w:val="1"/>
          <w:numId w:val="4"/>
        </w:numPr>
      </w:pPr>
      <w:bookmarkStart w:id="168" w:name="_Toc477424006"/>
      <w:r w:rsidRPr="00D25B3B">
        <w:t>3.4 Landskapets arbete med EU-ärenden</w:t>
      </w:r>
      <w:r w:rsidRPr="00531A6D">
        <w:t xml:space="preserve"> år 2016</w:t>
      </w:r>
      <w:bookmarkEnd w:id="168"/>
    </w:p>
    <w:p w:rsidR="00DA55F4" w:rsidRPr="00D25B3B" w:rsidRDefault="00DA55F4" w:rsidP="00DA55F4">
      <w:r w:rsidRPr="00531A6D">
        <w:t>I det här kapitlet sammanfattas landskapsregeringens arbete med EU-ärenden under år 2016</w:t>
      </w:r>
      <w:r w:rsidRPr="007C1233">
        <w:t>. I kapitel 3.2 behandlades</w:t>
      </w:r>
      <w:r w:rsidRPr="00531A6D">
        <w:t xml:space="preserve"> de prioriteringar som </w:t>
      </w:r>
      <w:r w:rsidRPr="00D25B3B">
        <w:t>landskapsregeringen gjort i de frågor där Åland inte enbart ska lägga resu</w:t>
      </w:r>
      <w:r w:rsidRPr="00D25B3B">
        <w:t>r</w:t>
      </w:r>
      <w:r w:rsidRPr="00D25B3B">
        <w:t>ser på att genomföra befintlig EU-lagstiftning, utan försöka påverka EU:s initiativ till lagstiftning. Nedan behandlas EU-lags</w:t>
      </w:r>
      <w:r w:rsidR="008D03A6">
        <w:t>tiftning som kommit</w:t>
      </w:r>
      <w:r w:rsidRPr="00D25B3B">
        <w:t xml:space="preserve"> i sådana frågor som landskapsregeringen prioriterat och där man försökt p</w:t>
      </w:r>
      <w:r w:rsidRPr="00D25B3B">
        <w:t>å</w:t>
      </w:r>
      <w:r w:rsidRPr="00D25B3B">
        <w:t>verka den kommande lagstiftningen.</w:t>
      </w:r>
    </w:p>
    <w:p w:rsidR="00DA55F4" w:rsidRPr="00D25B3B" w:rsidRDefault="00DA55F4" w:rsidP="00DA55F4">
      <w:pPr>
        <w:pStyle w:val="Rubrik3"/>
        <w:numPr>
          <w:ilvl w:val="2"/>
          <w:numId w:val="4"/>
        </w:numPr>
      </w:pPr>
      <w:bookmarkStart w:id="169" w:name="_Toc410897686"/>
      <w:bookmarkStart w:id="170" w:name="_Toc412712703"/>
      <w:bookmarkStart w:id="171" w:name="_Toc442442870"/>
      <w:bookmarkStart w:id="172" w:name="_Toc477424007"/>
      <w:r w:rsidRPr="00D25B3B">
        <w:t>3.4.1 Beredningen av EU-lagstiftning inom landskapet</w:t>
      </w:r>
      <w:bookmarkEnd w:id="169"/>
      <w:bookmarkEnd w:id="170"/>
      <w:bookmarkEnd w:id="171"/>
      <w:bookmarkEnd w:id="172"/>
    </w:p>
    <w:p w:rsidR="00DA55F4" w:rsidRPr="00A246B5" w:rsidRDefault="00DA55F4" w:rsidP="00DA55F4">
      <w:r w:rsidRPr="00D25B3B">
        <w:t>Inom EU har kommissionen ensamrätt på att initiera nya lagstiftningsakter. Kommissionsinitiativen (även kallade kommissionsförslag) innefattar dock även annat än initiativ till lagstiftning, till exempel olika typer av me</w:t>
      </w:r>
      <w:r w:rsidRPr="00D25B3B">
        <w:t>d</w:t>
      </w:r>
      <w:r w:rsidRPr="00D25B3B">
        <w:t>delanden samt grön-</w:t>
      </w:r>
      <w:r w:rsidRPr="00A246B5">
        <w:t xml:space="preserve"> och vitböcker. Således är det långt ifrån alla initiativ som föranleder beredning vid landskapsregeringen. </w:t>
      </w:r>
    </w:p>
    <w:p w:rsidR="00DA55F4" w:rsidRPr="00A246B5" w:rsidRDefault="00DA55F4" w:rsidP="00DA55F4"/>
    <w:p w:rsidR="00DA55F4" w:rsidRPr="00A246B5" w:rsidRDefault="00DA55F4" w:rsidP="00DA55F4">
      <w:pPr>
        <w:pStyle w:val="ANormal"/>
        <w:rPr>
          <w:b/>
        </w:rPr>
      </w:pPr>
      <w:r w:rsidRPr="00A246B5">
        <w:rPr>
          <w:b/>
        </w:rPr>
        <w:t>Tabell 2. Beredningen av kommissionsinitiativ 2016</w:t>
      </w:r>
    </w:p>
    <w:p w:rsidR="00DA55F4" w:rsidRPr="00C00149" w:rsidRDefault="00DA55F4" w:rsidP="00DA55F4"/>
    <w:tbl>
      <w:tblPr>
        <w:tblW w:w="4878"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02"/>
        <w:gridCol w:w="993"/>
        <w:gridCol w:w="1134"/>
        <w:gridCol w:w="1134"/>
      </w:tblGrid>
      <w:tr w:rsidR="00DA55F4" w:rsidRPr="00C00149" w:rsidTr="007E2986">
        <w:trPr>
          <w:trHeight w:val="20"/>
        </w:trPr>
        <w:tc>
          <w:tcPr>
            <w:tcW w:w="2553" w:type="pct"/>
            <w:shd w:val="clear" w:color="auto" w:fill="A6A6A6"/>
          </w:tcPr>
          <w:p w:rsidR="00DA55F4" w:rsidRPr="00C00149" w:rsidRDefault="00DA55F4" w:rsidP="007E2986"/>
        </w:tc>
        <w:tc>
          <w:tcPr>
            <w:tcW w:w="745" w:type="pct"/>
            <w:shd w:val="clear" w:color="auto" w:fill="A6A6A6"/>
            <w:vAlign w:val="center"/>
          </w:tcPr>
          <w:p w:rsidR="00DA55F4" w:rsidRPr="00C00149" w:rsidRDefault="00DA55F4" w:rsidP="007E2986">
            <w:pPr>
              <w:jc w:val="center"/>
              <w:rPr>
                <w:b/>
                <w:bCs/>
              </w:rPr>
            </w:pPr>
            <w:r w:rsidRPr="00C00149">
              <w:rPr>
                <w:b/>
                <w:bCs/>
              </w:rPr>
              <w:t>2016</w:t>
            </w:r>
          </w:p>
        </w:tc>
        <w:tc>
          <w:tcPr>
            <w:tcW w:w="851" w:type="pct"/>
            <w:shd w:val="clear" w:color="auto" w:fill="A6A6A6"/>
            <w:vAlign w:val="center"/>
          </w:tcPr>
          <w:p w:rsidR="00DA55F4" w:rsidRPr="00C00149" w:rsidRDefault="00DA55F4" w:rsidP="007E2986">
            <w:pPr>
              <w:jc w:val="center"/>
              <w:rPr>
                <w:b/>
                <w:bCs/>
              </w:rPr>
            </w:pPr>
            <w:r w:rsidRPr="00C00149">
              <w:rPr>
                <w:b/>
                <w:bCs/>
              </w:rPr>
              <w:t>2015</w:t>
            </w:r>
          </w:p>
        </w:tc>
        <w:tc>
          <w:tcPr>
            <w:tcW w:w="851" w:type="pct"/>
            <w:shd w:val="clear" w:color="auto" w:fill="A6A6A6"/>
            <w:vAlign w:val="center"/>
          </w:tcPr>
          <w:p w:rsidR="00DA55F4" w:rsidRPr="00C00149" w:rsidRDefault="00DA55F4" w:rsidP="007E2986">
            <w:pPr>
              <w:jc w:val="center"/>
              <w:rPr>
                <w:b/>
                <w:bCs/>
              </w:rPr>
            </w:pPr>
            <w:r w:rsidRPr="00C00149">
              <w:rPr>
                <w:b/>
                <w:bCs/>
              </w:rPr>
              <w:t>2014</w:t>
            </w:r>
          </w:p>
        </w:tc>
      </w:tr>
      <w:tr w:rsidR="00DA55F4" w:rsidRPr="00C00149" w:rsidTr="007E2986">
        <w:tc>
          <w:tcPr>
            <w:tcW w:w="2553" w:type="pct"/>
          </w:tcPr>
          <w:p w:rsidR="00DA55F4" w:rsidRPr="00C00149" w:rsidRDefault="00DA55F4" w:rsidP="007E2986">
            <w:r w:rsidRPr="00C00149">
              <w:t>Deltagande i kommissionens konsu</w:t>
            </w:r>
            <w:r w:rsidRPr="00C00149">
              <w:t>l</w:t>
            </w:r>
            <w:r w:rsidRPr="00C00149">
              <w:t>tationer</w:t>
            </w:r>
          </w:p>
        </w:tc>
        <w:tc>
          <w:tcPr>
            <w:tcW w:w="745" w:type="pct"/>
            <w:vAlign w:val="center"/>
          </w:tcPr>
          <w:p w:rsidR="00DA55F4" w:rsidRPr="00C00149" w:rsidRDefault="00DA55F4" w:rsidP="007E2986">
            <w:pPr>
              <w:jc w:val="center"/>
            </w:pPr>
            <w:r w:rsidRPr="00C00149">
              <w:t>5 st</w:t>
            </w:r>
          </w:p>
        </w:tc>
        <w:tc>
          <w:tcPr>
            <w:tcW w:w="851" w:type="pct"/>
            <w:vAlign w:val="center"/>
          </w:tcPr>
          <w:p w:rsidR="00DA55F4" w:rsidRPr="00C00149" w:rsidRDefault="00DA55F4" w:rsidP="007E2986">
            <w:pPr>
              <w:jc w:val="center"/>
            </w:pPr>
            <w:r w:rsidRPr="00C00149">
              <w:t>5 st</w:t>
            </w:r>
          </w:p>
        </w:tc>
        <w:tc>
          <w:tcPr>
            <w:tcW w:w="851" w:type="pct"/>
            <w:vAlign w:val="center"/>
          </w:tcPr>
          <w:p w:rsidR="00DA55F4" w:rsidRPr="00C00149" w:rsidRDefault="00DA55F4" w:rsidP="007E2986">
            <w:pPr>
              <w:jc w:val="center"/>
            </w:pPr>
            <w:r w:rsidRPr="00C00149">
              <w:t>6 st</w:t>
            </w:r>
          </w:p>
        </w:tc>
      </w:tr>
      <w:tr w:rsidR="00DA55F4" w:rsidRPr="00C00149" w:rsidTr="007E2986">
        <w:tc>
          <w:tcPr>
            <w:tcW w:w="2553" w:type="pct"/>
          </w:tcPr>
          <w:p w:rsidR="00DA55F4" w:rsidRPr="00C00149" w:rsidRDefault="00DA55F4" w:rsidP="007E2986">
            <w:r w:rsidRPr="00C00149">
              <w:t>Inkomna kommissionsinitiativ</w:t>
            </w:r>
          </w:p>
        </w:tc>
        <w:tc>
          <w:tcPr>
            <w:tcW w:w="745" w:type="pct"/>
            <w:vAlign w:val="center"/>
          </w:tcPr>
          <w:p w:rsidR="00DA55F4" w:rsidRPr="00C00149" w:rsidRDefault="00DA55F4" w:rsidP="007E2986">
            <w:pPr>
              <w:jc w:val="center"/>
            </w:pPr>
            <w:r w:rsidRPr="00C00149">
              <w:t>691st</w:t>
            </w:r>
          </w:p>
        </w:tc>
        <w:tc>
          <w:tcPr>
            <w:tcW w:w="851" w:type="pct"/>
            <w:vAlign w:val="center"/>
          </w:tcPr>
          <w:p w:rsidR="00DA55F4" w:rsidRPr="00C00149" w:rsidRDefault="00DA55F4" w:rsidP="007E2986">
            <w:pPr>
              <w:jc w:val="center"/>
            </w:pPr>
            <w:r w:rsidRPr="00C00149">
              <w:t>577 st</w:t>
            </w:r>
          </w:p>
        </w:tc>
        <w:tc>
          <w:tcPr>
            <w:tcW w:w="851" w:type="pct"/>
            <w:vAlign w:val="center"/>
          </w:tcPr>
          <w:p w:rsidR="00DA55F4" w:rsidRPr="00C00149" w:rsidRDefault="00DA55F4" w:rsidP="007E2986">
            <w:pPr>
              <w:jc w:val="center"/>
            </w:pPr>
            <w:r w:rsidRPr="00C00149">
              <w:t>797 st</w:t>
            </w:r>
          </w:p>
        </w:tc>
      </w:tr>
      <w:tr w:rsidR="00DA55F4" w:rsidRPr="00C00149" w:rsidTr="007E2986">
        <w:tc>
          <w:tcPr>
            <w:tcW w:w="2553" w:type="pct"/>
          </w:tcPr>
          <w:p w:rsidR="00DA55F4" w:rsidRPr="00C00149" w:rsidRDefault="00DA55F4" w:rsidP="007E2986">
            <w:r w:rsidRPr="00C00149">
              <w:t>Diarieförda kommissionsinitiativ</w:t>
            </w:r>
          </w:p>
        </w:tc>
        <w:tc>
          <w:tcPr>
            <w:tcW w:w="745" w:type="pct"/>
            <w:vAlign w:val="center"/>
          </w:tcPr>
          <w:p w:rsidR="00DA55F4" w:rsidRPr="00C00149" w:rsidRDefault="00DA55F4" w:rsidP="007E2986">
            <w:pPr>
              <w:jc w:val="center"/>
            </w:pPr>
            <w:r w:rsidRPr="00C00149">
              <w:t>21 st</w:t>
            </w:r>
          </w:p>
        </w:tc>
        <w:tc>
          <w:tcPr>
            <w:tcW w:w="851" w:type="pct"/>
            <w:vAlign w:val="center"/>
          </w:tcPr>
          <w:p w:rsidR="00DA55F4" w:rsidRPr="00C00149" w:rsidRDefault="00DA55F4" w:rsidP="007E2986">
            <w:pPr>
              <w:jc w:val="center"/>
            </w:pPr>
            <w:r w:rsidRPr="00C00149">
              <w:t>7 st</w:t>
            </w:r>
          </w:p>
        </w:tc>
        <w:tc>
          <w:tcPr>
            <w:tcW w:w="851" w:type="pct"/>
            <w:vAlign w:val="center"/>
          </w:tcPr>
          <w:p w:rsidR="00DA55F4" w:rsidRPr="00C00149" w:rsidRDefault="00DA55F4" w:rsidP="007E2986">
            <w:pPr>
              <w:jc w:val="center"/>
            </w:pPr>
            <w:r w:rsidRPr="00C00149">
              <w:t>10 st</w:t>
            </w:r>
          </w:p>
        </w:tc>
      </w:tr>
      <w:tr w:rsidR="00DA55F4" w:rsidRPr="00C00149" w:rsidTr="007E2986">
        <w:tc>
          <w:tcPr>
            <w:tcW w:w="2553" w:type="pct"/>
          </w:tcPr>
          <w:p w:rsidR="00DA55F4" w:rsidRPr="00C00149" w:rsidRDefault="00DA55F4" w:rsidP="007E2986">
            <w:r w:rsidRPr="00C00149">
              <w:t xml:space="preserve">Samrådsärende </w:t>
            </w:r>
          </w:p>
        </w:tc>
        <w:tc>
          <w:tcPr>
            <w:tcW w:w="745" w:type="pct"/>
            <w:vAlign w:val="center"/>
          </w:tcPr>
          <w:p w:rsidR="00DA55F4" w:rsidRPr="00C00149" w:rsidRDefault="00DA55F4" w:rsidP="007E2986">
            <w:pPr>
              <w:jc w:val="center"/>
            </w:pPr>
            <w:r w:rsidRPr="00C00149">
              <w:t>1 st</w:t>
            </w:r>
          </w:p>
        </w:tc>
        <w:tc>
          <w:tcPr>
            <w:tcW w:w="851" w:type="pct"/>
            <w:vAlign w:val="center"/>
          </w:tcPr>
          <w:p w:rsidR="00DA55F4" w:rsidRPr="00C00149" w:rsidRDefault="00DA55F4" w:rsidP="007E2986">
            <w:pPr>
              <w:jc w:val="center"/>
            </w:pPr>
            <w:r w:rsidRPr="00C00149">
              <w:t>-</w:t>
            </w:r>
          </w:p>
        </w:tc>
        <w:tc>
          <w:tcPr>
            <w:tcW w:w="851" w:type="pct"/>
            <w:vAlign w:val="center"/>
          </w:tcPr>
          <w:p w:rsidR="00DA55F4" w:rsidRPr="00C00149" w:rsidRDefault="00DA55F4" w:rsidP="007E2986">
            <w:pPr>
              <w:jc w:val="center"/>
            </w:pPr>
            <w:r w:rsidRPr="00C00149">
              <w:t>2 st</w:t>
            </w:r>
          </w:p>
        </w:tc>
      </w:tr>
      <w:tr w:rsidR="00DA55F4" w:rsidRPr="00C00149" w:rsidTr="007E2986">
        <w:tc>
          <w:tcPr>
            <w:tcW w:w="2553" w:type="pct"/>
          </w:tcPr>
          <w:p w:rsidR="00DA55F4" w:rsidRPr="00C00149" w:rsidRDefault="00DA55F4" w:rsidP="007E2986">
            <w:pPr>
              <w:rPr>
                <w:bCs/>
              </w:rPr>
            </w:pPr>
            <w:r w:rsidRPr="00C00149">
              <w:rPr>
                <w:bCs/>
                <w:lang w:val="sv-FI"/>
              </w:rPr>
              <w:t xml:space="preserve">Informationsärende </w:t>
            </w:r>
          </w:p>
        </w:tc>
        <w:tc>
          <w:tcPr>
            <w:tcW w:w="745" w:type="pct"/>
            <w:vAlign w:val="center"/>
          </w:tcPr>
          <w:p w:rsidR="00DA55F4" w:rsidRPr="00C00149" w:rsidRDefault="00DA55F4" w:rsidP="007E2986">
            <w:pPr>
              <w:jc w:val="center"/>
            </w:pPr>
            <w:r w:rsidRPr="00C00149">
              <w:t>6 st</w:t>
            </w:r>
          </w:p>
        </w:tc>
        <w:tc>
          <w:tcPr>
            <w:tcW w:w="851" w:type="pct"/>
            <w:vAlign w:val="center"/>
          </w:tcPr>
          <w:p w:rsidR="00DA55F4" w:rsidRPr="00C00149" w:rsidRDefault="00DA55F4" w:rsidP="007E2986">
            <w:pPr>
              <w:jc w:val="center"/>
            </w:pPr>
            <w:r w:rsidRPr="00C00149">
              <w:t>3 st</w:t>
            </w:r>
          </w:p>
        </w:tc>
        <w:tc>
          <w:tcPr>
            <w:tcW w:w="851" w:type="pct"/>
            <w:vAlign w:val="center"/>
          </w:tcPr>
          <w:p w:rsidR="00DA55F4" w:rsidRPr="00C00149" w:rsidRDefault="00DA55F4" w:rsidP="007E2986">
            <w:pPr>
              <w:jc w:val="center"/>
            </w:pPr>
            <w:r w:rsidRPr="00C00149">
              <w:t>6 st</w:t>
            </w:r>
          </w:p>
        </w:tc>
      </w:tr>
      <w:tr w:rsidR="00DA55F4" w:rsidRPr="00C00149" w:rsidTr="007E2986">
        <w:tc>
          <w:tcPr>
            <w:tcW w:w="2553" w:type="pct"/>
          </w:tcPr>
          <w:p w:rsidR="00DA55F4" w:rsidRPr="00C00149" w:rsidRDefault="00DA55F4" w:rsidP="007E2986">
            <w:r w:rsidRPr="00C00149">
              <w:t>Diarieförda kommissionsinitiativ som inte förts som samråds- eller i</w:t>
            </w:r>
            <w:r w:rsidRPr="00C00149">
              <w:t>n</w:t>
            </w:r>
            <w:r w:rsidRPr="00C00149">
              <w:t xml:space="preserve">formationsärende till lagtinget </w:t>
            </w:r>
          </w:p>
        </w:tc>
        <w:tc>
          <w:tcPr>
            <w:tcW w:w="745" w:type="pct"/>
            <w:vAlign w:val="center"/>
          </w:tcPr>
          <w:p w:rsidR="00DA55F4" w:rsidRPr="00C00149" w:rsidRDefault="00DA55F4" w:rsidP="007E2986">
            <w:pPr>
              <w:jc w:val="center"/>
            </w:pPr>
            <w:r w:rsidRPr="00C00149">
              <w:t>10 st</w:t>
            </w:r>
          </w:p>
        </w:tc>
        <w:tc>
          <w:tcPr>
            <w:tcW w:w="851" w:type="pct"/>
            <w:vAlign w:val="center"/>
          </w:tcPr>
          <w:p w:rsidR="00DA55F4" w:rsidRPr="00C00149" w:rsidRDefault="00DA55F4" w:rsidP="007E2986">
            <w:pPr>
              <w:jc w:val="center"/>
            </w:pPr>
            <w:r w:rsidRPr="00C00149">
              <w:t>5 st</w:t>
            </w:r>
          </w:p>
        </w:tc>
        <w:tc>
          <w:tcPr>
            <w:tcW w:w="851" w:type="pct"/>
            <w:vAlign w:val="center"/>
          </w:tcPr>
          <w:p w:rsidR="00DA55F4" w:rsidRPr="00C00149" w:rsidRDefault="00DA55F4" w:rsidP="007E2986">
            <w:pPr>
              <w:jc w:val="center"/>
            </w:pPr>
            <w:r w:rsidRPr="00C00149">
              <w:t>2 st</w:t>
            </w:r>
          </w:p>
        </w:tc>
      </w:tr>
    </w:tbl>
    <w:p w:rsidR="00DA55F4" w:rsidRPr="009437B7" w:rsidRDefault="00DA55F4" w:rsidP="00DA55F4"/>
    <w:p w:rsidR="00DA55F4" w:rsidRPr="009437B7" w:rsidRDefault="00DA55F4" w:rsidP="00DA55F4"/>
    <w:p w:rsidR="00DA55F4" w:rsidRPr="00A372C3" w:rsidRDefault="00DA55F4" w:rsidP="00DA55F4">
      <w:r w:rsidRPr="009437B7">
        <w:t>Landskapsregeringen deltar i mån av möjlighet i de konsultationer ko</w:t>
      </w:r>
      <w:r w:rsidRPr="009437B7">
        <w:t>m</w:t>
      </w:r>
      <w:r w:rsidRPr="009437B7">
        <w:t>missionen</w:t>
      </w:r>
      <w:r w:rsidRPr="00A246B5">
        <w:t xml:space="preserve"> håller. För en närmare </w:t>
      </w:r>
      <w:r w:rsidRPr="00A372C3">
        <w:t>redogörelse över de konsultationer lan</w:t>
      </w:r>
      <w:r w:rsidRPr="00A372C3">
        <w:t>d</w:t>
      </w:r>
      <w:r w:rsidRPr="00A372C3">
        <w:t>skapsregeringen deltagit i under 2016 se kapitel 3.1.6.</w:t>
      </w:r>
    </w:p>
    <w:p w:rsidR="00DA55F4" w:rsidRPr="00A27AE3" w:rsidRDefault="00DA55F4" w:rsidP="00DA55F4">
      <w:pPr>
        <w:ind w:firstLine="284"/>
      </w:pPr>
      <w:r w:rsidRPr="00A372C3">
        <w:t>Landskapsregeringen erhåller alla nya kommissionsinitiativ via e-post från statsrådets kansli. De kommissionsinitiativ som är av särskilt intresse</w:t>
      </w:r>
      <w:r w:rsidRPr="00A246B5">
        <w:t xml:space="preserve"> för landskapet diarieförs och bereds. EU-enheten sköter koordineringen av kommissionsinitiativen, medan de sakkunniga tjänstemännen vid avde</w:t>
      </w:r>
      <w:r w:rsidRPr="00A246B5">
        <w:t>l</w:t>
      </w:r>
      <w:r w:rsidRPr="00A246B5">
        <w:t>ningarna bereder och föredrar ärendena för den minister till vars ansvar</w:t>
      </w:r>
      <w:r w:rsidRPr="00A246B5">
        <w:t>s</w:t>
      </w:r>
      <w:r w:rsidRPr="00A246B5">
        <w:t>område ärendet hör.</w:t>
      </w:r>
    </w:p>
    <w:p w:rsidR="00DA55F4" w:rsidRPr="009A208B" w:rsidRDefault="009437B7" w:rsidP="009437B7">
      <w:r>
        <w:tab/>
      </w:r>
      <w:r w:rsidR="00DA55F4" w:rsidRPr="00A27AE3">
        <w:t xml:space="preserve">Av de 691 kommissionsinitiativen år 2016 utgjorde cirka en tredjedel (223 st) sådana </w:t>
      </w:r>
      <w:r w:rsidR="00DA55F4" w:rsidRPr="009A208B">
        <w:t>ärenden som bedömdes vara av intresse för landskapet; dessa initiativ har sänts för kännedom till berörda tjänstemän. EU-enheten diarieför initiativ när enheten gör bedömningen att initiativet är av särskilt intresse för landskapet. Ofta avgörs dock behovet av diarieföring efter en diskussion mellan EU-enheten och den sakkunniga tjänstemannen. Som ses i tabellen ovan är det endast en liten andel – 21 stycken under år 2016 – av kommissionsinitiativen som diarieförs och bereds.  Antalet måste dock ses i förhållande till de resurser som landskapsregeringen har till sitt förfogande.</w:t>
      </w:r>
    </w:p>
    <w:p w:rsidR="00DA55F4" w:rsidRPr="009437B7" w:rsidRDefault="009437B7" w:rsidP="009437B7">
      <w:r>
        <w:tab/>
      </w:r>
      <w:r w:rsidR="00DA55F4" w:rsidRPr="009A208B">
        <w:t>Landskapsregeringen har under det gångna året sett över rutinerna vid beredningen av kommissionsinitiativ, i syfte att fler kommissionsinitiativ skulle beredas. Under året har sammanlagt elva promemorior och tio utl</w:t>
      </w:r>
      <w:r w:rsidR="00DA55F4" w:rsidRPr="009A208B">
        <w:t>å</w:t>
      </w:r>
      <w:r w:rsidR="00DA55F4" w:rsidRPr="009A208B">
        <w:t>tanden upprättats över kommissionsinitiativ; utlåtandena översändes endast för kännedom till lagtinget, medan en promemoria fördes till lagtinget som samrådsärende och tio promemorior fördes till lagtinget som information</w:t>
      </w:r>
      <w:r w:rsidR="00DA55F4" w:rsidRPr="009A208B">
        <w:t>s</w:t>
      </w:r>
      <w:r w:rsidR="00DA55F4" w:rsidRPr="009A208B">
        <w:t xml:space="preserve">ärenden. Kommissionens avfallspaket innehöll fem diarieförda </w:t>
      </w:r>
      <w:r w:rsidR="00DA55F4" w:rsidRPr="009437B7">
        <w:t>kommis</w:t>
      </w:r>
      <w:r w:rsidR="00DA55F4" w:rsidRPr="009437B7">
        <w:t>s</w:t>
      </w:r>
      <w:r w:rsidR="00DA55F4" w:rsidRPr="009437B7">
        <w:t>ionsinitiativ men behandlades vid ett gemensamt informationsärende i la</w:t>
      </w:r>
      <w:r w:rsidR="00DA55F4" w:rsidRPr="009437B7">
        <w:t>g</w:t>
      </w:r>
      <w:r w:rsidR="00DA55F4" w:rsidRPr="009437B7">
        <w:t xml:space="preserve">tinget. Lagtinget kan alltid begära att ett samråd hålls i ett enskilt ärende om så önskas. </w:t>
      </w:r>
    </w:p>
    <w:p w:rsidR="00DA55F4" w:rsidRPr="009437B7" w:rsidRDefault="00DA55F4" w:rsidP="00DA55F4">
      <w:pPr>
        <w:ind w:firstLine="284"/>
      </w:pPr>
    </w:p>
    <w:p w:rsidR="00DA55F4" w:rsidRPr="009437B7" w:rsidRDefault="00DA55F4" w:rsidP="00DA55F4">
      <w:pPr>
        <w:rPr>
          <w:b/>
        </w:rPr>
      </w:pPr>
      <w:r w:rsidRPr="009437B7">
        <w:rPr>
          <w:b/>
        </w:rPr>
        <w:t xml:space="preserve">Tabell 3: </w:t>
      </w:r>
    </w:p>
    <w:p w:rsidR="00DA55F4" w:rsidRPr="00C00149" w:rsidRDefault="00DA55F4" w:rsidP="00DA55F4">
      <w:pPr>
        <w:rPr>
          <w:b/>
          <w:lang w:val="sv-FI"/>
        </w:rPr>
      </w:pPr>
      <w:r w:rsidRPr="009437B7">
        <w:rPr>
          <w:b/>
        </w:rPr>
        <w:t>Landskapsregeringens</w:t>
      </w:r>
      <w:r w:rsidRPr="00C00149">
        <w:rPr>
          <w:b/>
        </w:rPr>
        <w:t xml:space="preserve"> samrådsärenden med Ålands lagting 2016</w:t>
      </w:r>
    </w:p>
    <w:p w:rsidR="00DA55F4" w:rsidRPr="00C00149" w:rsidRDefault="00DA55F4" w:rsidP="00DA55F4"/>
    <w:tbl>
      <w:tblPr>
        <w:tblW w:w="652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4"/>
        <w:gridCol w:w="992"/>
        <w:gridCol w:w="993"/>
        <w:gridCol w:w="992"/>
      </w:tblGrid>
      <w:tr w:rsidR="00DA55F4" w:rsidRPr="00C00149" w:rsidTr="007E2986">
        <w:tc>
          <w:tcPr>
            <w:tcW w:w="3544" w:type="dxa"/>
            <w:tcBorders>
              <w:top w:val="single" w:sz="4" w:space="0" w:color="auto"/>
            </w:tcBorders>
            <w:shd w:val="clear" w:color="auto" w:fill="A6A6A6"/>
          </w:tcPr>
          <w:p w:rsidR="00DA55F4" w:rsidRPr="00C00149" w:rsidRDefault="00DA55F4" w:rsidP="007E2986">
            <w:pPr>
              <w:rPr>
                <w:b/>
                <w:bCs/>
              </w:rPr>
            </w:pPr>
            <w:r w:rsidRPr="00C00149">
              <w:rPr>
                <w:b/>
                <w:bCs/>
              </w:rPr>
              <w:t>Utskott</w:t>
            </w:r>
          </w:p>
        </w:tc>
        <w:tc>
          <w:tcPr>
            <w:tcW w:w="992" w:type="dxa"/>
            <w:tcBorders>
              <w:top w:val="single" w:sz="4" w:space="0" w:color="auto"/>
            </w:tcBorders>
            <w:shd w:val="clear" w:color="auto" w:fill="A6A6A6"/>
            <w:vAlign w:val="center"/>
          </w:tcPr>
          <w:p w:rsidR="00DA55F4" w:rsidRPr="00C00149" w:rsidRDefault="00DA55F4" w:rsidP="007E2986">
            <w:pPr>
              <w:jc w:val="center"/>
              <w:rPr>
                <w:b/>
                <w:bCs/>
              </w:rPr>
            </w:pPr>
            <w:r w:rsidRPr="00C00149">
              <w:rPr>
                <w:b/>
                <w:bCs/>
              </w:rPr>
              <w:t>2016</w:t>
            </w:r>
          </w:p>
        </w:tc>
        <w:tc>
          <w:tcPr>
            <w:tcW w:w="993" w:type="dxa"/>
            <w:tcBorders>
              <w:top w:val="single" w:sz="4" w:space="0" w:color="auto"/>
            </w:tcBorders>
            <w:shd w:val="clear" w:color="auto" w:fill="A6A6A6"/>
            <w:vAlign w:val="center"/>
          </w:tcPr>
          <w:p w:rsidR="00DA55F4" w:rsidRPr="00C00149" w:rsidRDefault="00DA55F4" w:rsidP="007E2986">
            <w:pPr>
              <w:jc w:val="center"/>
              <w:rPr>
                <w:b/>
                <w:bCs/>
              </w:rPr>
            </w:pPr>
            <w:r w:rsidRPr="00C00149">
              <w:rPr>
                <w:b/>
                <w:bCs/>
              </w:rPr>
              <w:t>2015</w:t>
            </w:r>
          </w:p>
        </w:tc>
        <w:tc>
          <w:tcPr>
            <w:tcW w:w="992" w:type="dxa"/>
            <w:tcBorders>
              <w:top w:val="single" w:sz="4" w:space="0" w:color="auto"/>
            </w:tcBorders>
            <w:shd w:val="clear" w:color="auto" w:fill="A6A6A6"/>
            <w:vAlign w:val="center"/>
          </w:tcPr>
          <w:p w:rsidR="00DA55F4" w:rsidRPr="00C00149" w:rsidRDefault="00DA55F4" w:rsidP="007E2986">
            <w:pPr>
              <w:jc w:val="center"/>
              <w:rPr>
                <w:b/>
                <w:bCs/>
              </w:rPr>
            </w:pPr>
            <w:r w:rsidRPr="00C00149">
              <w:rPr>
                <w:b/>
                <w:bCs/>
              </w:rPr>
              <w:t>2014</w:t>
            </w:r>
          </w:p>
        </w:tc>
      </w:tr>
      <w:tr w:rsidR="00DA55F4" w:rsidRPr="00C00149" w:rsidTr="007E2986">
        <w:tc>
          <w:tcPr>
            <w:tcW w:w="3544" w:type="dxa"/>
          </w:tcPr>
          <w:p w:rsidR="00DA55F4" w:rsidRPr="00C00149" w:rsidRDefault="00DA55F4" w:rsidP="007E2986">
            <w:pPr>
              <w:rPr>
                <w:bCs/>
              </w:rPr>
            </w:pPr>
            <w:r w:rsidRPr="00C00149">
              <w:rPr>
                <w:bCs/>
              </w:rPr>
              <w:t>Lag- och kulturutskottet</w:t>
            </w:r>
          </w:p>
        </w:tc>
        <w:tc>
          <w:tcPr>
            <w:tcW w:w="992" w:type="dxa"/>
            <w:vAlign w:val="center"/>
          </w:tcPr>
          <w:p w:rsidR="00DA55F4" w:rsidRPr="00C00149" w:rsidRDefault="00DA55F4" w:rsidP="007E2986">
            <w:pPr>
              <w:jc w:val="center"/>
            </w:pPr>
            <w:r w:rsidRPr="00C00149">
              <w:t>1 st</w:t>
            </w:r>
          </w:p>
        </w:tc>
        <w:tc>
          <w:tcPr>
            <w:tcW w:w="993" w:type="dxa"/>
            <w:vAlign w:val="center"/>
          </w:tcPr>
          <w:p w:rsidR="00DA55F4" w:rsidRPr="00C00149" w:rsidRDefault="00DA55F4" w:rsidP="007E2986">
            <w:pPr>
              <w:jc w:val="center"/>
            </w:pPr>
            <w:r w:rsidRPr="00C00149">
              <w:t>-</w:t>
            </w:r>
          </w:p>
        </w:tc>
        <w:tc>
          <w:tcPr>
            <w:tcW w:w="992" w:type="dxa"/>
            <w:vAlign w:val="center"/>
          </w:tcPr>
          <w:p w:rsidR="00DA55F4" w:rsidRPr="00C00149" w:rsidRDefault="00DA55F4" w:rsidP="007E2986">
            <w:pPr>
              <w:jc w:val="center"/>
            </w:pPr>
            <w:r w:rsidRPr="00C00149">
              <w:t>-</w:t>
            </w:r>
          </w:p>
        </w:tc>
      </w:tr>
      <w:tr w:rsidR="00DA55F4" w:rsidRPr="00C00149" w:rsidTr="007E2986">
        <w:tc>
          <w:tcPr>
            <w:tcW w:w="3544" w:type="dxa"/>
          </w:tcPr>
          <w:p w:rsidR="00DA55F4" w:rsidRPr="00C00149" w:rsidRDefault="00DA55F4" w:rsidP="007E2986">
            <w:r w:rsidRPr="00C00149">
              <w:rPr>
                <w:bCs/>
              </w:rPr>
              <w:t>Finans- och näringsutskottet</w:t>
            </w:r>
          </w:p>
        </w:tc>
        <w:tc>
          <w:tcPr>
            <w:tcW w:w="992" w:type="dxa"/>
            <w:vAlign w:val="center"/>
          </w:tcPr>
          <w:p w:rsidR="00DA55F4" w:rsidRPr="00C00149" w:rsidRDefault="00DA55F4" w:rsidP="007E2986">
            <w:pPr>
              <w:jc w:val="center"/>
            </w:pPr>
            <w:r w:rsidRPr="00C00149">
              <w:t>-</w:t>
            </w:r>
          </w:p>
        </w:tc>
        <w:tc>
          <w:tcPr>
            <w:tcW w:w="993" w:type="dxa"/>
            <w:vAlign w:val="center"/>
          </w:tcPr>
          <w:p w:rsidR="00DA55F4" w:rsidRPr="00C00149" w:rsidRDefault="00DA55F4" w:rsidP="007E2986">
            <w:pPr>
              <w:jc w:val="center"/>
            </w:pPr>
            <w:r w:rsidRPr="00C00149">
              <w:t>-</w:t>
            </w:r>
          </w:p>
        </w:tc>
        <w:tc>
          <w:tcPr>
            <w:tcW w:w="992" w:type="dxa"/>
            <w:vAlign w:val="center"/>
          </w:tcPr>
          <w:p w:rsidR="00DA55F4" w:rsidRPr="00C00149" w:rsidRDefault="00DA55F4" w:rsidP="007E2986">
            <w:pPr>
              <w:jc w:val="center"/>
            </w:pPr>
            <w:r w:rsidRPr="00C00149">
              <w:t>-</w:t>
            </w:r>
          </w:p>
        </w:tc>
      </w:tr>
      <w:tr w:rsidR="00DA55F4" w:rsidRPr="00C00149" w:rsidTr="007E2986">
        <w:tc>
          <w:tcPr>
            <w:tcW w:w="3544" w:type="dxa"/>
          </w:tcPr>
          <w:p w:rsidR="00DA55F4" w:rsidRPr="00C00149" w:rsidRDefault="00DA55F4" w:rsidP="007E2986">
            <w:r w:rsidRPr="00C00149">
              <w:rPr>
                <w:bCs/>
              </w:rPr>
              <w:t>Social- och miljöutskottet</w:t>
            </w:r>
          </w:p>
        </w:tc>
        <w:tc>
          <w:tcPr>
            <w:tcW w:w="992" w:type="dxa"/>
            <w:vAlign w:val="center"/>
          </w:tcPr>
          <w:p w:rsidR="00DA55F4" w:rsidRPr="00C00149" w:rsidRDefault="00DA55F4" w:rsidP="007E2986">
            <w:pPr>
              <w:jc w:val="center"/>
            </w:pPr>
            <w:r w:rsidRPr="00C00149">
              <w:t>-</w:t>
            </w:r>
          </w:p>
        </w:tc>
        <w:tc>
          <w:tcPr>
            <w:tcW w:w="993" w:type="dxa"/>
            <w:vAlign w:val="center"/>
          </w:tcPr>
          <w:p w:rsidR="00DA55F4" w:rsidRPr="00C00149" w:rsidRDefault="00DA55F4" w:rsidP="007E2986">
            <w:pPr>
              <w:jc w:val="center"/>
            </w:pPr>
            <w:r w:rsidRPr="00C00149">
              <w:t>-</w:t>
            </w:r>
          </w:p>
        </w:tc>
        <w:tc>
          <w:tcPr>
            <w:tcW w:w="992" w:type="dxa"/>
            <w:vAlign w:val="center"/>
          </w:tcPr>
          <w:p w:rsidR="00DA55F4" w:rsidRPr="00C00149" w:rsidRDefault="00DA55F4" w:rsidP="007E2986">
            <w:pPr>
              <w:jc w:val="center"/>
            </w:pPr>
            <w:r w:rsidRPr="00C00149">
              <w:t>2 st</w:t>
            </w:r>
          </w:p>
        </w:tc>
      </w:tr>
      <w:tr w:rsidR="00DA55F4" w:rsidRPr="00C00149" w:rsidTr="007E2986">
        <w:tc>
          <w:tcPr>
            <w:tcW w:w="3544" w:type="dxa"/>
          </w:tcPr>
          <w:p w:rsidR="00DA55F4" w:rsidRPr="00C00149" w:rsidRDefault="00DA55F4" w:rsidP="007E2986">
            <w:r w:rsidRPr="00C00149">
              <w:rPr>
                <w:bCs/>
              </w:rPr>
              <w:t>Justeringsutskottet</w:t>
            </w:r>
          </w:p>
        </w:tc>
        <w:tc>
          <w:tcPr>
            <w:tcW w:w="992" w:type="dxa"/>
            <w:vAlign w:val="center"/>
          </w:tcPr>
          <w:p w:rsidR="00DA55F4" w:rsidRPr="00C00149" w:rsidRDefault="00DA55F4" w:rsidP="007E2986">
            <w:pPr>
              <w:jc w:val="center"/>
            </w:pPr>
            <w:r w:rsidRPr="00C00149">
              <w:t>-</w:t>
            </w:r>
          </w:p>
        </w:tc>
        <w:tc>
          <w:tcPr>
            <w:tcW w:w="993" w:type="dxa"/>
            <w:vAlign w:val="center"/>
          </w:tcPr>
          <w:p w:rsidR="00DA55F4" w:rsidRPr="00C00149" w:rsidRDefault="00DA55F4" w:rsidP="007E2986">
            <w:pPr>
              <w:jc w:val="center"/>
            </w:pPr>
            <w:r w:rsidRPr="00C00149">
              <w:t>-</w:t>
            </w:r>
          </w:p>
        </w:tc>
        <w:tc>
          <w:tcPr>
            <w:tcW w:w="992" w:type="dxa"/>
            <w:vAlign w:val="center"/>
          </w:tcPr>
          <w:p w:rsidR="00DA55F4" w:rsidRPr="00C00149" w:rsidRDefault="00DA55F4" w:rsidP="007E2986">
            <w:pPr>
              <w:jc w:val="center"/>
            </w:pPr>
            <w:r w:rsidRPr="00C00149">
              <w:t>-</w:t>
            </w:r>
          </w:p>
        </w:tc>
      </w:tr>
      <w:tr w:rsidR="00DA55F4" w:rsidRPr="00C00149" w:rsidTr="007E2986">
        <w:tc>
          <w:tcPr>
            <w:tcW w:w="3544" w:type="dxa"/>
          </w:tcPr>
          <w:p w:rsidR="00DA55F4" w:rsidRPr="00C00149" w:rsidRDefault="00DA55F4" w:rsidP="007E2986">
            <w:r w:rsidRPr="00C00149">
              <w:t>Kanslikommissionen</w:t>
            </w:r>
          </w:p>
        </w:tc>
        <w:tc>
          <w:tcPr>
            <w:tcW w:w="992" w:type="dxa"/>
            <w:vAlign w:val="center"/>
          </w:tcPr>
          <w:p w:rsidR="00DA55F4" w:rsidRPr="00C00149" w:rsidRDefault="00DA55F4" w:rsidP="007E2986">
            <w:pPr>
              <w:jc w:val="center"/>
            </w:pPr>
            <w:r w:rsidRPr="00C00149">
              <w:t>-</w:t>
            </w:r>
          </w:p>
        </w:tc>
        <w:tc>
          <w:tcPr>
            <w:tcW w:w="993" w:type="dxa"/>
            <w:vAlign w:val="center"/>
          </w:tcPr>
          <w:p w:rsidR="00DA55F4" w:rsidRPr="00C00149" w:rsidRDefault="00DA55F4" w:rsidP="007E2986">
            <w:pPr>
              <w:jc w:val="center"/>
            </w:pPr>
            <w:r w:rsidRPr="00C00149">
              <w:t>-</w:t>
            </w:r>
          </w:p>
        </w:tc>
        <w:tc>
          <w:tcPr>
            <w:tcW w:w="992" w:type="dxa"/>
            <w:vAlign w:val="center"/>
          </w:tcPr>
          <w:p w:rsidR="00DA55F4" w:rsidRPr="00C00149" w:rsidRDefault="00DA55F4" w:rsidP="007E2986">
            <w:pPr>
              <w:jc w:val="center"/>
            </w:pPr>
            <w:r w:rsidRPr="00C00149">
              <w:t>-</w:t>
            </w:r>
          </w:p>
        </w:tc>
      </w:tr>
      <w:tr w:rsidR="00DA55F4" w:rsidRPr="00C00149" w:rsidTr="007E2986">
        <w:tc>
          <w:tcPr>
            <w:tcW w:w="3544" w:type="dxa"/>
          </w:tcPr>
          <w:p w:rsidR="00DA55F4" w:rsidRPr="00C00149" w:rsidRDefault="00DA55F4" w:rsidP="007E2986">
            <w:r w:rsidRPr="00C00149">
              <w:t>Självstyrelsepolitiska nämnden</w:t>
            </w:r>
          </w:p>
        </w:tc>
        <w:tc>
          <w:tcPr>
            <w:tcW w:w="992" w:type="dxa"/>
            <w:vAlign w:val="center"/>
          </w:tcPr>
          <w:p w:rsidR="00DA55F4" w:rsidRPr="00C00149" w:rsidRDefault="00DA55F4" w:rsidP="007E2986">
            <w:pPr>
              <w:jc w:val="center"/>
              <w:rPr>
                <w:bCs/>
                <w:lang w:val="en-GB"/>
              </w:rPr>
            </w:pPr>
            <w:r w:rsidRPr="00C00149">
              <w:rPr>
                <w:bCs/>
                <w:lang w:val="en-GB"/>
              </w:rPr>
              <w:t>-</w:t>
            </w:r>
          </w:p>
        </w:tc>
        <w:tc>
          <w:tcPr>
            <w:tcW w:w="993" w:type="dxa"/>
            <w:vAlign w:val="center"/>
          </w:tcPr>
          <w:p w:rsidR="00DA55F4" w:rsidRPr="00C00149" w:rsidRDefault="00DA55F4" w:rsidP="007E2986">
            <w:pPr>
              <w:jc w:val="center"/>
              <w:rPr>
                <w:bCs/>
                <w:lang w:val="en-GB"/>
              </w:rPr>
            </w:pPr>
            <w:r w:rsidRPr="00C00149">
              <w:rPr>
                <w:bCs/>
                <w:lang w:val="en-GB"/>
              </w:rPr>
              <w:t>-</w:t>
            </w:r>
          </w:p>
        </w:tc>
        <w:tc>
          <w:tcPr>
            <w:tcW w:w="992" w:type="dxa"/>
            <w:vAlign w:val="center"/>
          </w:tcPr>
          <w:p w:rsidR="00DA55F4" w:rsidRPr="00C00149" w:rsidRDefault="00DA55F4" w:rsidP="007E2986">
            <w:pPr>
              <w:jc w:val="center"/>
              <w:rPr>
                <w:bCs/>
                <w:lang w:val="en-GB"/>
              </w:rPr>
            </w:pPr>
            <w:r w:rsidRPr="00C00149">
              <w:rPr>
                <w:bCs/>
                <w:lang w:val="en-GB"/>
              </w:rPr>
              <w:t>-</w:t>
            </w:r>
          </w:p>
        </w:tc>
      </w:tr>
      <w:tr w:rsidR="00DA55F4" w:rsidRPr="00C00149" w:rsidTr="007E2986">
        <w:tc>
          <w:tcPr>
            <w:tcW w:w="3544" w:type="dxa"/>
          </w:tcPr>
          <w:p w:rsidR="00DA55F4" w:rsidRPr="00C00149" w:rsidRDefault="00DA55F4" w:rsidP="007E2986">
            <w:pPr>
              <w:rPr>
                <w:b/>
                <w:bCs/>
              </w:rPr>
            </w:pPr>
            <w:r w:rsidRPr="00C00149">
              <w:rPr>
                <w:b/>
                <w:bCs/>
              </w:rPr>
              <w:t>Totalt</w:t>
            </w:r>
          </w:p>
        </w:tc>
        <w:tc>
          <w:tcPr>
            <w:tcW w:w="992" w:type="dxa"/>
            <w:vAlign w:val="center"/>
          </w:tcPr>
          <w:p w:rsidR="00DA55F4" w:rsidRPr="00C00149" w:rsidRDefault="00DA55F4" w:rsidP="007E2986">
            <w:pPr>
              <w:jc w:val="center"/>
              <w:rPr>
                <w:b/>
                <w:bCs/>
                <w:lang w:val="en-GB"/>
              </w:rPr>
            </w:pPr>
            <w:r w:rsidRPr="00C00149">
              <w:rPr>
                <w:b/>
                <w:bCs/>
                <w:lang w:val="en-GB"/>
              </w:rPr>
              <w:t>1 st</w:t>
            </w:r>
          </w:p>
        </w:tc>
        <w:tc>
          <w:tcPr>
            <w:tcW w:w="993" w:type="dxa"/>
            <w:vAlign w:val="center"/>
          </w:tcPr>
          <w:p w:rsidR="00DA55F4" w:rsidRPr="00C00149" w:rsidRDefault="00DA55F4" w:rsidP="007E2986">
            <w:pPr>
              <w:jc w:val="center"/>
              <w:rPr>
                <w:b/>
                <w:bCs/>
                <w:lang w:val="en-GB"/>
              </w:rPr>
            </w:pPr>
            <w:r w:rsidRPr="00C00149">
              <w:rPr>
                <w:b/>
                <w:bCs/>
                <w:lang w:val="en-GB"/>
              </w:rPr>
              <w:t>-</w:t>
            </w:r>
          </w:p>
        </w:tc>
        <w:tc>
          <w:tcPr>
            <w:tcW w:w="992" w:type="dxa"/>
            <w:vAlign w:val="center"/>
          </w:tcPr>
          <w:p w:rsidR="00DA55F4" w:rsidRPr="00C00149" w:rsidRDefault="00DA55F4" w:rsidP="007E2986">
            <w:pPr>
              <w:jc w:val="center"/>
              <w:rPr>
                <w:b/>
                <w:bCs/>
                <w:lang w:val="en-GB"/>
              </w:rPr>
            </w:pPr>
            <w:r w:rsidRPr="00C00149">
              <w:rPr>
                <w:b/>
                <w:bCs/>
                <w:lang w:val="en-GB"/>
              </w:rPr>
              <w:t>2 st</w:t>
            </w:r>
          </w:p>
        </w:tc>
      </w:tr>
    </w:tbl>
    <w:p w:rsidR="00DA55F4" w:rsidRPr="00C00149" w:rsidRDefault="00DA55F4" w:rsidP="00DA55F4"/>
    <w:p w:rsidR="00DA55F4" w:rsidRPr="00C00149" w:rsidRDefault="00DA55F4" w:rsidP="00DA55F4">
      <w:pPr>
        <w:rPr>
          <w:b/>
        </w:rPr>
      </w:pPr>
      <w:r w:rsidRPr="00C00149">
        <w:rPr>
          <w:b/>
        </w:rPr>
        <w:lastRenderedPageBreak/>
        <w:t xml:space="preserve">Tabell 4: </w:t>
      </w:r>
    </w:p>
    <w:p w:rsidR="00DA55F4" w:rsidRPr="00C00149" w:rsidRDefault="00DA55F4" w:rsidP="00DA55F4">
      <w:pPr>
        <w:rPr>
          <w:b/>
        </w:rPr>
      </w:pPr>
      <w:r w:rsidRPr="00C00149">
        <w:rPr>
          <w:b/>
        </w:rPr>
        <w:t>Landskapsregeringens informationsärenden med Ålands lagting 2016</w:t>
      </w:r>
    </w:p>
    <w:p w:rsidR="00DA55F4" w:rsidRPr="00C00149" w:rsidRDefault="00DA55F4" w:rsidP="00DA55F4"/>
    <w:tbl>
      <w:tblPr>
        <w:tblW w:w="652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4"/>
        <w:gridCol w:w="992"/>
        <w:gridCol w:w="993"/>
        <w:gridCol w:w="992"/>
      </w:tblGrid>
      <w:tr w:rsidR="00DA55F4" w:rsidRPr="00C00149" w:rsidTr="007E2986">
        <w:tc>
          <w:tcPr>
            <w:tcW w:w="3544" w:type="dxa"/>
            <w:tcBorders>
              <w:top w:val="single" w:sz="4" w:space="0" w:color="auto"/>
            </w:tcBorders>
            <w:shd w:val="clear" w:color="auto" w:fill="A6A6A6"/>
          </w:tcPr>
          <w:p w:rsidR="00DA55F4" w:rsidRPr="00C00149" w:rsidRDefault="00DA55F4" w:rsidP="007E2986">
            <w:pPr>
              <w:rPr>
                <w:b/>
                <w:bCs/>
              </w:rPr>
            </w:pPr>
            <w:r w:rsidRPr="00C00149">
              <w:rPr>
                <w:b/>
                <w:bCs/>
              </w:rPr>
              <w:t>Utskott</w:t>
            </w:r>
          </w:p>
        </w:tc>
        <w:tc>
          <w:tcPr>
            <w:tcW w:w="992" w:type="dxa"/>
            <w:tcBorders>
              <w:top w:val="single" w:sz="4" w:space="0" w:color="auto"/>
            </w:tcBorders>
            <w:shd w:val="clear" w:color="auto" w:fill="A6A6A6"/>
            <w:vAlign w:val="center"/>
          </w:tcPr>
          <w:p w:rsidR="00DA55F4" w:rsidRPr="00C00149" w:rsidRDefault="00DA55F4" w:rsidP="007E2986">
            <w:pPr>
              <w:jc w:val="center"/>
              <w:rPr>
                <w:b/>
                <w:bCs/>
              </w:rPr>
            </w:pPr>
            <w:r w:rsidRPr="00C00149">
              <w:rPr>
                <w:b/>
                <w:bCs/>
              </w:rPr>
              <w:t>2016</w:t>
            </w:r>
          </w:p>
        </w:tc>
        <w:tc>
          <w:tcPr>
            <w:tcW w:w="993" w:type="dxa"/>
            <w:tcBorders>
              <w:top w:val="single" w:sz="4" w:space="0" w:color="auto"/>
            </w:tcBorders>
            <w:shd w:val="clear" w:color="auto" w:fill="A6A6A6"/>
            <w:vAlign w:val="center"/>
          </w:tcPr>
          <w:p w:rsidR="00DA55F4" w:rsidRPr="00C00149" w:rsidRDefault="00DA55F4" w:rsidP="007E2986">
            <w:pPr>
              <w:jc w:val="center"/>
              <w:rPr>
                <w:b/>
                <w:bCs/>
              </w:rPr>
            </w:pPr>
            <w:r w:rsidRPr="00C00149">
              <w:rPr>
                <w:b/>
                <w:bCs/>
              </w:rPr>
              <w:t>2015</w:t>
            </w:r>
          </w:p>
        </w:tc>
        <w:tc>
          <w:tcPr>
            <w:tcW w:w="992" w:type="dxa"/>
            <w:tcBorders>
              <w:top w:val="single" w:sz="4" w:space="0" w:color="auto"/>
            </w:tcBorders>
            <w:shd w:val="clear" w:color="auto" w:fill="A6A6A6"/>
            <w:vAlign w:val="center"/>
          </w:tcPr>
          <w:p w:rsidR="00DA55F4" w:rsidRPr="00C00149" w:rsidRDefault="00DA55F4" w:rsidP="007E2986">
            <w:pPr>
              <w:jc w:val="center"/>
              <w:rPr>
                <w:b/>
                <w:bCs/>
              </w:rPr>
            </w:pPr>
            <w:r w:rsidRPr="00C00149">
              <w:rPr>
                <w:b/>
                <w:bCs/>
              </w:rPr>
              <w:t>2014</w:t>
            </w:r>
          </w:p>
        </w:tc>
      </w:tr>
      <w:tr w:rsidR="00DA55F4" w:rsidRPr="00C00149" w:rsidTr="007E2986">
        <w:tc>
          <w:tcPr>
            <w:tcW w:w="3544" w:type="dxa"/>
          </w:tcPr>
          <w:p w:rsidR="00DA55F4" w:rsidRPr="00C00149" w:rsidRDefault="00DA55F4" w:rsidP="007E2986">
            <w:pPr>
              <w:rPr>
                <w:bCs/>
              </w:rPr>
            </w:pPr>
            <w:r w:rsidRPr="00C00149">
              <w:rPr>
                <w:bCs/>
              </w:rPr>
              <w:t>Lag- och kulturutskottet</w:t>
            </w:r>
          </w:p>
        </w:tc>
        <w:tc>
          <w:tcPr>
            <w:tcW w:w="992" w:type="dxa"/>
            <w:vAlign w:val="center"/>
          </w:tcPr>
          <w:p w:rsidR="00DA55F4" w:rsidRPr="00C00149" w:rsidRDefault="00DA55F4" w:rsidP="007E2986">
            <w:pPr>
              <w:jc w:val="center"/>
            </w:pPr>
            <w:r w:rsidRPr="00C00149">
              <w:t>2 st</w:t>
            </w:r>
          </w:p>
        </w:tc>
        <w:tc>
          <w:tcPr>
            <w:tcW w:w="993" w:type="dxa"/>
            <w:vAlign w:val="center"/>
          </w:tcPr>
          <w:p w:rsidR="00DA55F4" w:rsidRPr="00C00149" w:rsidRDefault="00DA55F4" w:rsidP="007E2986">
            <w:pPr>
              <w:jc w:val="center"/>
            </w:pPr>
            <w:r w:rsidRPr="00C00149">
              <w:t>2 st</w:t>
            </w:r>
          </w:p>
        </w:tc>
        <w:tc>
          <w:tcPr>
            <w:tcW w:w="992" w:type="dxa"/>
            <w:vAlign w:val="center"/>
          </w:tcPr>
          <w:p w:rsidR="00DA55F4" w:rsidRPr="00C00149" w:rsidRDefault="00DA55F4" w:rsidP="007E2986">
            <w:pPr>
              <w:jc w:val="center"/>
            </w:pPr>
            <w:r w:rsidRPr="00C00149">
              <w:t>2 st</w:t>
            </w:r>
          </w:p>
        </w:tc>
      </w:tr>
      <w:tr w:rsidR="00DA55F4" w:rsidRPr="00C00149" w:rsidTr="007E2986">
        <w:tc>
          <w:tcPr>
            <w:tcW w:w="3544" w:type="dxa"/>
          </w:tcPr>
          <w:p w:rsidR="00DA55F4" w:rsidRPr="00C00149" w:rsidRDefault="00DA55F4" w:rsidP="007E2986">
            <w:r w:rsidRPr="00C00149">
              <w:rPr>
                <w:bCs/>
              </w:rPr>
              <w:t>Finans- och näringsutskottet</w:t>
            </w:r>
          </w:p>
        </w:tc>
        <w:tc>
          <w:tcPr>
            <w:tcW w:w="992" w:type="dxa"/>
            <w:vAlign w:val="center"/>
          </w:tcPr>
          <w:p w:rsidR="00DA55F4" w:rsidRPr="00C00149" w:rsidRDefault="00DA55F4" w:rsidP="007E2986">
            <w:pPr>
              <w:jc w:val="center"/>
            </w:pPr>
            <w:r w:rsidRPr="00C00149">
              <w:t>1 st</w:t>
            </w:r>
          </w:p>
        </w:tc>
        <w:tc>
          <w:tcPr>
            <w:tcW w:w="993" w:type="dxa"/>
            <w:vAlign w:val="center"/>
          </w:tcPr>
          <w:p w:rsidR="00DA55F4" w:rsidRPr="00C00149" w:rsidRDefault="00DA55F4" w:rsidP="007E2986">
            <w:pPr>
              <w:jc w:val="center"/>
            </w:pPr>
            <w:r w:rsidRPr="00C00149">
              <w:t>1 st</w:t>
            </w:r>
          </w:p>
        </w:tc>
        <w:tc>
          <w:tcPr>
            <w:tcW w:w="992" w:type="dxa"/>
            <w:vAlign w:val="center"/>
          </w:tcPr>
          <w:p w:rsidR="00DA55F4" w:rsidRPr="00C00149" w:rsidRDefault="00DA55F4" w:rsidP="007E2986">
            <w:pPr>
              <w:jc w:val="center"/>
            </w:pPr>
            <w:r w:rsidRPr="00C00149">
              <w:t>2 st</w:t>
            </w:r>
          </w:p>
        </w:tc>
      </w:tr>
      <w:tr w:rsidR="00DA55F4" w:rsidRPr="00C00149" w:rsidTr="007E2986">
        <w:tc>
          <w:tcPr>
            <w:tcW w:w="3544" w:type="dxa"/>
          </w:tcPr>
          <w:p w:rsidR="00DA55F4" w:rsidRPr="00C00149" w:rsidRDefault="00DA55F4" w:rsidP="007E2986">
            <w:r w:rsidRPr="00C00149">
              <w:rPr>
                <w:bCs/>
              </w:rPr>
              <w:t>Social- och miljöutskottet</w:t>
            </w:r>
          </w:p>
        </w:tc>
        <w:tc>
          <w:tcPr>
            <w:tcW w:w="992" w:type="dxa"/>
            <w:vAlign w:val="center"/>
          </w:tcPr>
          <w:p w:rsidR="00DA55F4" w:rsidRPr="00C00149" w:rsidRDefault="00DA55F4" w:rsidP="007E2986">
            <w:pPr>
              <w:jc w:val="center"/>
            </w:pPr>
            <w:r w:rsidRPr="00C00149">
              <w:t>3 st</w:t>
            </w:r>
          </w:p>
        </w:tc>
        <w:tc>
          <w:tcPr>
            <w:tcW w:w="993" w:type="dxa"/>
            <w:vAlign w:val="center"/>
          </w:tcPr>
          <w:p w:rsidR="00DA55F4" w:rsidRPr="00C00149" w:rsidRDefault="00DA55F4" w:rsidP="007E2986">
            <w:pPr>
              <w:jc w:val="center"/>
            </w:pPr>
            <w:r w:rsidRPr="00C00149">
              <w:t>-</w:t>
            </w:r>
          </w:p>
        </w:tc>
        <w:tc>
          <w:tcPr>
            <w:tcW w:w="992" w:type="dxa"/>
            <w:vAlign w:val="center"/>
          </w:tcPr>
          <w:p w:rsidR="00DA55F4" w:rsidRPr="00C00149" w:rsidRDefault="00DA55F4" w:rsidP="007E2986">
            <w:pPr>
              <w:jc w:val="center"/>
            </w:pPr>
            <w:r w:rsidRPr="00C00149">
              <w:t>2 st</w:t>
            </w:r>
          </w:p>
        </w:tc>
      </w:tr>
      <w:tr w:rsidR="00DA55F4" w:rsidRPr="00C00149" w:rsidTr="007E2986">
        <w:tc>
          <w:tcPr>
            <w:tcW w:w="3544" w:type="dxa"/>
          </w:tcPr>
          <w:p w:rsidR="00DA55F4" w:rsidRPr="00C00149" w:rsidRDefault="00DA55F4" w:rsidP="007E2986">
            <w:r w:rsidRPr="00C00149">
              <w:rPr>
                <w:bCs/>
              </w:rPr>
              <w:t>Justeringsutskottet</w:t>
            </w:r>
          </w:p>
        </w:tc>
        <w:tc>
          <w:tcPr>
            <w:tcW w:w="992" w:type="dxa"/>
            <w:vAlign w:val="center"/>
          </w:tcPr>
          <w:p w:rsidR="00DA55F4" w:rsidRPr="00C00149" w:rsidRDefault="00DA55F4" w:rsidP="007E2986">
            <w:pPr>
              <w:jc w:val="center"/>
            </w:pPr>
            <w:r w:rsidRPr="00C00149">
              <w:t>-</w:t>
            </w:r>
          </w:p>
        </w:tc>
        <w:tc>
          <w:tcPr>
            <w:tcW w:w="993" w:type="dxa"/>
            <w:vAlign w:val="center"/>
          </w:tcPr>
          <w:p w:rsidR="00DA55F4" w:rsidRPr="00C00149" w:rsidRDefault="00DA55F4" w:rsidP="007E2986">
            <w:pPr>
              <w:jc w:val="center"/>
            </w:pPr>
            <w:r w:rsidRPr="00C00149">
              <w:t>-</w:t>
            </w:r>
          </w:p>
        </w:tc>
        <w:tc>
          <w:tcPr>
            <w:tcW w:w="992" w:type="dxa"/>
            <w:vAlign w:val="center"/>
          </w:tcPr>
          <w:p w:rsidR="00DA55F4" w:rsidRPr="00C00149" w:rsidRDefault="00DA55F4" w:rsidP="007E2986">
            <w:pPr>
              <w:jc w:val="center"/>
            </w:pPr>
            <w:r w:rsidRPr="00C00149">
              <w:t>-</w:t>
            </w:r>
          </w:p>
        </w:tc>
      </w:tr>
      <w:tr w:rsidR="00DA55F4" w:rsidRPr="00C00149" w:rsidTr="007E2986">
        <w:tc>
          <w:tcPr>
            <w:tcW w:w="3544" w:type="dxa"/>
          </w:tcPr>
          <w:p w:rsidR="00DA55F4" w:rsidRPr="00C00149" w:rsidRDefault="00DA55F4" w:rsidP="007E2986">
            <w:r w:rsidRPr="00C00149">
              <w:t>Kanslikommissionen</w:t>
            </w:r>
          </w:p>
        </w:tc>
        <w:tc>
          <w:tcPr>
            <w:tcW w:w="992" w:type="dxa"/>
            <w:vAlign w:val="center"/>
          </w:tcPr>
          <w:p w:rsidR="00DA55F4" w:rsidRPr="00C00149" w:rsidRDefault="00DA55F4" w:rsidP="007E2986">
            <w:pPr>
              <w:jc w:val="center"/>
            </w:pPr>
            <w:r w:rsidRPr="00C00149">
              <w:t>-</w:t>
            </w:r>
          </w:p>
        </w:tc>
        <w:tc>
          <w:tcPr>
            <w:tcW w:w="993" w:type="dxa"/>
            <w:vAlign w:val="center"/>
          </w:tcPr>
          <w:p w:rsidR="00DA55F4" w:rsidRPr="00C00149" w:rsidRDefault="00DA55F4" w:rsidP="007E2986">
            <w:pPr>
              <w:jc w:val="center"/>
            </w:pPr>
            <w:r w:rsidRPr="00C00149">
              <w:t>-</w:t>
            </w:r>
          </w:p>
        </w:tc>
        <w:tc>
          <w:tcPr>
            <w:tcW w:w="992" w:type="dxa"/>
            <w:vAlign w:val="center"/>
          </w:tcPr>
          <w:p w:rsidR="00DA55F4" w:rsidRPr="00C00149" w:rsidRDefault="00DA55F4" w:rsidP="007E2986">
            <w:pPr>
              <w:jc w:val="center"/>
            </w:pPr>
            <w:r w:rsidRPr="00C00149">
              <w:t>-</w:t>
            </w:r>
          </w:p>
        </w:tc>
      </w:tr>
      <w:tr w:rsidR="00DA55F4" w:rsidRPr="00C00149" w:rsidTr="007E2986">
        <w:trPr>
          <w:trHeight w:val="77"/>
        </w:trPr>
        <w:tc>
          <w:tcPr>
            <w:tcW w:w="3544" w:type="dxa"/>
          </w:tcPr>
          <w:p w:rsidR="00DA55F4" w:rsidRPr="00C00149" w:rsidRDefault="00DA55F4" w:rsidP="007E2986">
            <w:r w:rsidRPr="00C00149">
              <w:t>Självstyrelsepolitiska nämnden</w:t>
            </w:r>
          </w:p>
        </w:tc>
        <w:tc>
          <w:tcPr>
            <w:tcW w:w="992" w:type="dxa"/>
            <w:vAlign w:val="center"/>
          </w:tcPr>
          <w:p w:rsidR="00DA55F4" w:rsidRPr="00C00149" w:rsidRDefault="00DA55F4" w:rsidP="007E2986">
            <w:pPr>
              <w:jc w:val="center"/>
              <w:rPr>
                <w:lang w:val="en-GB"/>
              </w:rPr>
            </w:pPr>
            <w:r w:rsidRPr="00C00149">
              <w:rPr>
                <w:lang w:val="en-GB"/>
              </w:rPr>
              <w:t>-</w:t>
            </w:r>
          </w:p>
        </w:tc>
        <w:tc>
          <w:tcPr>
            <w:tcW w:w="993" w:type="dxa"/>
            <w:vAlign w:val="center"/>
          </w:tcPr>
          <w:p w:rsidR="00DA55F4" w:rsidRPr="00C00149" w:rsidRDefault="00DA55F4" w:rsidP="007E2986">
            <w:pPr>
              <w:jc w:val="center"/>
              <w:rPr>
                <w:lang w:val="en-GB"/>
              </w:rPr>
            </w:pPr>
            <w:r w:rsidRPr="00C00149">
              <w:rPr>
                <w:lang w:val="en-GB"/>
              </w:rPr>
              <w:t>-</w:t>
            </w:r>
          </w:p>
        </w:tc>
        <w:tc>
          <w:tcPr>
            <w:tcW w:w="992" w:type="dxa"/>
            <w:vAlign w:val="center"/>
          </w:tcPr>
          <w:p w:rsidR="00DA55F4" w:rsidRPr="00C00149" w:rsidRDefault="00DA55F4" w:rsidP="007E2986">
            <w:pPr>
              <w:jc w:val="center"/>
              <w:rPr>
                <w:lang w:val="en-GB"/>
              </w:rPr>
            </w:pPr>
            <w:r w:rsidRPr="00C00149">
              <w:rPr>
                <w:lang w:val="en-GB"/>
              </w:rPr>
              <w:t>-</w:t>
            </w:r>
          </w:p>
        </w:tc>
      </w:tr>
      <w:tr w:rsidR="00DA55F4" w:rsidRPr="00C00149" w:rsidTr="007E2986">
        <w:tc>
          <w:tcPr>
            <w:tcW w:w="3544" w:type="dxa"/>
          </w:tcPr>
          <w:p w:rsidR="00DA55F4" w:rsidRPr="00C00149" w:rsidRDefault="00DA55F4" w:rsidP="007E2986">
            <w:pPr>
              <w:rPr>
                <w:b/>
                <w:bCs/>
              </w:rPr>
            </w:pPr>
            <w:r w:rsidRPr="00C00149">
              <w:rPr>
                <w:b/>
                <w:bCs/>
              </w:rPr>
              <w:t>Totalt</w:t>
            </w:r>
          </w:p>
        </w:tc>
        <w:tc>
          <w:tcPr>
            <w:tcW w:w="992" w:type="dxa"/>
            <w:vAlign w:val="center"/>
          </w:tcPr>
          <w:p w:rsidR="00DA55F4" w:rsidRPr="00C00149" w:rsidRDefault="00DA55F4" w:rsidP="007E2986">
            <w:pPr>
              <w:jc w:val="center"/>
              <w:rPr>
                <w:b/>
                <w:bCs/>
                <w:lang w:val="en-GB"/>
              </w:rPr>
            </w:pPr>
            <w:r w:rsidRPr="00C00149">
              <w:rPr>
                <w:b/>
                <w:bCs/>
                <w:lang w:val="en-GB"/>
              </w:rPr>
              <w:t>6 st</w:t>
            </w:r>
          </w:p>
        </w:tc>
        <w:tc>
          <w:tcPr>
            <w:tcW w:w="993" w:type="dxa"/>
            <w:vAlign w:val="center"/>
          </w:tcPr>
          <w:p w:rsidR="00DA55F4" w:rsidRPr="00C00149" w:rsidRDefault="00DA55F4" w:rsidP="007E2986">
            <w:pPr>
              <w:jc w:val="center"/>
              <w:rPr>
                <w:b/>
                <w:bCs/>
                <w:lang w:val="en-GB"/>
              </w:rPr>
            </w:pPr>
            <w:r w:rsidRPr="00C00149">
              <w:rPr>
                <w:b/>
                <w:bCs/>
                <w:lang w:val="en-GB"/>
              </w:rPr>
              <w:t>3 st</w:t>
            </w:r>
          </w:p>
        </w:tc>
        <w:tc>
          <w:tcPr>
            <w:tcW w:w="992" w:type="dxa"/>
            <w:vAlign w:val="center"/>
          </w:tcPr>
          <w:p w:rsidR="00DA55F4" w:rsidRPr="00C00149" w:rsidRDefault="00DA55F4" w:rsidP="007E2986">
            <w:pPr>
              <w:jc w:val="center"/>
              <w:rPr>
                <w:b/>
                <w:bCs/>
                <w:lang w:val="en-GB"/>
              </w:rPr>
            </w:pPr>
            <w:r w:rsidRPr="00C00149">
              <w:rPr>
                <w:b/>
                <w:bCs/>
                <w:lang w:val="en-GB"/>
              </w:rPr>
              <w:t>6 st</w:t>
            </w:r>
          </w:p>
        </w:tc>
      </w:tr>
    </w:tbl>
    <w:p w:rsidR="00DA55F4" w:rsidRPr="00C00149" w:rsidRDefault="00DA55F4" w:rsidP="00DA55F4"/>
    <w:p w:rsidR="00DA55F4" w:rsidRPr="00C00149" w:rsidRDefault="00DA55F4" w:rsidP="00DA55F4">
      <w:r w:rsidRPr="00C00149">
        <w:t>De diarieförda kommissionsinitiativen fördelades på landskapsregeringens avdelningar och enheter enligt tabellen nedan</w:t>
      </w:r>
      <w:r>
        <w:t>.</w:t>
      </w:r>
    </w:p>
    <w:p w:rsidR="00DA55F4" w:rsidRPr="00C00149" w:rsidRDefault="00DA55F4" w:rsidP="00DA55F4">
      <w:pPr>
        <w:ind w:firstLine="284"/>
      </w:pPr>
    </w:p>
    <w:p w:rsidR="00DA55F4" w:rsidRDefault="00DA55F4" w:rsidP="00DA55F4">
      <w:pPr>
        <w:pStyle w:val="ANormal"/>
        <w:rPr>
          <w:b/>
        </w:rPr>
      </w:pPr>
      <w:r w:rsidRPr="00C00149">
        <w:rPr>
          <w:b/>
        </w:rPr>
        <w:t xml:space="preserve">Tabell 5: </w:t>
      </w:r>
    </w:p>
    <w:p w:rsidR="00DA55F4" w:rsidRPr="00C00149" w:rsidRDefault="00DA55F4" w:rsidP="00DA55F4">
      <w:pPr>
        <w:pStyle w:val="ANormal"/>
        <w:rPr>
          <w:b/>
        </w:rPr>
      </w:pPr>
      <w:r w:rsidRPr="00C00149">
        <w:rPr>
          <w:b/>
        </w:rPr>
        <w:t xml:space="preserve">Fördelning </w:t>
      </w:r>
      <w:r>
        <w:rPr>
          <w:b/>
        </w:rPr>
        <w:t>enhetsvis</w:t>
      </w:r>
      <w:r w:rsidRPr="00C00149">
        <w:rPr>
          <w:b/>
        </w:rPr>
        <w:t xml:space="preserve"> av diarieförda kommissionsinitiativ 2016</w:t>
      </w:r>
    </w:p>
    <w:p w:rsidR="00DA55F4" w:rsidRPr="00C00149" w:rsidRDefault="00DA55F4" w:rsidP="00DA55F4">
      <w:pPr>
        <w:pStyle w:val="ANormal"/>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992"/>
        <w:gridCol w:w="968"/>
        <w:gridCol w:w="1017"/>
      </w:tblGrid>
      <w:tr w:rsidR="00DA55F4" w:rsidRPr="00C00149" w:rsidTr="007E2986">
        <w:tc>
          <w:tcPr>
            <w:tcW w:w="3544" w:type="dxa"/>
            <w:shd w:val="clear" w:color="auto" w:fill="A6A6A6"/>
          </w:tcPr>
          <w:p w:rsidR="00DA55F4" w:rsidRPr="00C00149" w:rsidRDefault="00DA55F4" w:rsidP="007E2986">
            <w:pPr>
              <w:pStyle w:val="ANormal"/>
              <w:rPr>
                <w:b/>
                <w:bCs/>
              </w:rPr>
            </w:pPr>
            <w:r w:rsidRPr="00C00149">
              <w:rPr>
                <w:b/>
                <w:bCs/>
              </w:rPr>
              <w:t>Enhet inom landskapsregeringen</w:t>
            </w:r>
          </w:p>
        </w:tc>
        <w:tc>
          <w:tcPr>
            <w:tcW w:w="992" w:type="dxa"/>
            <w:shd w:val="clear" w:color="auto" w:fill="A6A6A6"/>
            <w:vAlign w:val="center"/>
          </w:tcPr>
          <w:p w:rsidR="00DA55F4" w:rsidRPr="00C00149" w:rsidRDefault="00DA55F4" w:rsidP="007E2986">
            <w:pPr>
              <w:pStyle w:val="ANormal"/>
              <w:jc w:val="center"/>
              <w:rPr>
                <w:b/>
                <w:bCs/>
              </w:rPr>
            </w:pPr>
            <w:r w:rsidRPr="00C00149">
              <w:rPr>
                <w:b/>
                <w:bCs/>
              </w:rPr>
              <w:t>2016</w:t>
            </w:r>
          </w:p>
        </w:tc>
        <w:tc>
          <w:tcPr>
            <w:tcW w:w="968" w:type="dxa"/>
            <w:shd w:val="clear" w:color="auto" w:fill="A6A6A6"/>
            <w:vAlign w:val="center"/>
          </w:tcPr>
          <w:p w:rsidR="00DA55F4" w:rsidRPr="00C00149" w:rsidRDefault="00DA55F4" w:rsidP="007E2986">
            <w:pPr>
              <w:pStyle w:val="ANormal"/>
              <w:jc w:val="center"/>
              <w:rPr>
                <w:b/>
                <w:bCs/>
              </w:rPr>
            </w:pPr>
            <w:r w:rsidRPr="00C00149">
              <w:rPr>
                <w:b/>
                <w:bCs/>
              </w:rPr>
              <w:t>2015</w:t>
            </w:r>
          </w:p>
        </w:tc>
        <w:tc>
          <w:tcPr>
            <w:tcW w:w="1017" w:type="dxa"/>
            <w:shd w:val="clear" w:color="auto" w:fill="A6A6A6"/>
            <w:vAlign w:val="center"/>
          </w:tcPr>
          <w:p w:rsidR="00DA55F4" w:rsidRPr="00C00149" w:rsidRDefault="00DA55F4" w:rsidP="007E2986">
            <w:pPr>
              <w:pStyle w:val="ANormal"/>
              <w:jc w:val="center"/>
              <w:rPr>
                <w:b/>
                <w:bCs/>
              </w:rPr>
            </w:pPr>
            <w:r w:rsidRPr="00C00149">
              <w:rPr>
                <w:b/>
                <w:bCs/>
              </w:rPr>
              <w:t>2014</w:t>
            </w:r>
          </w:p>
        </w:tc>
      </w:tr>
      <w:tr w:rsidR="00DA55F4" w:rsidRPr="00C00149" w:rsidTr="007E2986">
        <w:tc>
          <w:tcPr>
            <w:tcW w:w="3544" w:type="dxa"/>
            <w:shd w:val="clear" w:color="auto" w:fill="auto"/>
          </w:tcPr>
          <w:p w:rsidR="00DA55F4" w:rsidRPr="00C00149" w:rsidRDefault="00DA55F4" w:rsidP="007E2986">
            <w:pPr>
              <w:pStyle w:val="ANormal"/>
              <w:rPr>
                <w:b/>
                <w:bCs/>
              </w:rPr>
            </w:pPr>
            <w:r w:rsidRPr="00C00149">
              <w:rPr>
                <w:b/>
                <w:bCs/>
              </w:rPr>
              <w:t>Kansliavdelningen</w:t>
            </w:r>
          </w:p>
        </w:tc>
        <w:tc>
          <w:tcPr>
            <w:tcW w:w="992" w:type="dxa"/>
            <w:vAlign w:val="center"/>
          </w:tcPr>
          <w:p w:rsidR="00DA55F4" w:rsidRPr="00C00149" w:rsidRDefault="00DA55F4" w:rsidP="007E2986">
            <w:pPr>
              <w:pStyle w:val="ANormal"/>
              <w:jc w:val="center"/>
            </w:pPr>
          </w:p>
        </w:tc>
        <w:tc>
          <w:tcPr>
            <w:tcW w:w="968" w:type="dxa"/>
            <w:shd w:val="clear" w:color="auto" w:fill="auto"/>
            <w:vAlign w:val="center"/>
          </w:tcPr>
          <w:p w:rsidR="00DA55F4" w:rsidRPr="00C00149" w:rsidRDefault="00DA55F4" w:rsidP="007E2986">
            <w:pPr>
              <w:pStyle w:val="ANormal"/>
              <w:jc w:val="center"/>
            </w:pPr>
          </w:p>
        </w:tc>
        <w:tc>
          <w:tcPr>
            <w:tcW w:w="1017" w:type="dxa"/>
            <w:vAlign w:val="center"/>
          </w:tcPr>
          <w:p w:rsidR="00DA55F4" w:rsidRPr="00C00149" w:rsidRDefault="00DA55F4" w:rsidP="007E2986">
            <w:pPr>
              <w:pStyle w:val="ANormal"/>
              <w:jc w:val="center"/>
            </w:pPr>
          </w:p>
        </w:tc>
      </w:tr>
      <w:tr w:rsidR="00DA55F4" w:rsidRPr="00C00149" w:rsidTr="007E2986">
        <w:tc>
          <w:tcPr>
            <w:tcW w:w="3544" w:type="dxa"/>
            <w:shd w:val="clear" w:color="auto" w:fill="auto"/>
          </w:tcPr>
          <w:p w:rsidR="00DA55F4" w:rsidRPr="00C00149" w:rsidRDefault="00DA55F4" w:rsidP="007E2986">
            <w:pPr>
              <w:pStyle w:val="ANormal"/>
            </w:pPr>
            <w:r>
              <w:t xml:space="preserve">Rättsserviceenheten </w:t>
            </w:r>
          </w:p>
        </w:tc>
        <w:tc>
          <w:tcPr>
            <w:tcW w:w="992" w:type="dxa"/>
            <w:vAlign w:val="center"/>
          </w:tcPr>
          <w:p w:rsidR="00DA55F4" w:rsidRPr="00C00149" w:rsidRDefault="00DA55F4" w:rsidP="007E2986">
            <w:pPr>
              <w:pStyle w:val="ANormal"/>
              <w:jc w:val="center"/>
            </w:pPr>
            <w:r w:rsidRPr="00C00149">
              <w:t>1 st</w:t>
            </w:r>
          </w:p>
        </w:tc>
        <w:tc>
          <w:tcPr>
            <w:tcW w:w="968" w:type="dxa"/>
            <w:shd w:val="clear" w:color="auto" w:fill="auto"/>
            <w:vAlign w:val="center"/>
          </w:tcPr>
          <w:p w:rsidR="00DA55F4" w:rsidRPr="00C00149" w:rsidRDefault="00DA55F4" w:rsidP="007E2986">
            <w:pPr>
              <w:pStyle w:val="ANormal"/>
              <w:jc w:val="center"/>
            </w:pPr>
          </w:p>
        </w:tc>
        <w:tc>
          <w:tcPr>
            <w:tcW w:w="1017" w:type="dxa"/>
            <w:vAlign w:val="center"/>
          </w:tcPr>
          <w:p w:rsidR="00DA55F4" w:rsidRPr="00C00149" w:rsidRDefault="00DA55F4" w:rsidP="007E2986">
            <w:pPr>
              <w:pStyle w:val="ANormal"/>
              <w:jc w:val="center"/>
            </w:pPr>
          </w:p>
        </w:tc>
      </w:tr>
      <w:tr w:rsidR="00DA55F4" w:rsidRPr="00C00149" w:rsidTr="007E2986">
        <w:tc>
          <w:tcPr>
            <w:tcW w:w="3544" w:type="dxa"/>
            <w:shd w:val="clear" w:color="auto" w:fill="auto"/>
          </w:tcPr>
          <w:p w:rsidR="00DA55F4" w:rsidRPr="00C00149" w:rsidRDefault="00DA55F4" w:rsidP="007E2986">
            <w:pPr>
              <w:pStyle w:val="ANormal"/>
            </w:pPr>
            <w:r>
              <w:t xml:space="preserve">EU-enheten </w:t>
            </w:r>
          </w:p>
        </w:tc>
        <w:tc>
          <w:tcPr>
            <w:tcW w:w="992" w:type="dxa"/>
            <w:vAlign w:val="center"/>
          </w:tcPr>
          <w:p w:rsidR="00DA55F4" w:rsidRPr="00C00149" w:rsidRDefault="00DA55F4" w:rsidP="007E2986">
            <w:pPr>
              <w:pStyle w:val="ANormal"/>
              <w:jc w:val="center"/>
            </w:pPr>
            <w:r w:rsidRPr="00C00149">
              <w:t>-</w:t>
            </w:r>
          </w:p>
        </w:tc>
        <w:tc>
          <w:tcPr>
            <w:tcW w:w="968" w:type="dxa"/>
            <w:shd w:val="clear" w:color="auto" w:fill="auto"/>
            <w:vAlign w:val="center"/>
          </w:tcPr>
          <w:p w:rsidR="00DA55F4" w:rsidRPr="00C00149" w:rsidRDefault="00DA55F4" w:rsidP="007E2986">
            <w:pPr>
              <w:pStyle w:val="ANormal"/>
              <w:jc w:val="center"/>
            </w:pPr>
            <w:r w:rsidRPr="00C00149">
              <w:t>-</w:t>
            </w:r>
          </w:p>
        </w:tc>
        <w:tc>
          <w:tcPr>
            <w:tcW w:w="1017" w:type="dxa"/>
            <w:vAlign w:val="center"/>
          </w:tcPr>
          <w:p w:rsidR="00DA55F4" w:rsidRPr="00C00149" w:rsidRDefault="00DA55F4" w:rsidP="007E2986">
            <w:pPr>
              <w:pStyle w:val="ANormal"/>
              <w:jc w:val="center"/>
            </w:pPr>
            <w:r w:rsidRPr="00C00149">
              <w:t>1 st</w:t>
            </w:r>
          </w:p>
        </w:tc>
      </w:tr>
      <w:tr w:rsidR="00DA55F4" w:rsidRPr="00C00149" w:rsidTr="007E2986">
        <w:tc>
          <w:tcPr>
            <w:tcW w:w="3544" w:type="dxa"/>
            <w:shd w:val="clear" w:color="auto" w:fill="auto"/>
          </w:tcPr>
          <w:p w:rsidR="00DA55F4" w:rsidRPr="00C00149" w:rsidRDefault="00DA55F4" w:rsidP="007E2986">
            <w:pPr>
              <w:pStyle w:val="ANormal"/>
              <w:rPr>
                <w:b/>
                <w:bCs/>
              </w:rPr>
            </w:pPr>
            <w:r w:rsidRPr="00C00149">
              <w:rPr>
                <w:b/>
                <w:bCs/>
              </w:rPr>
              <w:t>Finansavdelningen</w:t>
            </w:r>
          </w:p>
        </w:tc>
        <w:tc>
          <w:tcPr>
            <w:tcW w:w="992" w:type="dxa"/>
            <w:vAlign w:val="center"/>
          </w:tcPr>
          <w:p w:rsidR="00DA55F4" w:rsidRPr="00C00149" w:rsidRDefault="00DA55F4" w:rsidP="007E2986">
            <w:pPr>
              <w:pStyle w:val="ANormal"/>
              <w:jc w:val="center"/>
            </w:pPr>
          </w:p>
        </w:tc>
        <w:tc>
          <w:tcPr>
            <w:tcW w:w="968" w:type="dxa"/>
            <w:shd w:val="clear" w:color="auto" w:fill="auto"/>
            <w:vAlign w:val="center"/>
          </w:tcPr>
          <w:p w:rsidR="00DA55F4" w:rsidRPr="00C00149" w:rsidRDefault="00DA55F4" w:rsidP="007E2986">
            <w:pPr>
              <w:pStyle w:val="ANormal"/>
              <w:jc w:val="center"/>
            </w:pPr>
          </w:p>
        </w:tc>
        <w:tc>
          <w:tcPr>
            <w:tcW w:w="1017" w:type="dxa"/>
            <w:vAlign w:val="center"/>
          </w:tcPr>
          <w:p w:rsidR="00DA55F4" w:rsidRPr="00C00149" w:rsidRDefault="00DA55F4" w:rsidP="007E2986">
            <w:pPr>
              <w:pStyle w:val="ANormal"/>
              <w:jc w:val="center"/>
            </w:pPr>
          </w:p>
        </w:tc>
      </w:tr>
      <w:tr w:rsidR="00DA55F4" w:rsidRPr="00C00149" w:rsidTr="007E2986">
        <w:tc>
          <w:tcPr>
            <w:tcW w:w="3544" w:type="dxa"/>
            <w:shd w:val="clear" w:color="auto" w:fill="auto"/>
          </w:tcPr>
          <w:p w:rsidR="00DA55F4" w:rsidRPr="00C00149" w:rsidRDefault="00DA55F4" w:rsidP="007E2986">
            <w:pPr>
              <w:pStyle w:val="ANormal"/>
            </w:pPr>
            <w:r>
              <w:t xml:space="preserve">Allmänna byrån </w:t>
            </w:r>
          </w:p>
        </w:tc>
        <w:tc>
          <w:tcPr>
            <w:tcW w:w="992" w:type="dxa"/>
            <w:vAlign w:val="center"/>
          </w:tcPr>
          <w:p w:rsidR="00DA55F4" w:rsidRPr="00C00149" w:rsidRDefault="00DA55F4" w:rsidP="007E2986">
            <w:pPr>
              <w:pStyle w:val="ANormal"/>
              <w:jc w:val="center"/>
            </w:pPr>
            <w:r w:rsidRPr="00C00149">
              <w:t>9 st</w:t>
            </w:r>
          </w:p>
        </w:tc>
        <w:tc>
          <w:tcPr>
            <w:tcW w:w="968" w:type="dxa"/>
            <w:shd w:val="clear" w:color="auto" w:fill="auto"/>
            <w:vAlign w:val="center"/>
          </w:tcPr>
          <w:p w:rsidR="00DA55F4" w:rsidRPr="00C00149" w:rsidRDefault="00DA55F4" w:rsidP="007E2986">
            <w:pPr>
              <w:pStyle w:val="ANormal"/>
              <w:jc w:val="center"/>
            </w:pPr>
            <w:r w:rsidRPr="00C00149">
              <w:t>2 st</w:t>
            </w:r>
          </w:p>
        </w:tc>
        <w:tc>
          <w:tcPr>
            <w:tcW w:w="1017" w:type="dxa"/>
            <w:vAlign w:val="center"/>
          </w:tcPr>
          <w:p w:rsidR="00DA55F4" w:rsidRPr="00C00149" w:rsidRDefault="00DA55F4" w:rsidP="007E2986">
            <w:pPr>
              <w:pStyle w:val="ANormal"/>
              <w:jc w:val="center"/>
            </w:pPr>
            <w:r w:rsidRPr="00C00149">
              <w:t>3 st</w:t>
            </w:r>
          </w:p>
        </w:tc>
      </w:tr>
      <w:tr w:rsidR="00DA55F4" w:rsidRPr="00C00149" w:rsidTr="007E2986">
        <w:tc>
          <w:tcPr>
            <w:tcW w:w="3544" w:type="dxa"/>
            <w:shd w:val="clear" w:color="auto" w:fill="auto"/>
          </w:tcPr>
          <w:p w:rsidR="00DA55F4" w:rsidRPr="00C00149" w:rsidRDefault="00DA55F4" w:rsidP="007E2986">
            <w:pPr>
              <w:pStyle w:val="ANormal"/>
              <w:rPr>
                <w:b/>
                <w:bCs/>
                <w:lang w:val="sv-FI"/>
              </w:rPr>
            </w:pPr>
            <w:r w:rsidRPr="00C00149">
              <w:rPr>
                <w:b/>
                <w:bCs/>
                <w:lang w:val="sv-FI"/>
              </w:rPr>
              <w:t>Social- och miljöavdelningen</w:t>
            </w:r>
          </w:p>
        </w:tc>
        <w:tc>
          <w:tcPr>
            <w:tcW w:w="992" w:type="dxa"/>
            <w:vAlign w:val="center"/>
          </w:tcPr>
          <w:p w:rsidR="00DA55F4" w:rsidRPr="00C00149" w:rsidRDefault="00DA55F4" w:rsidP="007E2986">
            <w:pPr>
              <w:pStyle w:val="ANormal"/>
              <w:jc w:val="center"/>
            </w:pPr>
          </w:p>
        </w:tc>
        <w:tc>
          <w:tcPr>
            <w:tcW w:w="968" w:type="dxa"/>
            <w:shd w:val="clear" w:color="auto" w:fill="auto"/>
            <w:vAlign w:val="center"/>
          </w:tcPr>
          <w:p w:rsidR="00DA55F4" w:rsidRPr="00C00149" w:rsidRDefault="00DA55F4" w:rsidP="007E2986">
            <w:pPr>
              <w:pStyle w:val="ANormal"/>
              <w:jc w:val="center"/>
            </w:pPr>
          </w:p>
        </w:tc>
        <w:tc>
          <w:tcPr>
            <w:tcW w:w="1017" w:type="dxa"/>
            <w:vAlign w:val="center"/>
          </w:tcPr>
          <w:p w:rsidR="00DA55F4" w:rsidRPr="00C00149" w:rsidRDefault="00DA55F4" w:rsidP="007E2986">
            <w:pPr>
              <w:pStyle w:val="ANormal"/>
              <w:jc w:val="center"/>
            </w:pPr>
          </w:p>
        </w:tc>
      </w:tr>
      <w:tr w:rsidR="00DA55F4" w:rsidRPr="00C00149" w:rsidTr="007E2986">
        <w:tc>
          <w:tcPr>
            <w:tcW w:w="3544" w:type="dxa"/>
            <w:shd w:val="clear" w:color="auto" w:fill="auto"/>
          </w:tcPr>
          <w:p w:rsidR="00DA55F4" w:rsidRPr="00C00149" w:rsidRDefault="00DA55F4" w:rsidP="007E2986">
            <w:pPr>
              <w:pStyle w:val="ANormal"/>
              <w:rPr>
                <w:lang w:val="sv-FI"/>
              </w:rPr>
            </w:pPr>
            <w:r>
              <w:rPr>
                <w:lang w:val="sv-FI"/>
              </w:rPr>
              <w:t xml:space="preserve">Miljöbyrån </w:t>
            </w:r>
          </w:p>
        </w:tc>
        <w:tc>
          <w:tcPr>
            <w:tcW w:w="992" w:type="dxa"/>
            <w:vAlign w:val="center"/>
          </w:tcPr>
          <w:p w:rsidR="00DA55F4" w:rsidRPr="00C00149" w:rsidRDefault="00DA55F4" w:rsidP="007E2986">
            <w:pPr>
              <w:pStyle w:val="ANormal"/>
              <w:jc w:val="center"/>
            </w:pPr>
            <w:r w:rsidRPr="00C00149">
              <w:t>6 st</w:t>
            </w:r>
          </w:p>
        </w:tc>
        <w:tc>
          <w:tcPr>
            <w:tcW w:w="968" w:type="dxa"/>
            <w:shd w:val="clear" w:color="auto" w:fill="auto"/>
            <w:vAlign w:val="center"/>
          </w:tcPr>
          <w:p w:rsidR="00DA55F4" w:rsidRPr="00C00149" w:rsidRDefault="00DA55F4" w:rsidP="007E2986">
            <w:pPr>
              <w:pStyle w:val="ANormal"/>
              <w:jc w:val="center"/>
            </w:pPr>
            <w:r w:rsidRPr="00C00149">
              <w:t>-</w:t>
            </w:r>
          </w:p>
        </w:tc>
        <w:tc>
          <w:tcPr>
            <w:tcW w:w="1017" w:type="dxa"/>
            <w:vAlign w:val="center"/>
          </w:tcPr>
          <w:p w:rsidR="00DA55F4" w:rsidRPr="00C00149" w:rsidRDefault="00DA55F4" w:rsidP="007E2986">
            <w:pPr>
              <w:pStyle w:val="ANormal"/>
              <w:jc w:val="center"/>
            </w:pPr>
            <w:r w:rsidRPr="00C00149">
              <w:t>3 st</w:t>
            </w:r>
          </w:p>
        </w:tc>
      </w:tr>
      <w:tr w:rsidR="00DA55F4" w:rsidRPr="00C00149" w:rsidTr="007E2986">
        <w:tc>
          <w:tcPr>
            <w:tcW w:w="3544" w:type="dxa"/>
            <w:shd w:val="clear" w:color="auto" w:fill="auto"/>
          </w:tcPr>
          <w:p w:rsidR="00DA55F4" w:rsidRPr="00C00149" w:rsidRDefault="00DA55F4" w:rsidP="007E2986">
            <w:pPr>
              <w:pStyle w:val="ANormal"/>
              <w:rPr>
                <w:b/>
                <w:bCs/>
                <w:lang w:val="sv-FI"/>
              </w:rPr>
            </w:pPr>
            <w:r w:rsidRPr="00C00149">
              <w:rPr>
                <w:b/>
                <w:bCs/>
                <w:lang w:val="sv-FI"/>
              </w:rPr>
              <w:t>Näringsavdelningen</w:t>
            </w:r>
          </w:p>
        </w:tc>
        <w:tc>
          <w:tcPr>
            <w:tcW w:w="992" w:type="dxa"/>
            <w:vAlign w:val="center"/>
          </w:tcPr>
          <w:p w:rsidR="00DA55F4" w:rsidRPr="00C00149" w:rsidRDefault="00DA55F4" w:rsidP="007E2986">
            <w:pPr>
              <w:pStyle w:val="ANormal"/>
              <w:jc w:val="center"/>
            </w:pPr>
          </w:p>
        </w:tc>
        <w:tc>
          <w:tcPr>
            <w:tcW w:w="968" w:type="dxa"/>
            <w:shd w:val="clear" w:color="auto" w:fill="auto"/>
            <w:vAlign w:val="center"/>
          </w:tcPr>
          <w:p w:rsidR="00DA55F4" w:rsidRPr="00C00149" w:rsidRDefault="00DA55F4" w:rsidP="007E2986">
            <w:pPr>
              <w:pStyle w:val="ANormal"/>
              <w:jc w:val="center"/>
            </w:pPr>
          </w:p>
        </w:tc>
        <w:tc>
          <w:tcPr>
            <w:tcW w:w="1017" w:type="dxa"/>
            <w:vAlign w:val="center"/>
          </w:tcPr>
          <w:p w:rsidR="00DA55F4" w:rsidRPr="00C00149" w:rsidRDefault="00DA55F4" w:rsidP="007E2986">
            <w:pPr>
              <w:pStyle w:val="ANormal"/>
              <w:jc w:val="center"/>
            </w:pPr>
          </w:p>
        </w:tc>
      </w:tr>
      <w:tr w:rsidR="00DA55F4" w:rsidRPr="00C00149" w:rsidTr="007E2986">
        <w:tc>
          <w:tcPr>
            <w:tcW w:w="3544" w:type="dxa"/>
            <w:shd w:val="clear" w:color="auto" w:fill="auto"/>
          </w:tcPr>
          <w:p w:rsidR="00DA55F4" w:rsidRPr="00C00149" w:rsidRDefault="00DA55F4" w:rsidP="007E2986">
            <w:pPr>
              <w:pStyle w:val="ANormal"/>
              <w:rPr>
                <w:lang w:val="sv-FI"/>
              </w:rPr>
            </w:pPr>
            <w:r>
              <w:rPr>
                <w:lang w:val="sv-FI"/>
              </w:rPr>
              <w:t xml:space="preserve">Jordbruksbyrån </w:t>
            </w:r>
          </w:p>
        </w:tc>
        <w:tc>
          <w:tcPr>
            <w:tcW w:w="992" w:type="dxa"/>
            <w:vAlign w:val="center"/>
          </w:tcPr>
          <w:p w:rsidR="00DA55F4" w:rsidRPr="00C00149" w:rsidRDefault="00DA55F4" w:rsidP="007E2986">
            <w:pPr>
              <w:pStyle w:val="ANormal"/>
              <w:jc w:val="center"/>
            </w:pPr>
            <w:r w:rsidRPr="00C00149">
              <w:t>-</w:t>
            </w:r>
          </w:p>
        </w:tc>
        <w:tc>
          <w:tcPr>
            <w:tcW w:w="968" w:type="dxa"/>
            <w:shd w:val="clear" w:color="auto" w:fill="auto"/>
            <w:vAlign w:val="center"/>
          </w:tcPr>
          <w:p w:rsidR="00DA55F4" w:rsidRPr="00C00149" w:rsidRDefault="00DA55F4" w:rsidP="007E2986">
            <w:pPr>
              <w:pStyle w:val="ANormal"/>
              <w:jc w:val="center"/>
            </w:pPr>
            <w:r w:rsidRPr="00C00149">
              <w:t>1 st</w:t>
            </w:r>
          </w:p>
        </w:tc>
        <w:tc>
          <w:tcPr>
            <w:tcW w:w="1017" w:type="dxa"/>
            <w:vAlign w:val="center"/>
          </w:tcPr>
          <w:p w:rsidR="00DA55F4" w:rsidRPr="00C00149" w:rsidRDefault="00DA55F4" w:rsidP="007E2986">
            <w:pPr>
              <w:pStyle w:val="ANormal"/>
              <w:jc w:val="center"/>
            </w:pPr>
            <w:r w:rsidRPr="00C00149">
              <w:t>3 st</w:t>
            </w:r>
          </w:p>
        </w:tc>
      </w:tr>
      <w:tr w:rsidR="00DA55F4" w:rsidRPr="00C00149" w:rsidTr="007E2986">
        <w:tc>
          <w:tcPr>
            <w:tcW w:w="3544" w:type="dxa"/>
            <w:shd w:val="clear" w:color="auto" w:fill="auto"/>
          </w:tcPr>
          <w:p w:rsidR="00DA55F4" w:rsidRPr="00C00149" w:rsidRDefault="00DA55F4" w:rsidP="007E2986">
            <w:pPr>
              <w:pStyle w:val="ANormal"/>
              <w:rPr>
                <w:lang w:val="sv-FI"/>
              </w:rPr>
            </w:pPr>
            <w:r>
              <w:rPr>
                <w:lang w:val="sv-FI"/>
              </w:rPr>
              <w:t xml:space="preserve">Fiskeribyrån </w:t>
            </w:r>
          </w:p>
        </w:tc>
        <w:tc>
          <w:tcPr>
            <w:tcW w:w="992" w:type="dxa"/>
            <w:vAlign w:val="center"/>
          </w:tcPr>
          <w:p w:rsidR="00DA55F4" w:rsidRPr="00C00149" w:rsidRDefault="00DA55F4" w:rsidP="007E2986">
            <w:pPr>
              <w:pStyle w:val="ANormal"/>
              <w:jc w:val="center"/>
            </w:pPr>
            <w:r w:rsidRPr="00C00149">
              <w:t>1 st</w:t>
            </w:r>
          </w:p>
        </w:tc>
        <w:tc>
          <w:tcPr>
            <w:tcW w:w="968" w:type="dxa"/>
            <w:shd w:val="clear" w:color="auto" w:fill="auto"/>
            <w:vAlign w:val="center"/>
          </w:tcPr>
          <w:p w:rsidR="00DA55F4" w:rsidRPr="00C00149" w:rsidRDefault="00DA55F4" w:rsidP="007E2986">
            <w:pPr>
              <w:pStyle w:val="ANormal"/>
              <w:jc w:val="center"/>
            </w:pPr>
            <w:r w:rsidRPr="00C00149">
              <w:t>1 st</w:t>
            </w:r>
          </w:p>
        </w:tc>
        <w:tc>
          <w:tcPr>
            <w:tcW w:w="1017" w:type="dxa"/>
            <w:vAlign w:val="center"/>
          </w:tcPr>
          <w:p w:rsidR="00DA55F4" w:rsidRPr="00C00149" w:rsidRDefault="00DA55F4" w:rsidP="007E2986">
            <w:pPr>
              <w:pStyle w:val="ANormal"/>
              <w:jc w:val="center"/>
            </w:pPr>
            <w:r w:rsidRPr="00C00149">
              <w:t>-</w:t>
            </w:r>
          </w:p>
        </w:tc>
      </w:tr>
      <w:tr w:rsidR="00DA55F4" w:rsidRPr="00C00149" w:rsidTr="007E2986">
        <w:tc>
          <w:tcPr>
            <w:tcW w:w="3544" w:type="dxa"/>
            <w:shd w:val="clear" w:color="auto" w:fill="auto"/>
          </w:tcPr>
          <w:p w:rsidR="00DA55F4" w:rsidRPr="00C00149" w:rsidRDefault="00DA55F4" w:rsidP="007E2986">
            <w:pPr>
              <w:pStyle w:val="ANormal"/>
              <w:rPr>
                <w:lang w:val="sv-FI"/>
              </w:rPr>
            </w:pPr>
            <w:r>
              <w:rPr>
                <w:lang w:val="sv-FI"/>
              </w:rPr>
              <w:t xml:space="preserve">Jakt- och viltvård </w:t>
            </w:r>
          </w:p>
        </w:tc>
        <w:tc>
          <w:tcPr>
            <w:tcW w:w="992" w:type="dxa"/>
            <w:vAlign w:val="center"/>
          </w:tcPr>
          <w:p w:rsidR="00DA55F4" w:rsidRPr="00C00149" w:rsidRDefault="00DA55F4" w:rsidP="007E2986">
            <w:pPr>
              <w:pStyle w:val="ANormal"/>
              <w:jc w:val="center"/>
            </w:pPr>
            <w:r w:rsidRPr="00C00149">
              <w:t>-</w:t>
            </w:r>
          </w:p>
        </w:tc>
        <w:tc>
          <w:tcPr>
            <w:tcW w:w="968" w:type="dxa"/>
            <w:shd w:val="clear" w:color="auto" w:fill="auto"/>
            <w:vAlign w:val="center"/>
          </w:tcPr>
          <w:p w:rsidR="00DA55F4" w:rsidRPr="00C00149" w:rsidRDefault="00DA55F4" w:rsidP="007E2986">
            <w:pPr>
              <w:pStyle w:val="ANormal"/>
              <w:jc w:val="center"/>
            </w:pPr>
            <w:r w:rsidRPr="00C00149">
              <w:t>2 st</w:t>
            </w:r>
          </w:p>
        </w:tc>
        <w:tc>
          <w:tcPr>
            <w:tcW w:w="1017" w:type="dxa"/>
            <w:vAlign w:val="center"/>
          </w:tcPr>
          <w:p w:rsidR="00DA55F4" w:rsidRPr="00C00149" w:rsidRDefault="00DA55F4" w:rsidP="007E2986">
            <w:pPr>
              <w:pStyle w:val="ANormal"/>
              <w:jc w:val="center"/>
            </w:pPr>
            <w:r w:rsidRPr="00C00149">
              <w:t>-</w:t>
            </w:r>
          </w:p>
        </w:tc>
      </w:tr>
      <w:tr w:rsidR="00DA55F4" w:rsidRPr="00C00149" w:rsidTr="007E2986">
        <w:tc>
          <w:tcPr>
            <w:tcW w:w="3544" w:type="dxa"/>
            <w:shd w:val="clear" w:color="auto" w:fill="auto"/>
          </w:tcPr>
          <w:p w:rsidR="00DA55F4" w:rsidRPr="00C00149" w:rsidRDefault="00DA55F4" w:rsidP="007E2986">
            <w:pPr>
              <w:pStyle w:val="ANormal"/>
              <w:rPr>
                <w:b/>
                <w:bCs/>
                <w:lang w:val="sv-FI"/>
              </w:rPr>
            </w:pPr>
            <w:r w:rsidRPr="00C00149">
              <w:rPr>
                <w:b/>
                <w:bCs/>
                <w:lang w:val="sv-FI"/>
              </w:rPr>
              <w:t>Utbildnings och kulturavdelningen</w:t>
            </w:r>
          </w:p>
        </w:tc>
        <w:tc>
          <w:tcPr>
            <w:tcW w:w="992" w:type="dxa"/>
            <w:vAlign w:val="center"/>
          </w:tcPr>
          <w:p w:rsidR="00DA55F4" w:rsidRPr="00C00149" w:rsidRDefault="00DA55F4" w:rsidP="007E2986">
            <w:pPr>
              <w:pStyle w:val="ANormal"/>
              <w:jc w:val="center"/>
            </w:pPr>
          </w:p>
        </w:tc>
        <w:tc>
          <w:tcPr>
            <w:tcW w:w="968" w:type="dxa"/>
            <w:shd w:val="clear" w:color="auto" w:fill="auto"/>
            <w:vAlign w:val="center"/>
          </w:tcPr>
          <w:p w:rsidR="00DA55F4" w:rsidRPr="00C00149" w:rsidRDefault="00DA55F4" w:rsidP="007E2986">
            <w:pPr>
              <w:pStyle w:val="ANormal"/>
              <w:jc w:val="center"/>
            </w:pPr>
          </w:p>
        </w:tc>
        <w:tc>
          <w:tcPr>
            <w:tcW w:w="1017" w:type="dxa"/>
            <w:vAlign w:val="center"/>
          </w:tcPr>
          <w:p w:rsidR="00DA55F4" w:rsidRPr="00C00149" w:rsidRDefault="00DA55F4" w:rsidP="007E2986">
            <w:pPr>
              <w:pStyle w:val="ANormal"/>
              <w:jc w:val="center"/>
            </w:pPr>
          </w:p>
        </w:tc>
      </w:tr>
      <w:tr w:rsidR="00DA55F4" w:rsidRPr="00C00149" w:rsidTr="007E2986">
        <w:tc>
          <w:tcPr>
            <w:tcW w:w="3544" w:type="dxa"/>
            <w:shd w:val="clear" w:color="auto" w:fill="auto"/>
          </w:tcPr>
          <w:p w:rsidR="00DA55F4" w:rsidRPr="00C00149" w:rsidRDefault="00DA55F4" w:rsidP="007E2986">
            <w:pPr>
              <w:pStyle w:val="ANormal"/>
              <w:rPr>
                <w:lang w:val="sv-FI"/>
              </w:rPr>
            </w:pPr>
            <w:r>
              <w:rPr>
                <w:lang w:val="sv-FI"/>
              </w:rPr>
              <w:t>Allmänna byrån</w:t>
            </w:r>
          </w:p>
        </w:tc>
        <w:tc>
          <w:tcPr>
            <w:tcW w:w="992" w:type="dxa"/>
            <w:vAlign w:val="center"/>
          </w:tcPr>
          <w:p w:rsidR="00DA55F4" w:rsidRPr="00C00149" w:rsidRDefault="00DA55F4" w:rsidP="007E2986">
            <w:pPr>
              <w:pStyle w:val="ANormal"/>
              <w:jc w:val="center"/>
            </w:pPr>
            <w:r w:rsidRPr="00C00149">
              <w:t>-</w:t>
            </w:r>
          </w:p>
        </w:tc>
        <w:tc>
          <w:tcPr>
            <w:tcW w:w="968" w:type="dxa"/>
            <w:shd w:val="clear" w:color="auto" w:fill="auto"/>
            <w:vAlign w:val="center"/>
          </w:tcPr>
          <w:p w:rsidR="00DA55F4" w:rsidRPr="00C00149" w:rsidRDefault="00DA55F4" w:rsidP="007E2986">
            <w:pPr>
              <w:pStyle w:val="ANormal"/>
              <w:jc w:val="center"/>
            </w:pPr>
            <w:r w:rsidRPr="00C00149">
              <w:t>-</w:t>
            </w:r>
          </w:p>
        </w:tc>
        <w:tc>
          <w:tcPr>
            <w:tcW w:w="1017" w:type="dxa"/>
            <w:vAlign w:val="center"/>
          </w:tcPr>
          <w:p w:rsidR="00DA55F4" w:rsidRPr="00C00149" w:rsidRDefault="00DA55F4" w:rsidP="007E2986">
            <w:pPr>
              <w:pStyle w:val="ANormal"/>
              <w:jc w:val="center"/>
            </w:pPr>
            <w:r w:rsidRPr="00C00149">
              <w:t>-</w:t>
            </w:r>
          </w:p>
        </w:tc>
      </w:tr>
      <w:tr w:rsidR="00DA55F4" w:rsidRPr="00C00149" w:rsidTr="007E2986">
        <w:tc>
          <w:tcPr>
            <w:tcW w:w="3544" w:type="dxa"/>
            <w:shd w:val="clear" w:color="auto" w:fill="auto"/>
          </w:tcPr>
          <w:p w:rsidR="00DA55F4" w:rsidRPr="00C00149" w:rsidRDefault="00DA55F4" w:rsidP="007E2986">
            <w:pPr>
              <w:pStyle w:val="ANormal"/>
              <w:rPr>
                <w:lang w:val="sv-FI"/>
              </w:rPr>
            </w:pPr>
            <w:r>
              <w:rPr>
                <w:lang w:val="sv-FI"/>
              </w:rPr>
              <w:t xml:space="preserve">Kulturbyrån </w:t>
            </w:r>
          </w:p>
        </w:tc>
        <w:tc>
          <w:tcPr>
            <w:tcW w:w="992" w:type="dxa"/>
            <w:vAlign w:val="center"/>
          </w:tcPr>
          <w:p w:rsidR="00DA55F4" w:rsidRPr="00C00149" w:rsidRDefault="00DA55F4" w:rsidP="007E2986">
            <w:pPr>
              <w:pStyle w:val="ANormal"/>
              <w:jc w:val="center"/>
            </w:pPr>
            <w:r w:rsidRPr="00C00149">
              <w:t>4 st</w:t>
            </w:r>
          </w:p>
        </w:tc>
        <w:tc>
          <w:tcPr>
            <w:tcW w:w="968" w:type="dxa"/>
            <w:shd w:val="clear" w:color="auto" w:fill="auto"/>
            <w:vAlign w:val="center"/>
          </w:tcPr>
          <w:p w:rsidR="00DA55F4" w:rsidRPr="00C00149" w:rsidRDefault="00DA55F4" w:rsidP="007E2986">
            <w:pPr>
              <w:pStyle w:val="ANormal"/>
              <w:jc w:val="center"/>
            </w:pPr>
            <w:r w:rsidRPr="00C00149">
              <w:t>2 st</w:t>
            </w:r>
          </w:p>
        </w:tc>
        <w:tc>
          <w:tcPr>
            <w:tcW w:w="1017" w:type="dxa"/>
            <w:vAlign w:val="center"/>
          </w:tcPr>
          <w:p w:rsidR="00DA55F4" w:rsidRPr="00C00149" w:rsidRDefault="00DA55F4" w:rsidP="007E2986">
            <w:pPr>
              <w:pStyle w:val="ANormal"/>
              <w:jc w:val="center"/>
            </w:pPr>
            <w:r w:rsidRPr="00C00149">
              <w:t>-</w:t>
            </w:r>
          </w:p>
        </w:tc>
      </w:tr>
      <w:tr w:rsidR="00DA55F4" w:rsidRPr="00C00149" w:rsidTr="007E2986">
        <w:tc>
          <w:tcPr>
            <w:tcW w:w="3544" w:type="dxa"/>
            <w:shd w:val="clear" w:color="auto" w:fill="auto"/>
          </w:tcPr>
          <w:p w:rsidR="00DA55F4" w:rsidRPr="00C00149" w:rsidRDefault="00DA55F4" w:rsidP="007E2986">
            <w:pPr>
              <w:pStyle w:val="ANormal"/>
              <w:rPr>
                <w:b/>
                <w:lang w:val="sv-FI"/>
              </w:rPr>
            </w:pPr>
            <w:r w:rsidRPr="00C00149">
              <w:rPr>
                <w:b/>
                <w:lang w:val="sv-FI"/>
              </w:rPr>
              <w:t>Infrastrukturavdelning</w:t>
            </w:r>
          </w:p>
        </w:tc>
        <w:tc>
          <w:tcPr>
            <w:tcW w:w="992" w:type="dxa"/>
            <w:vAlign w:val="center"/>
          </w:tcPr>
          <w:p w:rsidR="00DA55F4" w:rsidRPr="00C00149" w:rsidRDefault="00DA55F4" w:rsidP="007E2986">
            <w:pPr>
              <w:pStyle w:val="ANormal"/>
              <w:jc w:val="center"/>
            </w:pPr>
          </w:p>
        </w:tc>
        <w:tc>
          <w:tcPr>
            <w:tcW w:w="968" w:type="dxa"/>
            <w:shd w:val="clear" w:color="auto" w:fill="auto"/>
            <w:vAlign w:val="center"/>
          </w:tcPr>
          <w:p w:rsidR="00DA55F4" w:rsidRPr="00C00149" w:rsidRDefault="00DA55F4" w:rsidP="007E2986">
            <w:pPr>
              <w:pStyle w:val="ANormal"/>
              <w:jc w:val="center"/>
            </w:pPr>
          </w:p>
        </w:tc>
        <w:tc>
          <w:tcPr>
            <w:tcW w:w="1017" w:type="dxa"/>
            <w:vAlign w:val="center"/>
          </w:tcPr>
          <w:p w:rsidR="00DA55F4" w:rsidRPr="00C00149" w:rsidRDefault="00DA55F4" w:rsidP="007E2986">
            <w:pPr>
              <w:pStyle w:val="ANormal"/>
              <w:jc w:val="center"/>
            </w:pPr>
          </w:p>
        </w:tc>
      </w:tr>
      <w:tr w:rsidR="00DA55F4" w:rsidRPr="00C00149" w:rsidTr="007E2986">
        <w:tc>
          <w:tcPr>
            <w:tcW w:w="3544" w:type="dxa"/>
            <w:shd w:val="clear" w:color="auto" w:fill="auto"/>
          </w:tcPr>
          <w:p w:rsidR="00DA55F4" w:rsidRPr="00C00149" w:rsidRDefault="00DA55F4" w:rsidP="007E2986">
            <w:pPr>
              <w:pStyle w:val="ANormal"/>
              <w:rPr>
                <w:lang w:val="sv-FI"/>
              </w:rPr>
            </w:pPr>
            <w:r>
              <w:rPr>
                <w:lang w:val="sv-FI"/>
              </w:rPr>
              <w:t xml:space="preserve">Allmänna byrån </w:t>
            </w:r>
          </w:p>
        </w:tc>
        <w:tc>
          <w:tcPr>
            <w:tcW w:w="992" w:type="dxa"/>
            <w:vAlign w:val="center"/>
          </w:tcPr>
          <w:p w:rsidR="00DA55F4" w:rsidRPr="00C00149" w:rsidRDefault="00DA55F4" w:rsidP="007E2986">
            <w:pPr>
              <w:pStyle w:val="ANormal"/>
              <w:jc w:val="center"/>
            </w:pPr>
            <w:r w:rsidRPr="00C00149">
              <w:t>-</w:t>
            </w:r>
          </w:p>
        </w:tc>
        <w:tc>
          <w:tcPr>
            <w:tcW w:w="968" w:type="dxa"/>
            <w:shd w:val="clear" w:color="auto" w:fill="auto"/>
            <w:vAlign w:val="center"/>
          </w:tcPr>
          <w:p w:rsidR="00DA55F4" w:rsidRPr="00C00149" w:rsidRDefault="00DA55F4" w:rsidP="007E2986">
            <w:pPr>
              <w:pStyle w:val="ANormal"/>
              <w:jc w:val="center"/>
            </w:pPr>
            <w:r w:rsidRPr="00C00149">
              <w:t>-</w:t>
            </w:r>
          </w:p>
        </w:tc>
        <w:tc>
          <w:tcPr>
            <w:tcW w:w="1017" w:type="dxa"/>
            <w:vAlign w:val="center"/>
          </w:tcPr>
          <w:p w:rsidR="00DA55F4" w:rsidRPr="00C00149" w:rsidRDefault="00DA55F4" w:rsidP="007E2986">
            <w:pPr>
              <w:pStyle w:val="ANormal"/>
              <w:jc w:val="center"/>
            </w:pPr>
            <w:r w:rsidRPr="00C00149">
              <w:t>-</w:t>
            </w:r>
          </w:p>
        </w:tc>
      </w:tr>
      <w:tr w:rsidR="00DA55F4" w:rsidRPr="00C00149" w:rsidTr="007E2986">
        <w:tc>
          <w:tcPr>
            <w:tcW w:w="3544" w:type="dxa"/>
            <w:shd w:val="clear" w:color="auto" w:fill="auto"/>
          </w:tcPr>
          <w:p w:rsidR="00DA55F4" w:rsidRPr="00C00149" w:rsidRDefault="00DA55F4" w:rsidP="007E2986">
            <w:pPr>
              <w:pStyle w:val="ANormal"/>
              <w:rPr>
                <w:b/>
                <w:bCs/>
                <w:lang w:val="sv-FI"/>
              </w:rPr>
            </w:pPr>
            <w:r w:rsidRPr="00C00149">
              <w:rPr>
                <w:b/>
                <w:bCs/>
                <w:lang w:val="sv-FI"/>
              </w:rPr>
              <w:t>Totalt</w:t>
            </w:r>
          </w:p>
        </w:tc>
        <w:tc>
          <w:tcPr>
            <w:tcW w:w="992" w:type="dxa"/>
            <w:vAlign w:val="center"/>
          </w:tcPr>
          <w:p w:rsidR="00DA55F4" w:rsidRPr="00C00149" w:rsidRDefault="00DA55F4" w:rsidP="007E2986">
            <w:pPr>
              <w:pStyle w:val="ANormal"/>
              <w:jc w:val="center"/>
              <w:rPr>
                <w:b/>
                <w:bCs/>
              </w:rPr>
            </w:pPr>
            <w:r w:rsidRPr="00C00149">
              <w:rPr>
                <w:b/>
                <w:bCs/>
              </w:rPr>
              <w:t>21 st</w:t>
            </w:r>
          </w:p>
        </w:tc>
        <w:tc>
          <w:tcPr>
            <w:tcW w:w="968" w:type="dxa"/>
            <w:shd w:val="clear" w:color="auto" w:fill="auto"/>
            <w:vAlign w:val="center"/>
          </w:tcPr>
          <w:p w:rsidR="00DA55F4" w:rsidRPr="00C00149" w:rsidRDefault="00DA55F4" w:rsidP="007E2986">
            <w:pPr>
              <w:pStyle w:val="ANormal"/>
              <w:jc w:val="center"/>
              <w:rPr>
                <w:b/>
                <w:bCs/>
              </w:rPr>
            </w:pPr>
            <w:r w:rsidRPr="00C00149">
              <w:rPr>
                <w:b/>
                <w:bCs/>
              </w:rPr>
              <w:t>8 st</w:t>
            </w:r>
          </w:p>
        </w:tc>
        <w:tc>
          <w:tcPr>
            <w:tcW w:w="1017" w:type="dxa"/>
            <w:vAlign w:val="center"/>
          </w:tcPr>
          <w:p w:rsidR="00DA55F4" w:rsidRPr="00C00149" w:rsidRDefault="00DA55F4" w:rsidP="007E2986">
            <w:pPr>
              <w:pStyle w:val="ANormal"/>
              <w:jc w:val="center"/>
              <w:rPr>
                <w:b/>
                <w:bCs/>
              </w:rPr>
            </w:pPr>
            <w:r w:rsidRPr="00C00149">
              <w:rPr>
                <w:b/>
                <w:bCs/>
              </w:rPr>
              <w:t>10 st</w:t>
            </w:r>
          </w:p>
        </w:tc>
      </w:tr>
    </w:tbl>
    <w:p w:rsidR="00DA55F4" w:rsidRPr="00C00149" w:rsidRDefault="00DA55F4" w:rsidP="00DA55F4">
      <w:pPr>
        <w:pStyle w:val="ANormal"/>
      </w:pPr>
    </w:p>
    <w:p w:rsidR="00DA55F4" w:rsidRPr="00D25B3B" w:rsidRDefault="00DA55F4" w:rsidP="00DA55F4">
      <w:pPr>
        <w:pStyle w:val="Rubrik3"/>
        <w:numPr>
          <w:ilvl w:val="2"/>
          <w:numId w:val="4"/>
        </w:numPr>
      </w:pPr>
      <w:bookmarkStart w:id="173" w:name="_Toc410897687"/>
      <w:bookmarkStart w:id="174" w:name="_Toc412712704"/>
      <w:bookmarkStart w:id="175" w:name="_Toc442442871"/>
      <w:bookmarkStart w:id="176" w:name="_Toc477424008"/>
      <w:r w:rsidRPr="00D25B3B">
        <w:t>3.4.2 Genomförandet av EU-lagstiftning inom landskapet</w:t>
      </w:r>
      <w:bookmarkEnd w:id="173"/>
      <w:bookmarkEnd w:id="174"/>
      <w:bookmarkEnd w:id="175"/>
      <w:bookmarkEnd w:id="176"/>
    </w:p>
    <w:p w:rsidR="00DA55F4" w:rsidRPr="00D25B3B" w:rsidRDefault="00DA55F4" w:rsidP="00DA55F4">
      <w:pPr>
        <w:pStyle w:val="Rubrik4"/>
        <w:numPr>
          <w:ilvl w:val="3"/>
          <w:numId w:val="4"/>
        </w:numPr>
      </w:pPr>
      <w:bookmarkStart w:id="177" w:name="_Toc477424009"/>
      <w:r w:rsidRPr="00D25B3B">
        <w:t>3.4.2.1 Genomförandet av EU-direktiv i landskapet</w:t>
      </w:r>
      <w:bookmarkEnd w:id="177"/>
    </w:p>
    <w:p w:rsidR="00DA55F4" w:rsidRPr="00531A6D" w:rsidRDefault="00DA55F4" w:rsidP="00DA55F4">
      <w:r w:rsidRPr="00D25B3B">
        <w:t>De bindande rättsakter som antas inom EU utgörs av förordningar, beslut och direktiv. Förordningar och beslut är direkt tillämpliga, vilket innebär att de som sådana binder landskapets myndigheter och kräver inte särskilda implementeringsåtgärder. Direktiv däremot är bindande med avseende på det resultat som ska uppnås, och kräver således implementeringsåtgärder. Under år 2016 antog EU 39</w:t>
      </w:r>
      <w:r w:rsidRPr="00531A6D">
        <w:t xml:space="preserve"> direktiv, jämfört med 38 direktiv under år 2015. Direktiv innehåller en tidsfrist inom vilken medlemsstaterna skall meddela kommissionen de nationella bestämmelser som antagits i syfte att genomföra direktivet. Via utrikesministeriet meddelar (notifierar) lan</w:t>
      </w:r>
      <w:r w:rsidRPr="00531A6D">
        <w:t>d</w:t>
      </w:r>
      <w:r w:rsidRPr="00531A6D">
        <w:t xml:space="preserve">skapsregeringen kommissionen hur direktiven har genomförts i landskapet. </w:t>
      </w:r>
    </w:p>
    <w:p w:rsidR="00DA55F4" w:rsidRPr="00531A6D" w:rsidRDefault="00DA55F4" w:rsidP="00DA55F4">
      <w:pPr>
        <w:ind w:firstLine="284"/>
      </w:pPr>
      <w:r w:rsidRPr="00531A6D">
        <w:t>Av tabellen nedan framgår antalet notifieringar som landskapsregerin</w:t>
      </w:r>
      <w:r w:rsidRPr="00531A6D">
        <w:t>g</w:t>
      </w:r>
      <w:r w:rsidRPr="00531A6D">
        <w:t>en gjort under året samt hur många av dessa direktiv som hört till landska</w:t>
      </w:r>
      <w:r w:rsidRPr="00531A6D">
        <w:t>p</w:t>
      </w:r>
      <w:r w:rsidRPr="00531A6D">
        <w:t>ets lagstiftningsbehörighet.</w:t>
      </w:r>
    </w:p>
    <w:p w:rsidR="00DA55F4" w:rsidRPr="00531A6D" w:rsidRDefault="00DA55F4" w:rsidP="00DA55F4">
      <w:pPr>
        <w:pStyle w:val="ANormal"/>
        <w:rPr>
          <w:b/>
        </w:rPr>
      </w:pPr>
    </w:p>
    <w:p w:rsidR="00DA55F4" w:rsidRPr="005865AF" w:rsidRDefault="00DA55F4" w:rsidP="00DA55F4">
      <w:pPr>
        <w:rPr>
          <w:b/>
        </w:rPr>
      </w:pPr>
      <w:r w:rsidRPr="005865AF">
        <w:rPr>
          <w:b/>
        </w:rPr>
        <w:lastRenderedPageBreak/>
        <w:t>Tabell 6: Landskapsregeringens notifieringar av direktiv 2016</w:t>
      </w:r>
    </w:p>
    <w:p w:rsidR="00DA55F4" w:rsidRPr="005865AF" w:rsidRDefault="00DA55F4" w:rsidP="00DA55F4"/>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40"/>
        <w:gridCol w:w="1040"/>
        <w:gridCol w:w="1040"/>
        <w:gridCol w:w="1040"/>
      </w:tblGrid>
      <w:tr w:rsidR="00DA55F4" w:rsidRPr="005865AF" w:rsidTr="007E2986">
        <w:trPr>
          <w:trHeight w:val="270"/>
        </w:trPr>
        <w:tc>
          <w:tcPr>
            <w:tcW w:w="3640" w:type="dxa"/>
            <w:tcBorders>
              <w:top w:val="single" w:sz="4" w:space="0" w:color="auto"/>
            </w:tcBorders>
            <w:shd w:val="clear" w:color="auto" w:fill="A6A6A6"/>
          </w:tcPr>
          <w:p w:rsidR="00DA55F4" w:rsidRPr="005865AF" w:rsidRDefault="00DA55F4" w:rsidP="007E2986"/>
        </w:tc>
        <w:tc>
          <w:tcPr>
            <w:tcW w:w="1040" w:type="dxa"/>
            <w:tcBorders>
              <w:top w:val="single" w:sz="4" w:space="0" w:color="auto"/>
            </w:tcBorders>
            <w:shd w:val="clear" w:color="auto" w:fill="A6A6A6"/>
            <w:vAlign w:val="center"/>
          </w:tcPr>
          <w:p w:rsidR="00DA55F4" w:rsidRPr="005865AF" w:rsidRDefault="00DA55F4" w:rsidP="007E2986">
            <w:pPr>
              <w:jc w:val="center"/>
              <w:rPr>
                <w:b/>
                <w:bCs/>
              </w:rPr>
            </w:pPr>
            <w:r w:rsidRPr="005865AF">
              <w:rPr>
                <w:b/>
                <w:bCs/>
              </w:rPr>
              <w:t>2016</w:t>
            </w:r>
          </w:p>
        </w:tc>
        <w:tc>
          <w:tcPr>
            <w:tcW w:w="1040" w:type="dxa"/>
            <w:tcBorders>
              <w:top w:val="single" w:sz="4" w:space="0" w:color="auto"/>
            </w:tcBorders>
            <w:shd w:val="clear" w:color="auto" w:fill="A6A6A6"/>
            <w:vAlign w:val="center"/>
          </w:tcPr>
          <w:p w:rsidR="00DA55F4" w:rsidRPr="005865AF" w:rsidRDefault="00DA55F4" w:rsidP="007E2986">
            <w:pPr>
              <w:jc w:val="center"/>
              <w:rPr>
                <w:b/>
                <w:bCs/>
              </w:rPr>
            </w:pPr>
            <w:r w:rsidRPr="005865AF">
              <w:rPr>
                <w:b/>
                <w:bCs/>
              </w:rPr>
              <w:t>2015</w:t>
            </w:r>
          </w:p>
        </w:tc>
        <w:tc>
          <w:tcPr>
            <w:tcW w:w="1040" w:type="dxa"/>
            <w:tcBorders>
              <w:top w:val="single" w:sz="4" w:space="0" w:color="auto"/>
            </w:tcBorders>
            <w:shd w:val="clear" w:color="auto" w:fill="A6A6A6"/>
            <w:vAlign w:val="center"/>
          </w:tcPr>
          <w:p w:rsidR="00DA55F4" w:rsidRPr="005865AF" w:rsidRDefault="00DA55F4" w:rsidP="007E2986">
            <w:pPr>
              <w:jc w:val="center"/>
              <w:rPr>
                <w:b/>
                <w:bCs/>
              </w:rPr>
            </w:pPr>
            <w:r w:rsidRPr="005865AF">
              <w:rPr>
                <w:b/>
                <w:bCs/>
              </w:rPr>
              <w:t>2014</w:t>
            </w:r>
          </w:p>
        </w:tc>
      </w:tr>
      <w:tr w:rsidR="00DA55F4" w:rsidRPr="005865AF" w:rsidTr="007E2986">
        <w:trPr>
          <w:trHeight w:val="270"/>
        </w:trPr>
        <w:tc>
          <w:tcPr>
            <w:tcW w:w="3640" w:type="dxa"/>
          </w:tcPr>
          <w:p w:rsidR="00DA55F4" w:rsidRPr="005865AF" w:rsidRDefault="00DA55F4" w:rsidP="007E2986">
            <w:r w:rsidRPr="005865AF">
              <w:t>Rikets behörighet</w:t>
            </w:r>
          </w:p>
        </w:tc>
        <w:tc>
          <w:tcPr>
            <w:tcW w:w="1040" w:type="dxa"/>
            <w:vAlign w:val="center"/>
          </w:tcPr>
          <w:p w:rsidR="00DA55F4" w:rsidRPr="005865AF" w:rsidRDefault="00DA55F4" w:rsidP="007E2986">
            <w:pPr>
              <w:jc w:val="center"/>
            </w:pPr>
            <w:r w:rsidRPr="005865AF">
              <w:t>17 st</w:t>
            </w:r>
          </w:p>
        </w:tc>
        <w:tc>
          <w:tcPr>
            <w:tcW w:w="1040" w:type="dxa"/>
            <w:vAlign w:val="center"/>
          </w:tcPr>
          <w:p w:rsidR="00DA55F4" w:rsidRPr="005865AF" w:rsidRDefault="00DA55F4" w:rsidP="007E2986">
            <w:pPr>
              <w:jc w:val="center"/>
            </w:pPr>
            <w:r w:rsidRPr="005865AF">
              <w:t>24 st</w:t>
            </w:r>
          </w:p>
        </w:tc>
        <w:tc>
          <w:tcPr>
            <w:tcW w:w="1040" w:type="dxa"/>
            <w:vAlign w:val="center"/>
          </w:tcPr>
          <w:p w:rsidR="00DA55F4" w:rsidRPr="005865AF" w:rsidRDefault="00DA55F4" w:rsidP="007E2986">
            <w:pPr>
              <w:jc w:val="center"/>
            </w:pPr>
            <w:r w:rsidRPr="005865AF">
              <w:t>40 st</w:t>
            </w:r>
          </w:p>
        </w:tc>
      </w:tr>
      <w:tr w:rsidR="00DA55F4" w:rsidRPr="005865AF" w:rsidTr="007E2986">
        <w:trPr>
          <w:trHeight w:val="254"/>
        </w:trPr>
        <w:tc>
          <w:tcPr>
            <w:tcW w:w="3640" w:type="dxa"/>
          </w:tcPr>
          <w:p w:rsidR="00DA55F4" w:rsidRPr="005865AF" w:rsidRDefault="00DA55F4" w:rsidP="007E2986">
            <w:r w:rsidRPr="005865AF">
              <w:t>Landskapets behörighet</w:t>
            </w:r>
          </w:p>
        </w:tc>
        <w:tc>
          <w:tcPr>
            <w:tcW w:w="1040" w:type="dxa"/>
            <w:vAlign w:val="center"/>
          </w:tcPr>
          <w:p w:rsidR="00DA55F4" w:rsidRPr="005865AF" w:rsidRDefault="00DA55F4" w:rsidP="007E2986">
            <w:pPr>
              <w:jc w:val="center"/>
              <w:rPr>
                <w:lang w:val="en-GB"/>
              </w:rPr>
            </w:pPr>
            <w:r w:rsidRPr="005865AF">
              <w:rPr>
                <w:lang w:val="en-GB"/>
              </w:rPr>
              <w:t>39 st</w:t>
            </w:r>
          </w:p>
        </w:tc>
        <w:tc>
          <w:tcPr>
            <w:tcW w:w="1040" w:type="dxa"/>
            <w:vAlign w:val="center"/>
          </w:tcPr>
          <w:p w:rsidR="00DA55F4" w:rsidRPr="005865AF" w:rsidRDefault="00DA55F4" w:rsidP="007E2986">
            <w:pPr>
              <w:jc w:val="center"/>
              <w:rPr>
                <w:lang w:val="en-GB"/>
              </w:rPr>
            </w:pPr>
            <w:r w:rsidRPr="005865AF">
              <w:rPr>
                <w:lang w:val="en-GB"/>
              </w:rPr>
              <w:t>33 st</w:t>
            </w:r>
          </w:p>
        </w:tc>
        <w:tc>
          <w:tcPr>
            <w:tcW w:w="1040" w:type="dxa"/>
            <w:vAlign w:val="center"/>
          </w:tcPr>
          <w:p w:rsidR="00DA55F4" w:rsidRPr="005865AF" w:rsidRDefault="00DA55F4" w:rsidP="007E2986">
            <w:pPr>
              <w:jc w:val="center"/>
              <w:rPr>
                <w:lang w:val="en-GB"/>
              </w:rPr>
            </w:pPr>
            <w:r w:rsidRPr="005865AF">
              <w:rPr>
                <w:lang w:val="en-GB"/>
              </w:rPr>
              <w:t>61 st</w:t>
            </w:r>
          </w:p>
        </w:tc>
      </w:tr>
      <w:tr w:rsidR="00DA55F4" w:rsidRPr="005865AF" w:rsidTr="007E2986">
        <w:trPr>
          <w:trHeight w:val="270"/>
        </w:trPr>
        <w:tc>
          <w:tcPr>
            <w:tcW w:w="3640" w:type="dxa"/>
          </w:tcPr>
          <w:p w:rsidR="00DA55F4" w:rsidRPr="005865AF" w:rsidRDefault="00DA55F4" w:rsidP="007E2986">
            <w:pPr>
              <w:rPr>
                <w:b/>
                <w:bCs/>
                <w:lang w:val="en-GB"/>
              </w:rPr>
            </w:pPr>
            <w:r w:rsidRPr="005865AF">
              <w:rPr>
                <w:b/>
                <w:bCs/>
                <w:lang w:val="sv-FI"/>
              </w:rPr>
              <w:t>Totalt</w:t>
            </w:r>
          </w:p>
        </w:tc>
        <w:tc>
          <w:tcPr>
            <w:tcW w:w="1040" w:type="dxa"/>
            <w:vAlign w:val="center"/>
          </w:tcPr>
          <w:p w:rsidR="00DA55F4" w:rsidRPr="005865AF" w:rsidRDefault="00DA55F4" w:rsidP="007E2986">
            <w:pPr>
              <w:jc w:val="center"/>
              <w:rPr>
                <w:b/>
                <w:bCs/>
              </w:rPr>
            </w:pPr>
            <w:r w:rsidRPr="005865AF">
              <w:rPr>
                <w:b/>
                <w:bCs/>
              </w:rPr>
              <w:t>56 st</w:t>
            </w:r>
          </w:p>
        </w:tc>
        <w:tc>
          <w:tcPr>
            <w:tcW w:w="1040" w:type="dxa"/>
            <w:vAlign w:val="center"/>
          </w:tcPr>
          <w:p w:rsidR="00DA55F4" w:rsidRPr="005865AF" w:rsidRDefault="00DA55F4" w:rsidP="007E2986">
            <w:pPr>
              <w:jc w:val="center"/>
              <w:rPr>
                <w:b/>
                <w:bCs/>
              </w:rPr>
            </w:pPr>
            <w:r w:rsidRPr="005865AF">
              <w:rPr>
                <w:b/>
                <w:bCs/>
              </w:rPr>
              <w:t>57 st</w:t>
            </w:r>
          </w:p>
        </w:tc>
        <w:tc>
          <w:tcPr>
            <w:tcW w:w="1040" w:type="dxa"/>
            <w:vAlign w:val="center"/>
          </w:tcPr>
          <w:p w:rsidR="00DA55F4" w:rsidRPr="005865AF" w:rsidRDefault="00DA55F4" w:rsidP="007E2986">
            <w:pPr>
              <w:jc w:val="center"/>
              <w:rPr>
                <w:b/>
                <w:bCs/>
              </w:rPr>
            </w:pPr>
            <w:r w:rsidRPr="005865AF">
              <w:rPr>
                <w:b/>
                <w:bCs/>
              </w:rPr>
              <w:t>101 st</w:t>
            </w:r>
          </w:p>
        </w:tc>
      </w:tr>
    </w:tbl>
    <w:p w:rsidR="00DA55F4" w:rsidRPr="005865AF" w:rsidRDefault="00DA55F4" w:rsidP="00DA55F4"/>
    <w:p w:rsidR="00DA55F4" w:rsidRPr="005865AF" w:rsidRDefault="00DA55F4" w:rsidP="00DA55F4">
      <w:r w:rsidRPr="005865AF">
        <w:t>De notifierade direktiven inom landskapets lagstiftningsbehörighet fördel</w:t>
      </w:r>
      <w:r w:rsidRPr="005865AF">
        <w:t>a</w:t>
      </w:r>
      <w:r w:rsidRPr="005865AF">
        <w:t>des på de olika enheterna inom landskapsregeringen enligt tabellen nedan.</w:t>
      </w:r>
    </w:p>
    <w:p w:rsidR="00DA55F4" w:rsidRPr="005865AF" w:rsidRDefault="00DA55F4" w:rsidP="00DA55F4"/>
    <w:p w:rsidR="00DA55F4" w:rsidRDefault="00DA55F4" w:rsidP="00DA55F4">
      <w:pPr>
        <w:rPr>
          <w:b/>
        </w:rPr>
      </w:pPr>
      <w:r w:rsidRPr="005865AF">
        <w:rPr>
          <w:b/>
        </w:rPr>
        <w:t>Tabell 7</w:t>
      </w:r>
      <w:r>
        <w:rPr>
          <w:b/>
        </w:rPr>
        <w:t>:</w:t>
      </w:r>
      <w:r w:rsidRPr="005865AF">
        <w:rPr>
          <w:b/>
        </w:rPr>
        <w:t xml:space="preserve"> </w:t>
      </w:r>
      <w:r>
        <w:rPr>
          <w:b/>
        </w:rPr>
        <w:t>Fördelning enhet</w:t>
      </w:r>
      <w:r w:rsidRPr="005865AF">
        <w:rPr>
          <w:b/>
        </w:rPr>
        <w:t xml:space="preserve">svis av notifieringar inom landskapets </w:t>
      </w:r>
    </w:p>
    <w:p w:rsidR="00DA55F4" w:rsidRDefault="00DA55F4" w:rsidP="00DA55F4">
      <w:pPr>
        <w:rPr>
          <w:b/>
        </w:rPr>
      </w:pPr>
      <w:r w:rsidRPr="005865AF">
        <w:rPr>
          <w:b/>
        </w:rPr>
        <w:t>behörighet 201</w:t>
      </w:r>
      <w:r>
        <w:rPr>
          <w:b/>
        </w:rPr>
        <w:t>6</w:t>
      </w:r>
    </w:p>
    <w:p w:rsidR="00DA55F4" w:rsidRDefault="00DA55F4" w:rsidP="00DA55F4">
      <w:pPr>
        <w:rPr>
          <w:b/>
        </w:rPr>
      </w:pPr>
    </w:p>
    <w:tbl>
      <w:tblPr>
        <w:tblW w:w="652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4"/>
        <w:gridCol w:w="992"/>
        <w:gridCol w:w="993"/>
        <w:gridCol w:w="992"/>
      </w:tblGrid>
      <w:tr w:rsidR="00DA55F4" w:rsidRPr="005865AF" w:rsidTr="007E2986">
        <w:trPr>
          <w:trHeight w:val="255"/>
        </w:trPr>
        <w:tc>
          <w:tcPr>
            <w:tcW w:w="3544" w:type="dxa"/>
            <w:tcBorders>
              <w:top w:val="single" w:sz="4" w:space="0" w:color="auto"/>
              <w:left w:val="single" w:sz="4" w:space="0" w:color="auto"/>
              <w:bottom w:val="single" w:sz="4" w:space="0" w:color="auto"/>
              <w:right w:val="single" w:sz="4" w:space="0" w:color="auto"/>
            </w:tcBorders>
            <w:shd w:val="clear" w:color="auto" w:fill="A6A6A6"/>
          </w:tcPr>
          <w:p w:rsidR="00DA55F4" w:rsidRPr="005865AF" w:rsidRDefault="00DA55F4" w:rsidP="007E2986">
            <w:pPr>
              <w:pStyle w:val="ANormal"/>
              <w:rPr>
                <w:b/>
                <w:bCs/>
              </w:rPr>
            </w:pPr>
            <w:r w:rsidRPr="005865AF">
              <w:rPr>
                <w:b/>
                <w:bCs/>
              </w:rPr>
              <w:t>Enhet inom landskapsregeringen</w:t>
            </w:r>
          </w:p>
        </w:tc>
        <w:tc>
          <w:tcPr>
            <w:tcW w:w="992" w:type="dxa"/>
            <w:tcBorders>
              <w:top w:val="single" w:sz="4" w:space="0" w:color="auto"/>
              <w:left w:val="single" w:sz="4" w:space="0" w:color="auto"/>
              <w:bottom w:val="single" w:sz="4" w:space="0" w:color="auto"/>
              <w:right w:val="single" w:sz="4" w:space="0" w:color="auto"/>
            </w:tcBorders>
            <w:shd w:val="clear" w:color="auto" w:fill="A6A6A6"/>
            <w:vAlign w:val="center"/>
          </w:tcPr>
          <w:p w:rsidR="00DA55F4" w:rsidRPr="005865AF" w:rsidRDefault="00DA55F4" w:rsidP="007E2986">
            <w:pPr>
              <w:pStyle w:val="ANormal"/>
              <w:jc w:val="center"/>
              <w:rPr>
                <w:b/>
              </w:rPr>
            </w:pPr>
            <w:r w:rsidRPr="005865AF">
              <w:rPr>
                <w:b/>
              </w:rPr>
              <w:t>2016</w:t>
            </w:r>
          </w:p>
        </w:tc>
        <w:tc>
          <w:tcPr>
            <w:tcW w:w="993" w:type="dxa"/>
            <w:tcBorders>
              <w:top w:val="single" w:sz="4" w:space="0" w:color="auto"/>
              <w:left w:val="single" w:sz="4" w:space="0" w:color="auto"/>
              <w:bottom w:val="single" w:sz="4" w:space="0" w:color="auto"/>
              <w:right w:val="single" w:sz="4" w:space="0" w:color="auto"/>
            </w:tcBorders>
            <w:shd w:val="clear" w:color="auto" w:fill="A6A6A6"/>
            <w:vAlign w:val="center"/>
          </w:tcPr>
          <w:p w:rsidR="00DA55F4" w:rsidRPr="005865AF" w:rsidRDefault="00DA55F4" w:rsidP="007E2986">
            <w:pPr>
              <w:pStyle w:val="ANormal"/>
              <w:jc w:val="center"/>
              <w:rPr>
                <w:b/>
              </w:rPr>
            </w:pPr>
            <w:r w:rsidRPr="005865AF">
              <w:rPr>
                <w:b/>
              </w:rPr>
              <w:t>2015</w:t>
            </w:r>
          </w:p>
        </w:tc>
        <w:tc>
          <w:tcPr>
            <w:tcW w:w="992" w:type="dxa"/>
            <w:tcBorders>
              <w:top w:val="single" w:sz="4" w:space="0" w:color="auto"/>
              <w:left w:val="single" w:sz="4" w:space="0" w:color="auto"/>
              <w:bottom w:val="single" w:sz="4" w:space="0" w:color="auto"/>
              <w:right w:val="single" w:sz="4" w:space="0" w:color="auto"/>
            </w:tcBorders>
            <w:shd w:val="clear" w:color="auto" w:fill="A6A6A6"/>
            <w:vAlign w:val="center"/>
          </w:tcPr>
          <w:p w:rsidR="00DA55F4" w:rsidRPr="005865AF" w:rsidRDefault="00DA55F4" w:rsidP="007E2986">
            <w:pPr>
              <w:pStyle w:val="ANormal"/>
              <w:jc w:val="center"/>
              <w:rPr>
                <w:b/>
              </w:rPr>
            </w:pPr>
            <w:r w:rsidRPr="005865AF">
              <w:rPr>
                <w:b/>
              </w:rPr>
              <w:t>2014</w:t>
            </w:r>
          </w:p>
        </w:tc>
      </w:tr>
      <w:tr w:rsidR="00DA55F4" w:rsidRPr="005865AF" w:rsidTr="007E2986">
        <w:trPr>
          <w:trHeight w:val="255"/>
        </w:trPr>
        <w:tc>
          <w:tcPr>
            <w:tcW w:w="3544" w:type="dxa"/>
          </w:tcPr>
          <w:p w:rsidR="00DA55F4" w:rsidRPr="005865AF" w:rsidRDefault="00DA55F4" w:rsidP="007E2986">
            <w:pPr>
              <w:pStyle w:val="ANormal"/>
              <w:rPr>
                <w:b/>
                <w:bCs/>
              </w:rPr>
            </w:pPr>
            <w:r w:rsidRPr="005865AF">
              <w:rPr>
                <w:b/>
                <w:bCs/>
              </w:rPr>
              <w:t>Regeringskansliet</w:t>
            </w:r>
          </w:p>
        </w:tc>
        <w:tc>
          <w:tcPr>
            <w:tcW w:w="992" w:type="dxa"/>
            <w:vAlign w:val="center"/>
          </w:tcPr>
          <w:p w:rsidR="00DA55F4" w:rsidRPr="005865AF" w:rsidRDefault="00DA55F4" w:rsidP="007E2986">
            <w:pPr>
              <w:pStyle w:val="ANormal"/>
              <w:jc w:val="center"/>
            </w:pPr>
          </w:p>
        </w:tc>
        <w:tc>
          <w:tcPr>
            <w:tcW w:w="993" w:type="dxa"/>
            <w:vAlign w:val="center"/>
          </w:tcPr>
          <w:p w:rsidR="00DA55F4" w:rsidRPr="005865AF" w:rsidRDefault="00DA55F4" w:rsidP="007E2986">
            <w:pPr>
              <w:pStyle w:val="ANormal"/>
              <w:jc w:val="center"/>
            </w:pPr>
          </w:p>
        </w:tc>
        <w:tc>
          <w:tcPr>
            <w:tcW w:w="992" w:type="dxa"/>
            <w:vAlign w:val="center"/>
          </w:tcPr>
          <w:p w:rsidR="00DA55F4" w:rsidRPr="005865AF" w:rsidRDefault="00DA55F4" w:rsidP="007E2986">
            <w:pPr>
              <w:pStyle w:val="ANormal"/>
              <w:jc w:val="center"/>
            </w:pPr>
          </w:p>
        </w:tc>
      </w:tr>
      <w:tr w:rsidR="00DA55F4" w:rsidRPr="005865AF" w:rsidTr="007E2986">
        <w:trPr>
          <w:trHeight w:val="240"/>
        </w:trPr>
        <w:tc>
          <w:tcPr>
            <w:tcW w:w="3544" w:type="dxa"/>
          </w:tcPr>
          <w:p w:rsidR="00DA55F4" w:rsidRPr="005865AF" w:rsidRDefault="00DA55F4" w:rsidP="007E2986">
            <w:pPr>
              <w:pStyle w:val="ANormal"/>
            </w:pPr>
            <w:r>
              <w:t xml:space="preserve">Rättsserviceenheten </w:t>
            </w:r>
          </w:p>
        </w:tc>
        <w:tc>
          <w:tcPr>
            <w:tcW w:w="992" w:type="dxa"/>
            <w:vAlign w:val="center"/>
          </w:tcPr>
          <w:p w:rsidR="00DA55F4" w:rsidRPr="005865AF" w:rsidRDefault="00DA55F4" w:rsidP="007E2986">
            <w:pPr>
              <w:pStyle w:val="ANormal"/>
              <w:jc w:val="center"/>
              <w:rPr>
                <w:lang w:val="sv-FI"/>
              </w:rPr>
            </w:pPr>
            <w:r w:rsidRPr="005865AF">
              <w:rPr>
                <w:lang w:val="sv-FI"/>
              </w:rPr>
              <w:t>4 st</w:t>
            </w:r>
          </w:p>
        </w:tc>
        <w:tc>
          <w:tcPr>
            <w:tcW w:w="993" w:type="dxa"/>
            <w:vAlign w:val="center"/>
          </w:tcPr>
          <w:p w:rsidR="00DA55F4" w:rsidRPr="005865AF" w:rsidRDefault="00DA55F4" w:rsidP="007E2986">
            <w:pPr>
              <w:pStyle w:val="ANormal"/>
              <w:jc w:val="center"/>
              <w:rPr>
                <w:lang w:val="sv-FI"/>
              </w:rPr>
            </w:pPr>
            <w:r w:rsidRPr="005865AF">
              <w:rPr>
                <w:lang w:val="sv-FI"/>
              </w:rPr>
              <w:t>2 st</w:t>
            </w:r>
          </w:p>
        </w:tc>
        <w:tc>
          <w:tcPr>
            <w:tcW w:w="992" w:type="dxa"/>
            <w:vAlign w:val="center"/>
          </w:tcPr>
          <w:p w:rsidR="00DA55F4" w:rsidRPr="005865AF" w:rsidRDefault="00DA55F4" w:rsidP="007E2986">
            <w:pPr>
              <w:pStyle w:val="ANormal"/>
              <w:jc w:val="center"/>
              <w:rPr>
                <w:lang w:val="sv-FI"/>
              </w:rPr>
            </w:pPr>
            <w:r w:rsidRPr="005865AF">
              <w:rPr>
                <w:lang w:val="sv-FI"/>
              </w:rPr>
              <w:t>2 st</w:t>
            </w:r>
          </w:p>
        </w:tc>
      </w:tr>
      <w:tr w:rsidR="00DA55F4" w:rsidRPr="005865AF" w:rsidTr="007E2986">
        <w:trPr>
          <w:trHeight w:val="255"/>
        </w:trPr>
        <w:tc>
          <w:tcPr>
            <w:tcW w:w="3544" w:type="dxa"/>
          </w:tcPr>
          <w:p w:rsidR="00DA55F4" w:rsidRPr="005865AF" w:rsidRDefault="00DA55F4" w:rsidP="007E2986">
            <w:pPr>
              <w:pStyle w:val="ANormal"/>
              <w:rPr>
                <w:b/>
                <w:bCs/>
              </w:rPr>
            </w:pPr>
            <w:r w:rsidRPr="005865AF">
              <w:rPr>
                <w:b/>
                <w:bCs/>
              </w:rPr>
              <w:t>Finansavdelningen</w:t>
            </w:r>
          </w:p>
        </w:tc>
        <w:tc>
          <w:tcPr>
            <w:tcW w:w="992" w:type="dxa"/>
            <w:vAlign w:val="center"/>
          </w:tcPr>
          <w:p w:rsidR="00DA55F4" w:rsidRPr="005865AF" w:rsidRDefault="00DA55F4" w:rsidP="007E2986">
            <w:pPr>
              <w:pStyle w:val="ANormal"/>
              <w:jc w:val="center"/>
            </w:pPr>
          </w:p>
        </w:tc>
        <w:tc>
          <w:tcPr>
            <w:tcW w:w="993" w:type="dxa"/>
            <w:vAlign w:val="center"/>
          </w:tcPr>
          <w:p w:rsidR="00DA55F4" w:rsidRPr="005865AF" w:rsidRDefault="00DA55F4" w:rsidP="007E2986">
            <w:pPr>
              <w:pStyle w:val="ANormal"/>
              <w:jc w:val="center"/>
            </w:pPr>
          </w:p>
        </w:tc>
        <w:tc>
          <w:tcPr>
            <w:tcW w:w="992" w:type="dxa"/>
            <w:vAlign w:val="center"/>
          </w:tcPr>
          <w:p w:rsidR="00DA55F4" w:rsidRPr="005865AF" w:rsidRDefault="00DA55F4" w:rsidP="007E2986">
            <w:pPr>
              <w:pStyle w:val="ANormal"/>
              <w:jc w:val="center"/>
            </w:pPr>
          </w:p>
        </w:tc>
      </w:tr>
      <w:tr w:rsidR="00DA55F4" w:rsidRPr="005865AF" w:rsidTr="007E2986">
        <w:trPr>
          <w:trHeight w:val="255"/>
        </w:trPr>
        <w:tc>
          <w:tcPr>
            <w:tcW w:w="3544" w:type="dxa"/>
          </w:tcPr>
          <w:p w:rsidR="00DA55F4" w:rsidRPr="005865AF" w:rsidRDefault="00DA55F4" w:rsidP="007E2986">
            <w:pPr>
              <w:pStyle w:val="ANormal"/>
              <w:rPr>
                <w:bCs/>
              </w:rPr>
            </w:pPr>
            <w:r>
              <w:rPr>
                <w:bCs/>
              </w:rPr>
              <w:t xml:space="preserve">Allmänna byrån </w:t>
            </w:r>
          </w:p>
        </w:tc>
        <w:tc>
          <w:tcPr>
            <w:tcW w:w="992" w:type="dxa"/>
            <w:vAlign w:val="center"/>
          </w:tcPr>
          <w:p w:rsidR="00DA55F4" w:rsidRPr="005865AF" w:rsidRDefault="00DA55F4" w:rsidP="007E2986">
            <w:pPr>
              <w:pStyle w:val="ANormal"/>
              <w:jc w:val="center"/>
            </w:pPr>
          </w:p>
        </w:tc>
        <w:tc>
          <w:tcPr>
            <w:tcW w:w="993" w:type="dxa"/>
            <w:vAlign w:val="center"/>
          </w:tcPr>
          <w:p w:rsidR="00DA55F4" w:rsidRPr="005865AF" w:rsidRDefault="00DA55F4" w:rsidP="007E2986">
            <w:pPr>
              <w:pStyle w:val="ANormal"/>
              <w:jc w:val="center"/>
            </w:pPr>
            <w:r w:rsidRPr="005865AF">
              <w:t>2 st</w:t>
            </w:r>
          </w:p>
        </w:tc>
        <w:tc>
          <w:tcPr>
            <w:tcW w:w="992" w:type="dxa"/>
            <w:vAlign w:val="center"/>
          </w:tcPr>
          <w:p w:rsidR="00DA55F4" w:rsidRPr="005865AF" w:rsidRDefault="00DA55F4" w:rsidP="007E2986">
            <w:pPr>
              <w:pStyle w:val="ANormal"/>
              <w:jc w:val="center"/>
            </w:pPr>
            <w:r w:rsidRPr="005865AF">
              <w:t>1 st</w:t>
            </w:r>
          </w:p>
        </w:tc>
      </w:tr>
      <w:tr w:rsidR="00DA55F4" w:rsidRPr="005865AF" w:rsidTr="007E2986">
        <w:trPr>
          <w:trHeight w:val="255"/>
        </w:trPr>
        <w:tc>
          <w:tcPr>
            <w:tcW w:w="3544" w:type="dxa"/>
          </w:tcPr>
          <w:p w:rsidR="00DA55F4" w:rsidRPr="005865AF" w:rsidRDefault="00DA55F4" w:rsidP="007E2986">
            <w:pPr>
              <w:pStyle w:val="ANormal"/>
              <w:rPr>
                <w:b/>
                <w:bCs/>
              </w:rPr>
            </w:pPr>
            <w:r w:rsidRPr="005865AF">
              <w:rPr>
                <w:b/>
                <w:bCs/>
              </w:rPr>
              <w:t>Social- och miljöavdelningen</w:t>
            </w:r>
          </w:p>
        </w:tc>
        <w:tc>
          <w:tcPr>
            <w:tcW w:w="992" w:type="dxa"/>
            <w:vAlign w:val="center"/>
          </w:tcPr>
          <w:p w:rsidR="00DA55F4" w:rsidRPr="005865AF" w:rsidRDefault="00DA55F4" w:rsidP="007E2986">
            <w:pPr>
              <w:pStyle w:val="ANormal"/>
              <w:jc w:val="center"/>
            </w:pPr>
          </w:p>
        </w:tc>
        <w:tc>
          <w:tcPr>
            <w:tcW w:w="993" w:type="dxa"/>
            <w:vAlign w:val="center"/>
          </w:tcPr>
          <w:p w:rsidR="00DA55F4" w:rsidRPr="005865AF" w:rsidRDefault="00DA55F4" w:rsidP="007E2986">
            <w:pPr>
              <w:pStyle w:val="ANormal"/>
              <w:jc w:val="center"/>
            </w:pPr>
          </w:p>
        </w:tc>
        <w:tc>
          <w:tcPr>
            <w:tcW w:w="992" w:type="dxa"/>
            <w:vAlign w:val="center"/>
          </w:tcPr>
          <w:p w:rsidR="00DA55F4" w:rsidRPr="005865AF" w:rsidRDefault="00DA55F4" w:rsidP="007E2986">
            <w:pPr>
              <w:pStyle w:val="ANormal"/>
              <w:jc w:val="center"/>
            </w:pPr>
          </w:p>
        </w:tc>
      </w:tr>
      <w:tr w:rsidR="00DA55F4" w:rsidRPr="005865AF" w:rsidTr="007E2986">
        <w:trPr>
          <w:trHeight w:val="255"/>
        </w:trPr>
        <w:tc>
          <w:tcPr>
            <w:tcW w:w="3544" w:type="dxa"/>
          </w:tcPr>
          <w:p w:rsidR="00DA55F4" w:rsidRPr="005865AF" w:rsidRDefault="00DA55F4" w:rsidP="007E2986">
            <w:pPr>
              <w:pStyle w:val="ANormal"/>
              <w:rPr>
                <w:bCs/>
              </w:rPr>
            </w:pPr>
            <w:r>
              <w:rPr>
                <w:bCs/>
              </w:rPr>
              <w:t xml:space="preserve">Socialvårdsbyrån </w:t>
            </w:r>
          </w:p>
        </w:tc>
        <w:tc>
          <w:tcPr>
            <w:tcW w:w="992" w:type="dxa"/>
            <w:vAlign w:val="center"/>
          </w:tcPr>
          <w:p w:rsidR="00DA55F4" w:rsidRPr="005865AF" w:rsidRDefault="00DA55F4" w:rsidP="007E2986">
            <w:pPr>
              <w:pStyle w:val="ANormal"/>
              <w:jc w:val="center"/>
            </w:pPr>
          </w:p>
        </w:tc>
        <w:tc>
          <w:tcPr>
            <w:tcW w:w="993" w:type="dxa"/>
            <w:vAlign w:val="center"/>
          </w:tcPr>
          <w:p w:rsidR="00DA55F4" w:rsidRPr="005865AF" w:rsidRDefault="00DA55F4" w:rsidP="007E2986">
            <w:pPr>
              <w:pStyle w:val="ANormal"/>
              <w:jc w:val="center"/>
            </w:pPr>
          </w:p>
        </w:tc>
        <w:tc>
          <w:tcPr>
            <w:tcW w:w="992" w:type="dxa"/>
            <w:vAlign w:val="center"/>
          </w:tcPr>
          <w:p w:rsidR="00DA55F4" w:rsidRPr="005865AF" w:rsidRDefault="00DA55F4" w:rsidP="007E2986">
            <w:pPr>
              <w:pStyle w:val="ANormal"/>
              <w:jc w:val="center"/>
            </w:pPr>
          </w:p>
        </w:tc>
      </w:tr>
      <w:tr w:rsidR="00DA55F4" w:rsidRPr="005865AF" w:rsidTr="007E2986">
        <w:trPr>
          <w:trHeight w:val="255"/>
        </w:trPr>
        <w:tc>
          <w:tcPr>
            <w:tcW w:w="3544" w:type="dxa"/>
          </w:tcPr>
          <w:p w:rsidR="00DA55F4" w:rsidRPr="005865AF" w:rsidRDefault="00DA55F4" w:rsidP="007E2986">
            <w:pPr>
              <w:pStyle w:val="ANormal"/>
            </w:pPr>
            <w:r>
              <w:t xml:space="preserve">Hälso- och sjukvårdsbyrån </w:t>
            </w:r>
          </w:p>
        </w:tc>
        <w:tc>
          <w:tcPr>
            <w:tcW w:w="992" w:type="dxa"/>
            <w:vAlign w:val="center"/>
          </w:tcPr>
          <w:p w:rsidR="00DA55F4" w:rsidRPr="005865AF" w:rsidRDefault="00DA55F4" w:rsidP="007E2986">
            <w:pPr>
              <w:pStyle w:val="ANormal"/>
              <w:jc w:val="center"/>
              <w:rPr>
                <w:lang w:val="en-GB"/>
              </w:rPr>
            </w:pPr>
            <w:r w:rsidRPr="005865AF">
              <w:rPr>
                <w:lang w:val="en-GB"/>
              </w:rPr>
              <w:t>5 st</w:t>
            </w:r>
          </w:p>
        </w:tc>
        <w:tc>
          <w:tcPr>
            <w:tcW w:w="993" w:type="dxa"/>
            <w:vAlign w:val="center"/>
          </w:tcPr>
          <w:p w:rsidR="00DA55F4" w:rsidRPr="005865AF" w:rsidRDefault="00DA55F4" w:rsidP="007E2986">
            <w:pPr>
              <w:pStyle w:val="ANormal"/>
              <w:jc w:val="center"/>
              <w:rPr>
                <w:lang w:val="en-GB"/>
              </w:rPr>
            </w:pPr>
          </w:p>
        </w:tc>
        <w:tc>
          <w:tcPr>
            <w:tcW w:w="992" w:type="dxa"/>
            <w:vAlign w:val="center"/>
          </w:tcPr>
          <w:p w:rsidR="00DA55F4" w:rsidRPr="005865AF" w:rsidRDefault="00DA55F4" w:rsidP="007E2986">
            <w:pPr>
              <w:pStyle w:val="ANormal"/>
              <w:jc w:val="center"/>
              <w:rPr>
                <w:lang w:val="en-GB"/>
              </w:rPr>
            </w:pPr>
            <w:r w:rsidRPr="005865AF">
              <w:rPr>
                <w:lang w:val="en-GB"/>
              </w:rPr>
              <w:t>1 st</w:t>
            </w:r>
          </w:p>
        </w:tc>
      </w:tr>
      <w:tr w:rsidR="00DA55F4" w:rsidRPr="005865AF" w:rsidTr="007E2986">
        <w:trPr>
          <w:trHeight w:val="255"/>
        </w:trPr>
        <w:tc>
          <w:tcPr>
            <w:tcW w:w="3544" w:type="dxa"/>
          </w:tcPr>
          <w:p w:rsidR="00DA55F4" w:rsidRPr="005865AF" w:rsidRDefault="00DA55F4" w:rsidP="007E2986">
            <w:pPr>
              <w:pStyle w:val="ANormal"/>
            </w:pPr>
            <w:r>
              <w:t xml:space="preserve">Miljöbyrån </w:t>
            </w:r>
          </w:p>
        </w:tc>
        <w:tc>
          <w:tcPr>
            <w:tcW w:w="992" w:type="dxa"/>
            <w:vAlign w:val="center"/>
          </w:tcPr>
          <w:p w:rsidR="00DA55F4" w:rsidRPr="005865AF" w:rsidRDefault="00DA55F4" w:rsidP="007E2986">
            <w:pPr>
              <w:pStyle w:val="ANormal"/>
              <w:jc w:val="center"/>
              <w:rPr>
                <w:lang w:val="en-GB"/>
              </w:rPr>
            </w:pPr>
            <w:r w:rsidRPr="005865AF">
              <w:rPr>
                <w:lang w:val="en-GB"/>
              </w:rPr>
              <w:t>17 st</w:t>
            </w:r>
          </w:p>
        </w:tc>
        <w:tc>
          <w:tcPr>
            <w:tcW w:w="993" w:type="dxa"/>
            <w:vAlign w:val="center"/>
          </w:tcPr>
          <w:p w:rsidR="00DA55F4" w:rsidRPr="005865AF" w:rsidRDefault="00DA55F4" w:rsidP="007E2986">
            <w:pPr>
              <w:pStyle w:val="ANormal"/>
              <w:jc w:val="center"/>
              <w:rPr>
                <w:lang w:val="en-GB"/>
              </w:rPr>
            </w:pPr>
            <w:r w:rsidRPr="005865AF">
              <w:rPr>
                <w:lang w:val="en-GB"/>
              </w:rPr>
              <w:t>15 st</w:t>
            </w:r>
          </w:p>
        </w:tc>
        <w:tc>
          <w:tcPr>
            <w:tcW w:w="992" w:type="dxa"/>
            <w:vAlign w:val="center"/>
          </w:tcPr>
          <w:p w:rsidR="00DA55F4" w:rsidRPr="005865AF" w:rsidRDefault="00DA55F4" w:rsidP="007E2986">
            <w:pPr>
              <w:pStyle w:val="ANormal"/>
              <w:jc w:val="center"/>
              <w:rPr>
                <w:lang w:val="en-GB"/>
              </w:rPr>
            </w:pPr>
            <w:r w:rsidRPr="005865AF">
              <w:rPr>
                <w:lang w:val="en-GB"/>
              </w:rPr>
              <w:t>33 st</w:t>
            </w:r>
          </w:p>
        </w:tc>
      </w:tr>
      <w:tr w:rsidR="00DA55F4" w:rsidRPr="005865AF" w:rsidTr="007E2986">
        <w:trPr>
          <w:trHeight w:val="240"/>
        </w:trPr>
        <w:tc>
          <w:tcPr>
            <w:tcW w:w="3544" w:type="dxa"/>
          </w:tcPr>
          <w:p w:rsidR="00DA55F4" w:rsidRPr="005865AF" w:rsidRDefault="00DA55F4" w:rsidP="007E2986">
            <w:pPr>
              <w:pStyle w:val="ANormal"/>
              <w:rPr>
                <w:lang w:val="sv-FI"/>
              </w:rPr>
            </w:pPr>
            <w:r w:rsidRPr="005865AF">
              <w:rPr>
                <w:b/>
                <w:bCs/>
                <w:lang w:val="sv-FI"/>
              </w:rPr>
              <w:t>Utbildnings- och kulturavdelningen</w:t>
            </w:r>
          </w:p>
        </w:tc>
        <w:tc>
          <w:tcPr>
            <w:tcW w:w="992" w:type="dxa"/>
            <w:vAlign w:val="center"/>
          </w:tcPr>
          <w:p w:rsidR="00DA55F4" w:rsidRPr="005865AF" w:rsidRDefault="00DA55F4" w:rsidP="007E2986">
            <w:pPr>
              <w:pStyle w:val="ANormal"/>
              <w:jc w:val="center"/>
              <w:rPr>
                <w:lang w:val="sv-FI"/>
              </w:rPr>
            </w:pPr>
          </w:p>
        </w:tc>
        <w:tc>
          <w:tcPr>
            <w:tcW w:w="993" w:type="dxa"/>
            <w:vAlign w:val="center"/>
          </w:tcPr>
          <w:p w:rsidR="00DA55F4" w:rsidRPr="005865AF" w:rsidRDefault="00DA55F4" w:rsidP="007E2986">
            <w:pPr>
              <w:pStyle w:val="ANormal"/>
              <w:jc w:val="center"/>
              <w:rPr>
                <w:lang w:val="sv-FI"/>
              </w:rPr>
            </w:pPr>
          </w:p>
        </w:tc>
        <w:tc>
          <w:tcPr>
            <w:tcW w:w="992" w:type="dxa"/>
            <w:vAlign w:val="center"/>
          </w:tcPr>
          <w:p w:rsidR="00DA55F4" w:rsidRPr="005865AF" w:rsidRDefault="00DA55F4" w:rsidP="007E2986">
            <w:pPr>
              <w:pStyle w:val="ANormal"/>
              <w:jc w:val="center"/>
              <w:rPr>
                <w:lang w:val="sv-FI"/>
              </w:rPr>
            </w:pPr>
          </w:p>
        </w:tc>
      </w:tr>
      <w:tr w:rsidR="00DA55F4" w:rsidRPr="005865AF" w:rsidTr="007E2986">
        <w:trPr>
          <w:trHeight w:val="240"/>
        </w:trPr>
        <w:tc>
          <w:tcPr>
            <w:tcW w:w="3544" w:type="dxa"/>
          </w:tcPr>
          <w:p w:rsidR="00DA55F4" w:rsidRPr="005865AF" w:rsidRDefault="00DA55F4" w:rsidP="007E2986">
            <w:pPr>
              <w:pStyle w:val="ANormal"/>
              <w:rPr>
                <w:lang w:val="sv-FI"/>
              </w:rPr>
            </w:pPr>
            <w:r>
              <w:rPr>
                <w:lang w:val="sv-FI"/>
              </w:rPr>
              <w:t xml:space="preserve">Utbildningsbyrån </w:t>
            </w:r>
          </w:p>
        </w:tc>
        <w:tc>
          <w:tcPr>
            <w:tcW w:w="992" w:type="dxa"/>
            <w:vAlign w:val="center"/>
          </w:tcPr>
          <w:p w:rsidR="00DA55F4" w:rsidRPr="005865AF" w:rsidRDefault="00DA55F4" w:rsidP="007E2986">
            <w:pPr>
              <w:pStyle w:val="ANormal"/>
              <w:jc w:val="center"/>
              <w:rPr>
                <w:lang w:val="sv-FI"/>
              </w:rPr>
            </w:pPr>
            <w:r w:rsidRPr="005865AF">
              <w:rPr>
                <w:lang w:val="sv-FI"/>
              </w:rPr>
              <w:t>2 st</w:t>
            </w:r>
          </w:p>
        </w:tc>
        <w:tc>
          <w:tcPr>
            <w:tcW w:w="993" w:type="dxa"/>
            <w:vAlign w:val="center"/>
          </w:tcPr>
          <w:p w:rsidR="00DA55F4" w:rsidRPr="005865AF" w:rsidRDefault="00DA55F4" w:rsidP="007E2986">
            <w:pPr>
              <w:pStyle w:val="ANormal"/>
              <w:jc w:val="center"/>
              <w:rPr>
                <w:lang w:val="sv-FI"/>
              </w:rPr>
            </w:pPr>
          </w:p>
        </w:tc>
        <w:tc>
          <w:tcPr>
            <w:tcW w:w="992" w:type="dxa"/>
            <w:vAlign w:val="center"/>
          </w:tcPr>
          <w:p w:rsidR="00DA55F4" w:rsidRPr="005865AF" w:rsidRDefault="00DA55F4" w:rsidP="007E2986">
            <w:pPr>
              <w:pStyle w:val="ANormal"/>
              <w:jc w:val="center"/>
              <w:rPr>
                <w:lang w:val="sv-FI"/>
              </w:rPr>
            </w:pPr>
          </w:p>
        </w:tc>
      </w:tr>
      <w:tr w:rsidR="00DA55F4" w:rsidRPr="005865AF" w:rsidTr="007E2986">
        <w:trPr>
          <w:trHeight w:val="255"/>
        </w:trPr>
        <w:tc>
          <w:tcPr>
            <w:tcW w:w="3544" w:type="dxa"/>
          </w:tcPr>
          <w:p w:rsidR="00DA55F4" w:rsidRPr="005865AF" w:rsidRDefault="00DA55F4" w:rsidP="007E2986">
            <w:pPr>
              <w:pStyle w:val="ANormal"/>
              <w:rPr>
                <w:lang w:val="sv-FI"/>
              </w:rPr>
            </w:pPr>
            <w:r w:rsidRPr="005865AF">
              <w:rPr>
                <w:b/>
                <w:bCs/>
                <w:lang w:val="sv-FI"/>
              </w:rPr>
              <w:t>Näringsavdelningen</w:t>
            </w:r>
          </w:p>
        </w:tc>
        <w:tc>
          <w:tcPr>
            <w:tcW w:w="992" w:type="dxa"/>
            <w:vAlign w:val="center"/>
          </w:tcPr>
          <w:p w:rsidR="00DA55F4" w:rsidRPr="005865AF" w:rsidRDefault="00DA55F4" w:rsidP="007E2986">
            <w:pPr>
              <w:pStyle w:val="ANormal"/>
              <w:jc w:val="center"/>
              <w:rPr>
                <w:lang w:val="sv-FI"/>
              </w:rPr>
            </w:pPr>
          </w:p>
        </w:tc>
        <w:tc>
          <w:tcPr>
            <w:tcW w:w="993" w:type="dxa"/>
            <w:vAlign w:val="center"/>
          </w:tcPr>
          <w:p w:rsidR="00DA55F4" w:rsidRPr="005865AF" w:rsidRDefault="00DA55F4" w:rsidP="007E2986">
            <w:pPr>
              <w:pStyle w:val="ANormal"/>
              <w:jc w:val="center"/>
              <w:rPr>
                <w:lang w:val="sv-FI"/>
              </w:rPr>
            </w:pPr>
          </w:p>
        </w:tc>
        <w:tc>
          <w:tcPr>
            <w:tcW w:w="992" w:type="dxa"/>
            <w:vAlign w:val="center"/>
          </w:tcPr>
          <w:p w:rsidR="00DA55F4" w:rsidRPr="005865AF" w:rsidRDefault="00DA55F4" w:rsidP="007E2986">
            <w:pPr>
              <w:pStyle w:val="ANormal"/>
              <w:jc w:val="center"/>
              <w:rPr>
                <w:lang w:val="sv-FI"/>
              </w:rPr>
            </w:pPr>
          </w:p>
        </w:tc>
      </w:tr>
      <w:tr w:rsidR="00DA55F4" w:rsidRPr="005865AF" w:rsidTr="007E2986">
        <w:trPr>
          <w:trHeight w:val="255"/>
        </w:trPr>
        <w:tc>
          <w:tcPr>
            <w:tcW w:w="3544" w:type="dxa"/>
          </w:tcPr>
          <w:p w:rsidR="00DA55F4" w:rsidRPr="005865AF" w:rsidRDefault="00DA55F4" w:rsidP="007E2986">
            <w:pPr>
              <w:pStyle w:val="ANormal"/>
              <w:rPr>
                <w:lang w:val="sv-FI"/>
              </w:rPr>
            </w:pPr>
            <w:r>
              <w:rPr>
                <w:lang w:val="sv-FI"/>
              </w:rPr>
              <w:t xml:space="preserve">Jordbruksbyrån </w:t>
            </w:r>
          </w:p>
        </w:tc>
        <w:tc>
          <w:tcPr>
            <w:tcW w:w="992" w:type="dxa"/>
            <w:vAlign w:val="center"/>
          </w:tcPr>
          <w:p w:rsidR="00DA55F4" w:rsidRPr="005865AF" w:rsidRDefault="00DA55F4" w:rsidP="007E2986">
            <w:pPr>
              <w:pStyle w:val="ANormal"/>
              <w:jc w:val="center"/>
              <w:rPr>
                <w:lang w:val="sv-FI"/>
              </w:rPr>
            </w:pPr>
            <w:r w:rsidRPr="005865AF">
              <w:rPr>
                <w:lang w:val="sv-FI"/>
              </w:rPr>
              <w:t>2 st</w:t>
            </w:r>
          </w:p>
        </w:tc>
        <w:tc>
          <w:tcPr>
            <w:tcW w:w="993" w:type="dxa"/>
            <w:vAlign w:val="center"/>
          </w:tcPr>
          <w:p w:rsidR="00DA55F4" w:rsidRPr="005865AF" w:rsidRDefault="00DA55F4" w:rsidP="007E2986">
            <w:pPr>
              <w:pStyle w:val="ANormal"/>
              <w:jc w:val="center"/>
              <w:rPr>
                <w:lang w:val="sv-FI"/>
              </w:rPr>
            </w:pPr>
            <w:r w:rsidRPr="005865AF">
              <w:rPr>
                <w:lang w:val="sv-FI"/>
              </w:rPr>
              <w:t>5 st</w:t>
            </w:r>
          </w:p>
        </w:tc>
        <w:tc>
          <w:tcPr>
            <w:tcW w:w="992" w:type="dxa"/>
            <w:vAlign w:val="center"/>
          </w:tcPr>
          <w:p w:rsidR="00DA55F4" w:rsidRPr="005865AF" w:rsidRDefault="00DA55F4" w:rsidP="007E2986">
            <w:pPr>
              <w:pStyle w:val="ANormal"/>
              <w:jc w:val="center"/>
              <w:rPr>
                <w:lang w:val="sv-FI"/>
              </w:rPr>
            </w:pPr>
            <w:r w:rsidRPr="005865AF">
              <w:rPr>
                <w:lang w:val="sv-FI"/>
              </w:rPr>
              <w:t>8 st</w:t>
            </w:r>
          </w:p>
        </w:tc>
      </w:tr>
      <w:tr w:rsidR="00DA55F4" w:rsidRPr="005865AF" w:rsidTr="007E2986">
        <w:trPr>
          <w:trHeight w:val="240"/>
        </w:trPr>
        <w:tc>
          <w:tcPr>
            <w:tcW w:w="3544" w:type="dxa"/>
          </w:tcPr>
          <w:p w:rsidR="00DA55F4" w:rsidRPr="005865AF" w:rsidRDefault="00DA55F4" w:rsidP="007E2986">
            <w:pPr>
              <w:pStyle w:val="ANormal"/>
              <w:rPr>
                <w:lang w:val="sv-FI"/>
              </w:rPr>
            </w:pPr>
            <w:r w:rsidRPr="005865AF">
              <w:rPr>
                <w:b/>
                <w:bCs/>
                <w:lang w:val="sv-FI"/>
              </w:rPr>
              <w:t>Infrastrukturavdelningen</w:t>
            </w:r>
          </w:p>
        </w:tc>
        <w:tc>
          <w:tcPr>
            <w:tcW w:w="992" w:type="dxa"/>
            <w:vAlign w:val="center"/>
          </w:tcPr>
          <w:p w:rsidR="00DA55F4" w:rsidRPr="005865AF" w:rsidRDefault="00DA55F4" w:rsidP="007E2986">
            <w:pPr>
              <w:pStyle w:val="ANormal"/>
              <w:jc w:val="center"/>
              <w:rPr>
                <w:lang w:val="sv-FI"/>
              </w:rPr>
            </w:pPr>
          </w:p>
        </w:tc>
        <w:tc>
          <w:tcPr>
            <w:tcW w:w="993" w:type="dxa"/>
            <w:vAlign w:val="center"/>
          </w:tcPr>
          <w:p w:rsidR="00DA55F4" w:rsidRPr="005865AF" w:rsidRDefault="00DA55F4" w:rsidP="007E2986">
            <w:pPr>
              <w:pStyle w:val="ANormal"/>
              <w:jc w:val="center"/>
              <w:rPr>
                <w:lang w:val="sv-FI"/>
              </w:rPr>
            </w:pPr>
          </w:p>
        </w:tc>
        <w:tc>
          <w:tcPr>
            <w:tcW w:w="992" w:type="dxa"/>
            <w:vAlign w:val="center"/>
          </w:tcPr>
          <w:p w:rsidR="00DA55F4" w:rsidRPr="005865AF" w:rsidRDefault="00DA55F4" w:rsidP="007E2986">
            <w:pPr>
              <w:pStyle w:val="ANormal"/>
              <w:jc w:val="center"/>
              <w:rPr>
                <w:lang w:val="sv-FI"/>
              </w:rPr>
            </w:pPr>
          </w:p>
        </w:tc>
      </w:tr>
      <w:tr w:rsidR="00884D9B" w:rsidRPr="005865AF" w:rsidTr="007E2986">
        <w:trPr>
          <w:trHeight w:val="255"/>
        </w:trPr>
        <w:tc>
          <w:tcPr>
            <w:tcW w:w="3544" w:type="dxa"/>
          </w:tcPr>
          <w:p w:rsidR="00884D9B" w:rsidRPr="00884D9B" w:rsidRDefault="00884D9B" w:rsidP="009E5A36">
            <w:pPr>
              <w:pStyle w:val="ANormal"/>
              <w:rPr>
                <w:lang w:val="sv-FI"/>
              </w:rPr>
            </w:pPr>
            <w:r w:rsidRPr="00884D9B">
              <w:rPr>
                <w:lang w:val="sv-FI"/>
              </w:rPr>
              <w:t>Energi</w:t>
            </w:r>
          </w:p>
        </w:tc>
        <w:tc>
          <w:tcPr>
            <w:tcW w:w="992" w:type="dxa"/>
            <w:vAlign w:val="center"/>
          </w:tcPr>
          <w:p w:rsidR="00884D9B" w:rsidRPr="005865AF" w:rsidRDefault="00884D9B" w:rsidP="007E2986">
            <w:pPr>
              <w:pStyle w:val="ANormal"/>
              <w:jc w:val="center"/>
              <w:rPr>
                <w:lang w:val="en-GB"/>
              </w:rPr>
            </w:pPr>
            <w:r>
              <w:rPr>
                <w:lang w:val="en-GB"/>
              </w:rPr>
              <w:t>4 st</w:t>
            </w:r>
          </w:p>
        </w:tc>
        <w:tc>
          <w:tcPr>
            <w:tcW w:w="993" w:type="dxa"/>
            <w:vAlign w:val="center"/>
          </w:tcPr>
          <w:p w:rsidR="00884D9B" w:rsidRPr="005865AF" w:rsidRDefault="00884D9B" w:rsidP="007E2986">
            <w:pPr>
              <w:pStyle w:val="ANormal"/>
              <w:jc w:val="center"/>
              <w:rPr>
                <w:lang w:val="en-GB"/>
              </w:rPr>
            </w:pPr>
            <w:r>
              <w:rPr>
                <w:lang w:val="en-GB"/>
              </w:rPr>
              <w:t>2 st</w:t>
            </w:r>
          </w:p>
        </w:tc>
        <w:tc>
          <w:tcPr>
            <w:tcW w:w="992" w:type="dxa"/>
            <w:vAlign w:val="center"/>
          </w:tcPr>
          <w:p w:rsidR="00884D9B" w:rsidRPr="005865AF" w:rsidRDefault="00884D9B" w:rsidP="007E2986">
            <w:pPr>
              <w:pStyle w:val="ANormal"/>
              <w:jc w:val="center"/>
              <w:rPr>
                <w:lang w:val="en-GB"/>
              </w:rPr>
            </w:pPr>
            <w:r>
              <w:rPr>
                <w:lang w:val="en-GB"/>
              </w:rPr>
              <w:t>3 st</w:t>
            </w:r>
          </w:p>
        </w:tc>
      </w:tr>
      <w:tr w:rsidR="00884D9B" w:rsidRPr="005865AF" w:rsidTr="007E2986">
        <w:trPr>
          <w:trHeight w:val="255"/>
        </w:trPr>
        <w:tc>
          <w:tcPr>
            <w:tcW w:w="3544" w:type="dxa"/>
          </w:tcPr>
          <w:p w:rsidR="00884D9B" w:rsidRPr="00884D9B" w:rsidRDefault="00884D9B" w:rsidP="009E5A36">
            <w:pPr>
              <w:pStyle w:val="ANormal"/>
              <w:rPr>
                <w:lang w:val="sv-FI"/>
              </w:rPr>
            </w:pPr>
            <w:r w:rsidRPr="00884D9B">
              <w:rPr>
                <w:lang w:val="sv-FI"/>
              </w:rPr>
              <w:t>Trafik</w:t>
            </w:r>
          </w:p>
        </w:tc>
        <w:tc>
          <w:tcPr>
            <w:tcW w:w="992" w:type="dxa"/>
            <w:vAlign w:val="center"/>
          </w:tcPr>
          <w:p w:rsidR="00884D9B" w:rsidRPr="005865AF" w:rsidRDefault="00884D9B" w:rsidP="007E2986">
            <w:pPr>
              <w:pStyle w:val="ANormal"/>
              <w:jc w:val="center"/>
              <w:rPr>
                <w:lang w:val="en-GB"/>
              </w:rPr>
            </w:pPr>
            <w:r>
              <w:rPr>
                <w:lang w:val="en-GB"/>
              </w:rPr>
              <w:t>5 st</w:t>
            </w:r>
          </w:p>
        </w:tc>
        <w:tc>
          <w:tcPr>
            <w:tcW w:w="993" w:type="dxa"/>
            <w:vAlign w:val="center"/>
          </w:tcPr>
          <w:p w:rsidR="00884D9B" w:rsidRPr="005865AF" w:rsidRDefault="00884D9B" w:rsidP="007E2986">
            <w:pPr>
              <w:pStyle w:val="ANormal"/>
              <w:jc w:val="center"/>
              <w:rPr>
                <w:lang w:val="en-GB"/>
              </w:rPr>
            </w:pPr>
            <w:r>
              <w:rPr>
                <w:lang w:val="en-GB"/>
              </w:rPr>
              <w:t>7 st</w:t>
            </w:r>
          </w:p>
        </w:tc>
        <w:tc>
          <w:tcPr>
            <w:tcW w:w="992" w:type="dxa"/>
            <w:vAlign w:val="center"/>
          </w:tcPr>
          <w:p w:rsidR="00884D9B" w:rsidRPr="005865AF" w:rsidRDefault="00884D9B" w:rsidP="007E2986">
            <w:pPr>
              <w:pStyle w:val="ANormal"/>
              <w:jc w:val="center"/>
              <w:rPr>
                <w:lang w:val="en-GB"/>
              </w:rPr>
            </w:pPr>
            <w:r>
              <w:rPr>
                <w:lang w:val="en-GB"/>
              </w:rPr>
              <w:t>13 st</w:t>
            </w:r>
          </w:p>
        </w:tc>
      </w:tr>
      <w:tr w:rsidR="00DA55F4" w:rsidRPr="005865AF" w:rsidTr="007E2986">
        <w:tc>
          <w:tcPr>
            <w:tcW w:w="3544" w:type="dxa"/>
          </w:tcPr>
          <w:p w:rsidR="00DA55F4" w:rsidRPr="005865AF" w:rsidRDefault="00DA55F4" w:rsidP="007E2986">
            <w:pPr>
              <w:pStyle w:val="ANormal"/>
              <w:rPr>
                <w:b/>
                <w:bCs/>
                <w:lang w:val="sv-FI"/>
              </w:rPr>
            </w:pPr>
            <w:r w:rsidRPr="005865AF">
              <w:rPr>
                <w:b/>
                <w:bCs/>
                <w:lang w:val="sv-FI"/>
              </w:rPr>
              <w:t>Totalt</w:t>
            </w:r>
          </w:p>
        </w:tc>
        <w:tc>
          <w:tcPr>
            <w:tcW w:w="992" w:type="dxa"/>
            <w:vAlign w:val="center"/>
          </w:tcPr>
          <w:p w:rsidR="00DA55F4" w:rsidRPr="005865AF" w:rsidRDefault="00DA55F4" w:rsidP="007E2986">
            <w:pPr>
              <w:pStyle w:val="ANormal"/>
              <w:jc w:val="center"/>
              <w:rPr>
                <w:b/>
                <w:bCs/>
                <w:lang w:val="sv-FI"/>
              </w:rPr>
            </w:pPr>
            <w:r w:rsidRPr="005865AF">
              <w:rPr>
                <w:b/>
                <w:bCs/>
                <w:lang w:val="sv-FI"/>
              </w:rPr>
              <w:t>39 st</w:t>
            </w:r>
          </w:p>
        </w:tc>
        <w:tc>
          <w:tcPr>
            <w:tcW w:w="993" w:type="dxa"/>
            <w:vAlign w:val="center"/>
          </w:tcPr>
          <w:p w:rsidR="00DA55F4" w:rsidRPr="005865AF" w:rsidRDefault="00DA55F4" w:rsidP="007E2986">
            <w:pPr>
              <w:pStyle w:val="ANormal"/>
              <w:jc w:val="center"/>
              <w:rPr>
                <w:b/>
                <w:bCs/>
                <w:lang w:val="sv-FI"/>
              </w:rPr>
            </w:pPr>
            <w:r w:rsidRPr="005865AF">
              <w:rPr>
                <w:b/>
                <w:bCs/>
                <w:lang w:val="sv-FI"/>
              </w:rPr>
              <w:t>33 st</w:t>
            </w:r>
          </w:p>
        </w:tc>
        <w:tc>
          <w:tcPr>
            <w:tcW w:w="992" w:type="dxa"/>
            <w:vAlign w:val="center"/>
          </w:tcPr>
          <w:p w:rsidR="00DA55F4" w:rsidRPr="005865AF" w:rsidRDefault="00DA55F4" w:rsidP="00884D9B">
            <w:pPr>
              <w:pStyle w:val="ANormal"/>
              <w:jc w:val="center"/>
              <w:rPr>
                <w:b/>
                <w:bCs/>
                <w:lang w:val="sv-FI"/>
              </w:rPr>
            </w:pPr>
            <w:r w:rsidRPr="005865AF">
              <w:rPr>
                <w:b/>
                <w:bCs/>
                <w:lang w:val="sv-FI"/>
              </w:rPr>
              <w:t>6</w:t>
            </w:r>
            <w:r w:rsidR="00884D9B">
              <w:rPr>
                <w:b/>
                <w:bCs/>
                <w:lang w:val="sv-FI"/>
              </w:rPr>
              <w:t>1</w:t>
            </w:r>
            <w:r w:rsidRPr="005865AF">
              <w:rPr>
                <w:b/>
                <w:bCs/>
                <w:lang w:val="sv-FI"/>
              </w:rPr>
              <w:t xml:space="preserve"> st</w:t>
            </w:r>
          </w:p>
        </w:tc>
      </w:tr>
    </w:tbl>
    <w:p w:rsidR="00DA55F4" w:rsidRPr="005865AF" w:rsidRDefault="00DA55F4" w:rsidP="00DA55F4">
      <w:pPr>
        <w:pStyle w:val="ANormal"/>
      </w:pPr>
    </w:p>
    <w:p w:rsidR="00DA55F4" w:rsidRDefault="00DA55F4" w:rsidP="00DA55F4">
      <w:pPr>
        <w:rPr>
          <w:b/>
        </w:rPr>
      </w:pPr>
      <w:r w:rsidRPr="005865AF">
        <w:rPr>
          <w:b/>
        </w:rPr>
        <w:t xml:space="preserve">Tabell 8. Fördelning områdesvis av notifieringar inom landskapets </w:t>
      </w:r>
    </w:p>
    <w:p w:rsidR="00DA55F4" w:rsidRPr="005865AF" w:rsidRDefault="00DA55F4" w:rsidP="00DA55F4">
      <w:pPr>
        <w:rPr>
          <w:b/>
        </w:rPr>
      </w:pPr>
      <w:r w:rsidRPr="005865AF">
        <w:rPr>
          <w:b/>
        </w:rPr>
        <w:t>behörighet 2016</w:t>
      </w:r>
    </w:p>
    <w:p w:rsidR="00DA55F4" w:rsidRPr="005865AF" w:rsidRDefault="00DA55F4" w:rsidP="00DA55F4"/>
    <w:tbl>
      <w:tblPr>
        <w:tblW w:w="652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4"/>
        <w:gridCol w:w="992"/>
        <w:gridCol w:w="993"/>
        <w:gridCol w:w="992"/>
      </w:tblGrid>
      <w:tr w:rsidR="00DA55F4" w:rsidRPr="005865AF" w:rsidTr="007E2986">
        <w:tc>
          <w:tcPr>
            <w:tcW w:w="3544" w:type="dxa"/>
            <w:tcBorders>
              <w:top w:val="single" w:sz="4" w:space="0" w:color="auto"/>
            </w:tcBorders>
            <w:shd w:val="clear" w:color="auto" w:fill="A6A6A6"/>
          </w:tcPr>
          <w:p w:rsidR="00DA55F4" w:rsidRPr="005865AF" w:rsidRDefault="00DA55F4" w:rsidP="007E2986">
            <w:pPr>
              <w:rPr>
                <w:b/>
                <w:bCs/>
              </w:rPr>
            </w:pPr>
            <w:r w:rsidRPr="005865AF">
              <w:rPr>
                <w:b/>
                <w:bCs/>
              </w:rPr>
              <w:t>Område</w:t>
            </w:r>
          </w:p>
        </w:tc>
        <w:tc>
          <w:tcPr>
            <w:tcW w:w="992" w:type="dxa"/>
            <w:tcBorders>
              <w:top w:val="single" w:sz="4" w:space="0" w:color="auto"/>
            </w:tcBorders>
            <w:shd w:val="clear" w:color="auto" w:fill="A6A6A6"/>
            <w:vAlign w:val="center"/>
          </w:tcPr>
          <w:p w:rsidR="00DA55F4" w:rsidRPr="005865AF" w:rsidRDefault="00DA55F4" w:rsidP="007E2986">
            <w:pPr>
              <w:jc w:val="center"/>
              <w:rPr>
                <w:b/>
                <w:bCs/>
              </w:rPr>
            </w:pPr>
            <w:r w:rsidRPr="005865AF">
              <w:rPr>
                <w:b/>
                <w:bCs/>
              </w:rPr>
              <w:t>2016</w:t>
            </w:r>
          </w:p>
        </w:tc>
        <w:tc>
          <w:tcPr>
            <w:tcW w:w="993" w:type="dxa"/>
            <w:tcBorders>
              <w:top w:val="single" w:sz="4" w:space="0" w:color="auto"/>
            </w:tcBorders>
            <w:shd w:val="clear" w:color="auto" w:fill="A6A6A6"/>
            <w:vAlign w:val="center"/>
          </w:tcPr>
          <w:p w:rsidR="00DA55F4" w:rsidRPr="005865AF" w:rsidRDefault="00DA55F4" w:rsidP="007E2986">
            <w:pPr>
              <w:jc w:val="center"/>
              <w:rPr>
                <w:b/>
                <w:bCs/>
              </w:rPr>
            </w:pPr>
            <w:r w:rsidRPr="005865AF">
              <w:rPr>
                <w:b/>
                <w:bCs/>
              </w:rPr>
              <w:t>2015</w:t>
            </w:r>
          </w:p>
        </w:tc>
        <w:tc>
          <w:tcPr>
            <w:tcW w:w="992" w:type="dxa"/>
            <w:tcBorders>
              <w:top w:val="single" w:sz="4" w:space="0" w:color="auto"/>
            </w:tcBorders>
            <w:shd w:val="clear" w:color="auto" w:fill="A6A6A6"/>
            <w:vAlign w:val="center"/>
          </w:tcPr>
          <w:p w:rsidR="00DA55F4" w:rsidRPr="005865AF" w:rsidRDefault="00DA55F4" w:rsidP="007E2986">
            <w:pPr>
              <w:jc w:val="center"/>
              <w:rPr>
                <w:b/>
                <w:bCs/>
              </w:rPr>
            </w:pPr>
            <w:r w:rsidRPr="005865AF">
              <w:rPr>
                <w:b/>
                <w:bCs/>
              </w:rPr>
              <w:t>2014</w:t>
            </w:r>
          </w:p>
        </w:tc>
      </w:tr>
      <w:tr w:rsidR="00DA55F4" w:rsidRPr="005865AF" w:rsidTr="007E2986">
        <w:tc>
          <w:tcPr>
            <w:tcW w:w="3544" w:type="dxa"/>
          </w:tcPr>
          <w:p w:rsidR="00DA55F4" w:rsidRPr="005865AF" w:rsidRDefault="00DA55F4" w:rsidP="007E2986">
            <w:r w:rsidRPr="005865AF">
              <w:t>Avfall</w:t>
            </w:r>
          </w:p>
        </w:tc>
        <w:tc>
          <w:tcPr>
            <w:tcW w:w="992" w:type="dxa"/>
            <w:vAlign w:val="center"/>
          </w:tcPr>
          <w:p w:rsidR="00DA55F4" w:rsidRPr="005865AF" w:rsidRDefault="00DA55F4" w:rsidP="007E2986">
            <w:pPr>
              <w:jc w:val="center"/>
            </w:pPr>
            <w:r w:rsidRPr="005865AF">
              <w:t>5 st</w:t>
            </w:r>
          </w:p>
        </w:tc>
        <w:tc>
          <w:tcPr>
            <w:tcW w:w="993" w:type="dxa"/>
            <w:vAlign w:val="center"/>
          </w:tcPr>
          <w:p w:rsidR="00DA55F4" w:rsidRPr="005865AF" w:rsidRDefault="00DA55F4" w:rsidP="007E2986">
            <w:pPr>
              <w:jc w:val="center"/>
            </w:pPr>
            <w:r w:rsidRPr="005865AF">
              <w:t>2 st</w:t>
            </w:r>
          </w:p>
        </w:tc>
        <w:tc>
          <w:tcPr>
            <w:tcW w:w="992" w:type="dxa"/>
            <w:vAlign w:val="center"/>
          </w:tcPr>
          <w:p w:rsidR="00DA55F4" w:rsidRPr="005865AF" w:rsidRDefault="00DA55F4" w:rsidP="007E2986">
            <w:pPr>
              <w:jc w:val="center"/>
            </w:pPr>
            <w:r w:rsidRPr="005865AF">
              <w:t>1 st</w:t>
            </w:r>
          </w:p>
        </w:tc>
      </w:tr>
      <w:tr w:rsidR="00DA55F4" w:rsidRPr="005865AF" w:rsidTr="007E2986">
        <w:tc>
          <w:tcPr>
            <w:tcW w:w="3544" w:type="dxa"/>
          </w:tcPr>
          <w:p w:rsidR="00DA55F4" w:rsidRPr="005865AF" w:rsidRDefault="00DA55F4" w:rsidP="007E2986">
            <w:pPr>
              <w:rPr>
                <w:lang w:val="sv-FI"/>
              </w:rPr>
            </w:pPr>
            <w:r w:rsidRPr="005865AF">
              <w:rPr>
                <w:lang w:val="sv-FI"/>
              </w:rPr>
              <w:t>Beskattning</w:t>
            </w:r>
          </w:p>
        </w:tc>
        <w:tc>
          <w:tcPr>
            <w:tcW w:w="992" w:type="dxa"/>
            <w:vAlign w:val="center"/>
          </w:tcPr>
          <w:p w:rsidR="00DA55F4" w:rsidRPr="005865AF" w:rsidRDefault="00DA55F4" w:rsidP="007E2986">
            <w:pPr>
              <w:jc w:val="center"/>
            </w:pPr>
            <w:r w:rsidRPr="005865AF">
              <w:t>-</w:t>
            </w:r>
          </w:p>
        </w:tc>
        <w:tc>
          <w:tcPr>
            <w:tcW w:w="993" w:type="dxa"/>
            <w:vAlign w:val="center"/>
          </w:tcPr>
          <w:p w:rsidR="00DA55F4" w:rsidRPr="005865AF" w:rsidRDefault="00DA55F4" w:rsidP="007E2986">
            <w:pPr>
              <w:jc w:val="center"/>
            </w:pPr>
            <w:r w:rsidRPr="005865AF">
              <w:t>2 st</w:t>
            </w:r>
          </w:p>
        </w:tc>
        <w:tc>
          <w:tcPr>
            <w:tcW w:w="992" w:type="dxa"/>
            <w:vAlign w:val="center"/>
          </w:tcPr>
          <w:p w:rsidR="00DA55F4" w:rsidRPr="005865AF" w:rsidRDefault="00DA55F4" w:rsidP="007E2986">
            <w:pPr>
              <w:jc w:val="center"/>
            </w:pPr>
            <w:r w:rsidRPr="005865AF">
              <w:t>1 st</w:t>
            </w:r>
          </w:p>
        </w:tc>
      </w:tr>
      <w:tr w:rsidR="00DA55F4" w:rsidRPr="005865AF" w:rsidTr="007E2986">
        <w:tc>
          <w:tcPr>
            <w:tcW w:w="3544" w:type="dxa"/>
          </w:tcPr>
          <w:p w:rsidR="00DA55F4" w:rsidRPr="005865AF" w:rsidRDefault="00DA55F4" w:rsidP="007E2986">
            <w:pPr>
              <w:rPr>
                <w:lang w:val="sv-FI"/>
              </w:rPr>
            </w:pPr>
            <w:r w:rsidRPr="005865AF">
              <w:rPr>
                <w:lang w:val="sv-FI"/>
              </w:rPr>
              <w:t>Budget</w:t>
            </w:r>
          </w:p>
        </w:tc>
        <w:tc>
          <w:tcPr>
            <w:tcW w:w="992" w:type="dxa"/>
            <w:vAlign w:val="center"/>
          </w:tcPr>
          <w:p w:rsidR="00DA55F4" w:rsidRPr="005865AF" w:rsidRDefault="00DA55F4" w:rsidP="007E2986">
            <w:pPr>
              <w:jc w:val="center"/>
            </w:pPr>
            <w:r w:rsidRPr="005865AF">
              <w:t>-</w:t>
            </w:r>
          </w:p>
        </w:tc>
        <w:tc>
          <w:tcPr>
            <w:tcW w:w="993" w:type="dxa"/>
            <w:vAlign w:val="center"/>
          </w:tcPr>
          <w:p w:rsidR="00DA55F4" w:rsidRPr="005865AF" w:rsidRDefault="00DA55F4" w:rsidP="007E2986">
            <w:pPr>
              <w:jc w:val="center"/>
            </w:pPr>
            <w:r w:rsidRPr="005865AF">
              <w:t>-</w:t>
            </w:r>
          </w:p>
        </w:tc>
        <w:tc>
          <w:tcPr>
            <w:tcW w:w="992" w:type="dxa"/>
            <w:vAlign w:val="center"/>
          </w:tcPr>
          <w:p w:rsidR="00DA55F4" w:rsidRPr="005865AF" w:rsidRDefault="00DA55F4" w:rsidP="007E2986">
            <w:pPr>
              <w:jc w:val="center"/>
            </w:pPr>
            <w:r w:rsidRPr="005865AF">
              <w:t>-</w:t>
            </w:r>
          </w:p>
        </w:tc>
      </w:tr>
      <w:tr w:rsidR="00DA55F4" w:rsidRPr="005865AF" w:rsidTr="007E2986">
        <w:tc>
          <w:tcPr>
            <w:tcW w:w="3544" w:type="dxa"/>
          </w:tcPr>
          <w:p w:rsidR="00DA55F4" w:rsidRPr="005865AF" w:rsidRDefault="00DA55F4" w:rsidP="007E2986">
            <w:pPr>
              <w:rPr>
                <w:lang w:val="sv-FI"/>
              </w:rPr>
            </w:pPr>
            <w:r w:rsidRPr="005865AF">
              <w:rPr>
                <w:lang w:val="sv-FI"/>
              </w:rPr>
              <w:t>Energi</w:t>
            </w:r>
          </w:p>
        </w:tc>
        <w:tc>
          <w:tcPr>
            <w:tcW w:w="992" w:type="dxa"/>
            <w:vAlign w:val="center"/>
          </w:tcPr>
          <w:p w:rsidR="00DA55F4" w:rsidRPr="005865AF" w:rsidRDefault="00DA55F4" w:rsidP="007E2986">
            <w:pPr>
              <w:jc w:val="center"/>
              <w:rPr>
                <w:lang w:val="en-GB"/>
              </w:rPr>
            </w:pPr>
            <w:r w:rsidRPr="005865AF">
              <w:rPr>
                <w:lang w:val="en-GB"/>
              </w:rPr>
              <w:t>4 st</w:t>
            </w:r>
          </w:p>
        </w:tc>
        <w:tc>
          <w:tcPr>
            <w:tcW w:w="993" w:type="dxa"/>
            <w:vAlign w:val="center"/>
          </w:tcPr>
          <w:p w:rsidR="00DA55F4" w:rsidRPr="005865AF" w:rsidRDefault="00DA55F4" w:rsidP="007E2986">
            <w:pPr>
              <w:jc w:val="center"/>
              <w:rPr>
                <w:lang w:val="en-GB"/>
              </w:rPr>
            </w:pPr>
            <w:r w:rsidRPr="005865AF">
              <w:rPr>
                <w:lang w:val="en-GB"/>
              </w:rPr>
              <w:t>2 st</w:t>
            </w:r>
          </w:p>
        </w:tc>
        <w:tc>
          <w:tcPr>
            <w:tcW w:w="992" w:type="dxa"/>
            <w:vAlign w:val="center"/>
          </w:tcPr>
          <w:p w:rsidR="00DA55F4" w:rsidRPr="005865AF" w:rsidRDefault="00DA55F4" w:rsidP="007E2986">
            <w:pPr>
              <w:jc w:val="center"/>
              <w:rPr>
                <w:lang w:val="en-GB"/>
              </w:rPr>
            </w:pPr>
            <w:r w:rsidRPr="005865AF">
              <w:rPr>
                <w:lang w:val="en-GB"/>
              </w:rPr>
              <w:t>3 st</w:t>
            </w:r>
          </w:p>
        </w:tc>
      </w:tr>
      <w:tr w:rsidR="00DA55F4" w:rsidRPr="005865AF" w:rsidTr="007E2986">
        <w:tc>
          <w:tcPr>
            <w:tcW w:w="3544" w:type="dxa"/>
          </w:tcPr>
          <w:p w:rsidR="00DA55F4" w:rsidRPr="005865AF" w:rsidRDefault="00DA55F4" w:rsidP="007E2986">
            <w:pPr>
              <w:rPr>
                <w:lang w:val="sv-FI"/>
              </w:rPr>
            </w:pPr>
            <w:r w:rsidRPr="005865AF">
              <w:rPr>
                <w:lang w:val="sv-FI"/>
              </w:rPr>
              <w:t>Hälso- och sjukvård</w:t>
            </w:r>
          </w:p>
        </w:tc>
        <w:tc>
          <w:tcPr>
            <w:tcW w:w="992" w:type="dxa"/>
            <w:vAlign w:val="center"/>
          </w:tcPr>
          <w:p w:rsidR="00DA55F4" w:rsidRPr="005865AF" w:rsidRDefault="00DA55F4" w:rsidP="007E2986">
            <w:pPr>
              <w:jc w:val="center"/>
              <w:rPr>
                <w:lang w:val="en-GB"/>
              </w:rPr>
            </w:pPr>
            <w:r w:rsidRPr="005865AF">
              <w:rPr>
                <w:lang w:val="en-GB"/>
              </w:rPr>
              <w:t>5 st</w:t>
            </w:r>
          </w:p>
        </w:tc>
        <w:tc>
          <w:tcPr>
            <w:tcW w:w="993" w:type="dxa"/>
            <w:vAlign w:val="center"/>
          </w:tcPr>
          <w:p w:rsidR="00DA55F4" w:rsidRPr="005865AF" w:rsidRDefault="00DA55F4" w:rsidP="007E2986">
            <w:pPr>
              <w:jc w:val="center"/>
              <w:rPr>
                <w:lang w:val="en-GB"/>
              </w:rPr>
            </w:pPr>
            <w:r w:rsidRPr="005865AF">
              <w:rPr>
                <w:lang w:val="en-GB"/>
              </w:rPr>
              <w:t>-</w:t>
            </w:r>
          </w:p>
        </w:tc>
        <w:tc>
          <w:tcPr>
            <w:tcW w:w="992" w:type="dxa"/>
            <w:vAlign w:val="center"/>
          </w:tcPr>
          <w:p w:rsidR="00DA55F4" w:rsidRPr="005865AF" w:rsidRDefault="00DA55F4" w:rsidP="007E2986">
            <w:pPr>
              <w:jc w:val="center"/>
              <w:rPr>
                <w:lang w:val="en-GB"/>
              </w:rPr>
            </w:pPr>
            <w:r w:rsidRPr="005865AF">
              <w:rPr>
                <w:lang w:val="en-GB"/>
              </w:rPr>
              <w:t>1 st</w:t>
            </w:r>
          </w:p>
        </w:tc>
      </w:tr>
      <w:tr w:rsidR="00DA55F4" w:rsidRPr="005865AF" w:rsidTr="007E2986">
        <w:tc>
          <w:tcPr>
            <w:tcW w:w="3544" w:type="dxa"/>
          </w:tcPr>
          <w:p w:rsidR="00DA55F4" w:rsidRPr="005865AF" w:rsidRDefault="00DA55F4" w:rsidP="007E2986">
            <w:pPr>
              <w:rPr>
                <w:lang w:val="sv-FI"/>
              </w:rPr>
            </w:pPr>
            <w:r w:rsidRPr="005865AF">
              <w:rPr>
                <w:lang w:val="sv-FI"/>
              </w:rPr>
              <w:t>Jord- och skogsbruk</w:t>
            </w:r>
          </w:p>
        </w:tc>
        <w:tc>
          <w:tcPr>
            <w:tcW w:w="992" w:type="dxa"/>
            <w:vAlign w:val="center"/>
          </w:tcPr>
          <w:p w:rsidR="00DA55F4" w:rsidRPr="005865AF" w:rsidRDefault="00DA55F4" w:rsidP="007E2986">
            <w:pPr>
              <w:jc w:val="center"/>
              <w:rPr>
                <w:lang w:val="en-GB"/>
              </w:rPr>
            </w:pPr>
            <w:r w:rsidRPr="005865AF">
              <w:rPr>
                <w:lang w:val="en-GB"/>
              </w:rPr>
              <w:t>2 st</w:t>
            </w:r>
          </w:p>
        </w:tc>
        <w:tc>
          <w:tcPr>
            <w:tcW w:w="993" w:type="dxa"/>
            <w:vAlign w:val="center"/>
          </w:tcPr>
          <w:p w:rsidR="00DA55F4" w:rsidRPr="005865AF" w:rsidRDefault="00DA55F4" w:rsidP="007E2986">
            <w:pPr>
              <w:jc w:val="center"/>
              <w:rPr>
                <w:lang w:val="en-GB"/>
              </w:rPr>
            </w:pPr>
            <w:r w:rsidRPr="005865AF">
              <w:rPr>
                <w:lang w:val="en-GB"/>
              </w:rPr>
              <w:t>5 st</w:t>
            </w:r>
          </w:p>
        </w:tc>
        <w:tc>
          <w:tcPr>
            <w:tcW w:w="992" w:type="dxa"/>
            <w:vAlign w:val="center"/>
          </w:tcPr>
          <w:p w:rsidR="00DA55F4" w:rsidRPr="005865AF" w:rsidRDefault="00DA55F4" w:rsidP="007E2986">
            <w:pPr>
              <w:jc w:val="center"/>
              <w:rPr>
                <w:lang w:val="en-GB"/>
              </w:rPr>
            </w:pPr>
            <w:r w:rsidRPr="005865AF">
              <w:rPr>
                <w:lang w:val="en-GB"/>
              </w:rPr>
              <w:t>8 st</w:t>
            </w:r>
          </w:p>
        </w:tc>
      </w:tr>
      <w:tr w:rsidR="00DA55F4" w:rsidRPr="005865AF" w:rsidTr="007E2986">
        <w:tc>
          <w:tcPr>
            <w:tcW w:w="3544" w:type="dxa"/>
          </w:tcPr>
          <w:p w:rsidR="00DA55F4" w:rsidRPr="005865AF" w:rsidRDefault="00DA55F4" w:rsidP="007E2986">
            <w:pPr>
              <w:rPr>
                <w:lang w:val="sv-FI"/>
              </w:rPr>
            </w:pPr>
            <w:r w:rsidRPr="005865AF">
              <w:rPr>
                <w:lang w:val="sv-FI"/>
              </w:rPr>
              <w:t>Kemikalier</w:t>
            </w:r>
          </w:p>
        </w:tc>
        <w:tc>
          <w:tcPr>
            <w:tcW w:w="992" w:type="dxa"/>
            <w:vAlign w:val="center"/>
          </w:tcPr>
          <w:p w:rsidR="00DA55F4" w:rsidRPr="005865AF" w:rsidRDefault="00DA55F4" w:rsidP="007E2986">
            <w:pPr>
              <w:jc w:val="center"/>
              <w:rPr>
                <w:lang w:val="en-GB"/>
              </w:rPr>
            </w:pPr>
            <w:r w:rsidRPr="005865AF">
              <w:rPr>
                <w:lang w:val="en-GB"/>
              </w:rPr>
              <w:t>-</w:t>
            </w:r>
          </w:p>
        </w:tc>
        <w:tc>
          <w:tcPr>
            <w:tcW w:w="993" w:type="dxa"/>
            <w:vAlign w:val="center"/>
          </w:tcPr>
          <w:p w:rsidR="00DA55F4" w:rsidRPr="005865AF" w:rsidRDefault="00DA55F4" w:rsidP="007E2986">
            <w:pPr>
              <w:jc w:val="center"/>
              <w:rPr>
                <w:lang w:val="en-GB"/>
              </w:rPr>
            </w:pPr>
            <w:r w:rsidRPr="005865AF">
              <w:rPr>
                <w:lang w:val="en-GB"/>
              </w:rPr>
              <w:t>-</w:t>
            </w:r>
          </w:p>
        </w:tc>
        <w:tc>
          <w:tcPr>
            <w:tcW w:w="992" w:type="dxa"/>
            <w:vAlign w:val="center"/>
          </w:tcPr>
          <w:p w:rsidR="00DA55F4" w:rsidRPr="005865AF" w:rsidRDefault="00DA55F4" w:rsidP="007E2986">
            <w:pPr>
              <w:jc w:val="center"/>
              <w:rPr>
                <w:lang w:val="en-GB"/>
              </w:rPr>
            </w:pPr>
            <w:r w:rsidRPr="005865AF">
              <w:rPr>
                <w:lang w:val="en-GB"/>
              </w:rPr>
              <w:t>2 st</w:t>
            </w:r>
          </w:p>
        </w:tc>
      </w:tr>
      <w:tr w:rsidR="00DA55F4" w:rsidRPr="005865AF" w:rsidTr="007E2986">
        <w:tc>
          <w:tcPr>
            <w:tcW w:w="3544" w:type="dxa"/>
          </w:tcPr>
          <w:p w:rsidR="00DA55F4" w:rsidRPr="005865AF" w:rsidRDefault="00DA55F4" w:rsidP="007E2986">
            <w:pPr>
              <w:rPr>
                <w:bCs/>
                <w:lang w:val="sv-FI"/>
              </w:rPr>
            </w:pPr>
            <w:r w:rsidRPr="005865AF">
              <w:rPr>
                <w:bCs/>
                <w:lang w:val="sv-FI"/>
              </w:rPr>
              <w:t>Livsmedel</w:t>
            </w:r>
          </w:p>
        </w:tc>
        <w:tc>
          <w:tcPr>
            <w:tcW w:w="992" w:type="dxa"/>
            <w:vAlign w:val="center"/>
          </w:tcPr>
          <w:p w:rsidR="00DA55F4" w:rsidRPr="005865AF" w:rsidRDefault="00DA55F4" w:rsidP="007E2986">
            <w:pPr>
              <w:jc w:val="center"/>
              <w:rPr>
                <w:lang w:val="sv-FI"/>
              </w:rPr>
            </w:pPr>
            <w:r w:rsidRPr="005865AF">
              <w:rPr>
                <w:lang w:val="sv-FI"/>
              </w:rPr>
              <w:t>-</w:t>
            </w:r>
          </w:p>
        </w:tc>
        <w:tc>
          <w:tcPr>
            <w:tcW w:w="993" w:type="dxa"/>
            <w:vAlign w:val="center"/>
          </w:tcPr>
          <w:p w:rsidR="00DA55F4" w:rsidRPr="005865AF" w:rsidRDefault="00DA55F4" w:rsidP="007E2986">
            <w:pPr>
              <w:jc w:val="center"/>
              <w:rPr>
                <w:lang w:val="sv-FI"/>
              </w:rPr>
            </w:pPr>
            <w:r w:rsidRPr="005865AF">
              <w:rPr>
                <w:lang w:val="sv-FI"/>
              </w:rPr>
              <w:t>1 st</w:t>
            </w:r>
          </w:p>
        </w:tc>
        <w:tc>
          <w:tcPr>
            <w:tcW w:w="992" w:type="dxa"/>
            <w:vAlign w:val="center"/>
          </w:tcPr>
          <w:p w:rsidR="00DA55F4" w:rsidRPr="005865AF" w:rsidRDefault="00DA55F4" w:rsidP="007E2986">
            <w:pPr>
              <w:jc w:val="center"/>
              <w:rPr>
                <w:lang w:val="sv-FI"/>
              </w:rPr>
            </w:pPr>
            <w:r w:rsidRPr="005865AF">
              <w:rPr>
                <w:lang w:val="sv-FI"/>
              </w:rPr>
              <w:t>2 st</w:t>
            </w:r>
          </w:p>
        </w:tc>
      </w:tr>
      <w:tr w:rsidR="00DA55F4" w:rsidRPr="005865AF" w:rsidTr="007E2986">
        <w:tc>
          <w:tcPr>
            <w:tcW w:w="3544" w:type="dxa"/>
          </w:tcPr>
          <w:p w:rsidR="00DA55F4" w:rsidRPr="005865AF" w:rsidRDefault="00DA55F4" w:rsidP="007E2986">
            <w:pPr>
              <w:rPr>
                <w:lang w:val="sv-FI"/>
              </w:rPr>
            </w:pPr>
            <w:r w:rsidRPr="005865AF">
              <w:rPr>
                <w:lang w:val="sv-FI"/>
              </w:rPr>
              <w:t>Natur- och miljövård</w:t>
            </w:r>
          </w:p>
        </w:tc>
        <w:tc>
          <w:tcPr>
            <w:tcW w:w="992" w:type="dxa"/>
            <w:vAlign w:val="center"/>
          </w:tcPr>
          <w:p w:rsidR="00DA55F4" w:rsidRPr="005865AF" w:rsidRDefault="00DA55F4" w:rsidP="007E2986">
            <w:pPr>
              <w:jc w:val="center"/>
            </w:pPr>
            <w:r w:rsidRPr="005865AF">
              <w:t>9 st</w:t>
            </w:r>
          </w:p>
        </w:tc>
        <w:tc>
          <w:tcPr>
            <w:tcW w:w="993" w:type="dxa"/>
            <w:vAlign w:val="center"/>
          </w:tcPr>
          <w:p w:rsidR="00DA55F4" w:rsidRPr="005865AF" w:rsidRDefault="00DA55F4" w:rsidP="007E2986">
            <w:pPr>
              <w:jc w:val="center"/>
            </w:pPr>
            <w:r w:rsidRPr="005865AF">
              <w:t>10 st</w:t>
            </w:r>
          </w:p>
        </w:tc>
        <w:tc>
          <w:tcPr>
            <w:tcW w:w="992" w:type="dxa"/>
            <w:vAlign w:val="center"/>
          </w:tcPr>
          <w:p w:rsidR="00DA55F4" w:rsidRPr="005865AF" w:rsidRDefault="00DA55F4" w:rsidP="007E2986">
            <w:pPr>
              <w:jc w:val="center"/>
            </w:pPr>
            <w:r w:rsidRPr="005865AF">
              <w:t>3 st</w:t>
            </w:r>
          </w:p>
        </w:tc>
      </w:tr>
      <w:tr w:rsidR="00DA55F4" w:rsidRPr="005865AF" w:rsidTr="007E2986">
        <w:tc>
          <w:tcPr>
            <w:tcW w:w="3544" w:type="dxa"/>
          </w:tcPr>
          <w:p w:rsidR="00DA55F4" w:rsidRPr="005865AF" w:rsidRDefault="00DA55F4" w:rsidP="007E2986">
            <w:pPr>
              <w:rPr>
                <w:lang w:val="sv-FI"/>
              </w:rPr>
            </w:pPr>
            <w:r w:rsidRPr="005865AF">
              <w:rPr>
                <w:lang w:val="sv-FI"/>
              </w:rPr>
              <w:t>Offentlig sektor</w:t>
            </w:r>
          </w:p>
        </w:tc>
        <w:tc>
          <w:tcPr>
            <w:tcW w:w="992" w:type="dxa"/>
            <w:vAlign w:val="center"/>
          </w:tcPr>
          <w:p w:rsidR="00DA55F4" w:rsidRPr="005865AF" w:rsidRDefault="00DA55F4" w:rsidP="007E2986">
            <w:pPr>
              <w:jc w:val="center"/>
            </w:pPr>
            <w:r w:rsidRPr="005865AF">
              <w:t>4 st</w:t>
            </w:r>
          </w:p>
        </w:tc>
        <w:tc>
          <w:tcPr>
            <w:tcW w:w="993" w:type="dxa"/>
            <w:vAlign w:val="center"/>
          </w:tcPr>
          <w:p w:rsidR="00DA55F4" w:rsidRPr="005865AF" w:rsidRDefault="00DA55F4" w:rsidP="007E2986">
            <w:pPr>
              <w:jc w:val="center"/>
            </w:pPr>
            <w:r w:rsidRPr="005865AF">
              <w:t>1 st</w:t>
            </w:r>
          </w:p>
        </w:tc>
        <w:tc>
          <w:tcPr>
            <w:tcW w:w="992" w:type="dxa"/>
            <w:vAlign w:val="center"/>
          </w:tcPr>
          <w:p w:rsidR="00DA55F4" w:rsidRPr="005865AF" w:rsidRDefault="00DA55F4" w:rsidP="007E2986">
            <w:pPr>
              <w:jc w:val="center"/>
            </w:pPr>
          </w:p>
        </w:tc>
      </w:tr>
      <w:tr w:rsidR="00DA55F4" w:rsidRPr="005865AF" w:rsidTr="007E2986">
        <w:tc>
          <w:tcPr>
            <w:tcW w:w="3544" w:type="dxa"/>
          </w:tcPr>
          <w:p w:rsidR="00DA55F4" w:rsidRPr="005865AF" w:rsidRDefault="00DA55F4" w:rsidP="007E2986">
            <w:pPr>
              <w:rPr>
                <w:lang w:val="sv-FI"/>
              </w:rPr>
            </w:pPr>
            <w:r w:rsidRPr="005865AF">
              <w:rPr>
                <w:lang w:val="sv-FI"/>
              </w:rPr>
              <w:t>Offentlig upphandling</w:t>
            </w:r>
          </w:p>
        </w:tc>
        <w:tc>
          <w:tcPr>
            <w:tcW w:w="992" w:type="dxa"/>
            <w:vAlign w:val="center"/>
          </w:tcPr>
          <w:p w:rsidR="00DA55F4" w:rsidRPr="005865AF" w:rsidRDefault="00DA55F4" w:rsidP="007E2986">
            <w:pPr>
              <w:jc w:val="center"/>
            </w:pPr>
            <w:r w:rsidRPr="005865AF">
              <w:t>-</w:t>
            </w:r>
          </w:p>
        </w:tc>
        <w:tc>
          <w:tcPr>
            <w:tcW w:w="993" w:type="dxa"/>
            <w:vAlign w:val="center"/>
          </w:tcPr>
          <w:p w:rsidR="00DA55F4" w:rsidRPr="005865AF" w:rsidRDefault="00DA55F4" w:rsidP="007E2986">
            <w:pPr>
              <w:jc w:val="center"/>
            </w:pPr>
            <w:r w:rsidRPr="005865AF">
              <w:t>-</w:t>
            </w:r>
          </w:p>
        </w:tc>
        <w:tc>
          <w:tcPr>
            <w:tcW w:w="992" w:type="dxa"/>
            <w:vAlign w:val="center"/>
          </w:tcPr>
          <w:p w:rsidR="00DA55F4" w:rsidRPr="005865AF" w:rsidRDefault="00DA55F4" w:rsidP="007E2986">
            <w:pPr>
              <w:jc w:val="center"/>
            </w:pPr>
            <w:r w:rsidRPr="005865AF">
              <w:t>-</w:t>
            </w:r>
          </w:p>
        </w:tc>
      </w:tr>
      <w:tr w:rsidR="00DA55F4" w:rsidRPr="005865AF" w:rsidTr="007E2986">
        <w:tc>
          <w:tcPr>
            <w:tcW w:w="3544" w:type="dxa"/>
          </w:tcPr>
          <w:p w:rsidR="00DA55F4" w:rsidRPr="005865AF" w:rsidRDefault="00DA55F4" w:rsidP="007E2986">
            <w:pPr>
              <w:rPr>
                <w:lang w:val="sv-FI"/>
              </w:rPr>
            </w:pPr>
            <w:r w:rsidRPr="005865AF">
              <w:rPr>
                <w:lang w:val="sv-FI"/>
              </w:rPr>
              <w:t>Produktsäkerhet</w:t>
            </w:r>
          </w:p>
        </w:tc>
        <w:tc>
          <w:tcPr>
            <w:tcW w:w="992" w:type="dxa"/>
            <w:vAlign w:val="center"/>
          </w:tcPr>
          <w:p w:rsidR="00DA55F4" w:rsidRPr="005865AF" w:rsidRDefault="00DA55F4" w:rsidP="007E2986">
            <w:pPr>
              <w:jc w:val="center"/>
            </w:pPr>
            <w:r w:rsidRPr="005865AF">
              <w:t>-</w:t>
            </w:r>
          </w:p>
        </w:tc>
        <w:tc>
          <w:tcPr>
            <w:tcW w:w="993" w:type="dxa"/>
            <w:vAlign w:val="center"/>
          </w:tcPr>
          <w:p w:rsidR="00DA55F4" w:rsidRPr="005865AF" w:rsidRDefault="00DA55F4" w:rsidP="007E2986">
            <w:pPr>
              <w:jc w:val="center"/>
            </w:pPr>
            <w:r w:rsidRPr="005865AF">
              <w:t>4 st</w:t>
            </w:r>
          </w:p>
        </w:tc>
        <w:tc>
          <w:tcPr>
            <w:tcW w:w="992" w:type="dxa"/>
            <w:vAlign w:val="center"/>
          </w:tcPr>
          <w:p w:rsidR="00DA55F4" w:rsidRPr="005865AF" w:rsidRDefault="00DA55F4" w:rsidP="007E2986">
            <w:pPr>
              <w:jc w:val="center"/>
            </w:pPr>
            <w:r w:rsidRPr="005865AF">
              <w:t>27 st</w:t>
            </w:r>
          </w:p>
        </w:tc>
      </w:tr>
      <w:tr w:rsidR="00DA55F4" w:rsidRPr="005865AF" w:rsidTr="007E2986">
        <w:tc>
          <w:tcPr>
            <w:tcW w:w="3544" w:type="dxa"/>
          </w:tcPr>
          <w:p w:rsidR="00DA55F4" w:rsidRPr="005865AF" w:rsidRDefault="00DA55F4" w:rsidP="007E2986">
            <w:pPr>
              <w:rPr>
                <w:lang w:val="sv-FI"/>
              </w:rPr>
            </w:pPr>
            <w:r w:rsidRPr="005865AF">
              <w:rPr>
                <w:lang w:val="sv-FI"/>
              </w:rPr>
              <w:t>Rundradio- och televisionsverksamhet</w:t>
            </w:r>
          </w:p>
        </w:tc>
        <w:tc>
          <w:tcPr>
            <w:tcW w:w="992" w:type="dxa"/>
            <w:vAlign w:val="center"/>
          </w:tcPr>
          <w:p w:rsidR="00DA55F4" w:rsidRPr="005865AF" w:rsidRDefault="00DA55F4" w:rsidP="007E2986">
            <w:pPr>
              <w:jc w:val="center"/>
              <w:rPr>
                <w:lang w:val="sv-FI"/>
              </w:rPr>
            </w:pPr>
            <w:r w:rsidRPr="005865AF">
              <w:rPr>
                <w:lang w:val="sv-FI"/>
              </w:rPr>
              <w:t>-</w:t>
            </w:r>
          </w:p>
        </w:tc>
        <w:tc>
          <w:tcPr>
            <w:tcW w:w="993" w:type="dxa"/>
            <w:vAlign w:val="center"/>
          </w:tcPr>
          <w:p w:rsidR="00DA55F4" w:rsidRPr="005865AF" w:rsidRDefault="00DA55F4" w:rsidP="007E2986">
            <w:pPr>
              <w:jc w:val="center"/>
              <w:rPr>
                <w:lang w:val="sv-FI"/>
              </w:rPr>
            </w:pPr>
            <w:r w:rsidRPr="005865AF">
              <w:rPr>
                <w:lang w:val="sv-FI"/>
              </w:rPr>
              <w:t>-</w:t>
            </w:r>
          </w:p>
        </w:tc>
        <w:tc>
          <w:tcPr>
            <w:tcW w:w="992" w:type="dxa"/>
            <w:vAlign w:val="center"/>
          </w:tcPr>
          <w:p w:rsidR="00DA55F4" w:rsidRPr="005865AF" w:rsidRDefault="00DA55F4" w:rsidP="007E2986">
            <w:pPr>
              <w:jc w:val="center"/>
              <w:rPr>
                <w:lang w:val="sv-FI"/>
              </w:rPr>
            </w:pPr>
            <w:r w:rsidRPr="005865AF">
              <w:rPr>
                <w:lang w:val="sv-FI"/>
              </w:rPr>
              <w:t>-</w:t>
            </w:r>
          </w:p>
        </w:tc>
      </w:tr>
      <w:tr w:rsidR="00DA55F4" w:rsidRPr="005865AF" w:rsidTr="007E2986">
        <w:tc>
          <w:tcPr>
            <w:tcW w:w="3544" w:type="dxa"/>
          </w:tcPr>
          <w:p w:rsidR="00DA55F4" w:rsidRPr="005865AF" w:rsidRDefault="00DA55F4" w:rsidP="007E2986">
            <w:pPr>
              <w:rPr>
                <w:lang w:val="sv-FI"/>
              </w:rPr>
            </w:pPr>
            <w:r w:rsidRPr="005865AF">
              <w:rPr>
                <w:lang w:val="sv-FI"/>
              </w:rPr>
              <w:t>Rösträtt och valbarhet</w:t>
            </w:r>
          </w:p>
        </w:tc>
        <w:tc>
          <w:tcPr>
            <w:tcW w:w="992" w:type="dxa"/>
            <w:vAlign w:val="center"/>
          </w:tcPr>
          <w:p w:rsidR="00DA55F4" w:rsidRPr="005865AF" w:rsidRDefault="00DA55F4" w:rsidP="007E2986">
            <w:pPr>
              <w:jc w:val="center"/>
              <w:rPr>
                <w:lang w:val="en-GB"/>
              </w:rPr>
            </w:pPr>
            <w:r w:rsidRPr="005865AF">
              <w:rPr>
                <w:lang w:val="en-GB"/>
              </w:rPr>
              <w:t>-</w:t>
            </w:r>
          </w:p>
        </w:tc>
        <w:tc>
          <w:tcPr>
            <w:tcW w:w="993" w:type="dxa"/>
            <w:vAlign w:val="center"/>
          </w:tcPr>
          <w:p w:rsidR="00DA55F4" w:rsidRPr="005865AF" w:rsidRDefault="00DA55F4" w:rsidP="007E2986">
            <w:pPr>
              <w:jc w:val="center"/>
              <w:rPr>
                <w:lang w:val="en-GB"/>
              </w:rPr>
            </w:pPr>
            <w:r w:rsidRPr="005865AF">
              <w:rPr>
                <w:lang w:val="en-GB"/>
              </w:rPr>
              <w:t>-</w:t>
            </w:r>
          </w:p>
        </w:tc>
        <w:tc>
          <w:tcPr>
            <w:tcW w:w="992" w:type="dxa"/>
            <w:vAlign w:val="center"/>
          </w:tcPr>
          <w:p w:rsidR="00DA55F4" w:rsidRPr="005865AF" w:rsidRDefault="00DA55F4" w:rsidP="007E2986">
            <w:pPr>
              <w:jc w:val="center"/>
              <w:rPr>
                <w:lang w:val="en-GB"/>
              </w:rPr>
            </w:pPr>
            <w:r w:rsidRPr="005865AF">
              <w:rPr>
                <w:lang w:val="en-GB"/>
              </w:rPr>
              <w:t>-</w:t>
            </w:r>
          </w:p>
        </w:tc>
      </w:tr>
      <w:tr w:rsidR="00DA55F4" w:rsidRPr="005865AF" w:rsidTr="007E2986">
        <w:tc>
          <w:tcPr>
            <w:tcW w:w="3544" w:type="dxa"/>
          </w:tcPr>
          <w:p w:rsidR="00DA55F4" w:rsidRPr="005865AF" w:rsidRDefault="00DA55F4" w:rsidP="007E2986">
            <w:pPr>
              <w:rPr>
                <w:lang w:val="sv-FI"/>
              </w:rPr>
            </w:pPr>
            <w:r w:rsidRPr="005865AF">
              <w:rPr>
                <w:lang w:val="sv-FI"/>
              </w:rPr>
              <w:t>Trafik</w:t>
            </w:r>
          </w:p>
        </w:tc>
        <w:tc>
          <w:tcPr>
            <w:tcW w:w="992" w:type="dxa"/>
            <w:vAlign w:val="center"/>
          </w:tcPr>
          <w:p w:rsidR="00DA55F4" w:rsidRPr="005865AF" w:rsidRDefault="00DA55F4" w:rsidP="007E2986">
            <w:pPr>
              <w:jc w:val="center"/>
              <w:rPr>
                <w:lang w:val="en-GB"/>
              </w:rPr>
            </w:pPr>
            <w:r w:rsidRPr="005865AF">
              <w:rPr>
                <w:lang w:val="en-GB"/>
              </w:rPr>
              <w:t>5 st</w:t>
            </w:r>
          </w:p>
        </w:tc>
        <w:tc>
          <w:tcPr>
            <w:tcW w:w="993" w:type="dxa"/>
            <w:vAlign w:val="center"/>
          </w:tcPr>
          <w:p w:rsidR="00DA55F4" w:rsidRPr="005865AF" w:rsidRDefault="00DA55F4" w:rsidP="007E2986">
            <w:pPr>
              <w:jc w:val="center"/>
              <w:rPr>
                <w:lang w:val="en-GB"/>
              </w:rPr>
            </w:pPr>
            <w:r w:rsidRPr="005865AF">
              <w:rPr>
                <w:lang w:val="en-GB"/>
              </w:rPr>
              <w:t>6 st</w:t>
            </w:r>
          </w:p>
        </w:tc>
        <w:tc>
          <w:tcPr>
            <w:tcW w:w="992" w:type="dxa"/>
            <w:vAlign w:val="center"/>
          </w:tcPr>
          <w:p w:rsidR="00DA55F4" w:rsidRPr="005865AF" w:rsidRDefault="00DA55F4" w:rsidP="007E2986">
            <w:pPr>
              <w:jc w:val="center"/>
              <w:rPr>
                <w:lang w:val="en-GB"/>
              </w:rPr>
            </w:pPr>
            <w:r w:rsidRPr="005865AF">
              <w:rPr>
                <w:lang w:val="en-GB"/>
              </w:rPr>
              <w:t>13 st</w:t>
            </w:r>
          </w:p>
        </w:tc>
      </w:tr>
      <w:tr w:rsidR="00DA55F4" w:rsidRPr="005865AF" w:rsidTr="007E2986">
        <w:tc>
          <w:tcPr>
            <w:tcW w:w="3544" w:type="dxa"/>
          </w:tcPr>
          <w:p w:rsidR="00DA55F4" w:rsidRPr="005865AF" w:rsidRDefault="00DA55F4" w:rsidP="007E2986">
            <w:pPr>
              <w:rPr>
                <w:lang w:val="sv-FI"/>
              </w:rPr>
            </w:pPr>
            <w:r w:rsidRPr="005865AF">
              <w:rPr>
                <w:lang w:val="sv-FI"/>
              </w:rPr>
              <w:t>Vattenpolitik</w:t>
            </w:r>
          </w:p>
        </w:tc>
        <w:tc>
          <w:tcPr>
            <w:tcW w:w="992" w:type="dxa"/>
            <w:vAlign w:val="center"/>
          </w:tcPr>
          <w:p w:rsidR="00DA55F4" w:rsidRPr="005865AF" w:rsidRDefault="00DA55F4" w:rsidP="007E2986">
            <w:pPr>
              <w:jc w:val="center"/>
              <w:rPr>
                <w:lang w:val="en-GB"/>
              </w:rPr>
            </w:pPr>
            <w:r w:rsidRPr="005865AF">
              <w:rPr>
                <w:lang w:val="en-GB"/>
              </w:rPr>
              <w:t>3 st</w:t>
            </w:r>
          </w:p>
        </w:tc>
        <w:tc>
          <w:tcPr>
            <w:tcW w:w="993" w:type="dxa"/>
            <w:vAlign w:val="center"/>
          </w:tcPr>
          <w:p w:rsidR="00DA55F4" w:rsidRPr="005865AF" w:rsidRDefault="00DA55F4" w:rsidP="007E2986">
            <w:pPr>
              <w:jc w:val="center"/>
              <w:rPr>
                <w:lang w:val="en-GB"/>
              </w:rPr>
            </w:pPr>
            <w:r w:rsidRPr="005865AF">
              <w:rPr>
                <w:lang w:val="en-GB"/>
              </w:rPr>
              <w:t>-</w:t>
            </w:r>
          </w:p>
        </w:tc>
        <w:tc>
          <w:tcPr>
            <w:tcW w:w="992" w:type="dxa"/>
            <w:vAlign w:val="center"/>
          </w:tcPr>
          <w:p w:rsidR="00DA55F4" w:rsidRPr="005865AF" w:rsidRDefault="00DA55F4" w:rsidP="007E2986">
            <w:pPr>
              <w:jc w:val="center"/>
              <w:rPr>
                <w:lang w:val="en-GB"/>
              </w:rPr>
            </w:pPr>
            <w:r w:rsidRPr="005865AF">
              <w:rPr>
                <w:lang w:val="en-GB"/>
              </w:rPr>
              <w:t>-</w:t>
            </w:r>
          </w:p>
        </w:tc>
      </w:tr>
      <w:tr w:rsidR="00DA55F4" w:rsidRPr="005865AF" w:rsidTr="007E2986">
        <w:tc>
          <w:tcPr>
            <w:tcW w:w="3544" w:type="dxa"/>
          </w:tcPr>
          <w:p w:rsidR="00DA55F4" w:rsidRPr="005865AF" w:rsidRDefault="00DA55F4" w:rsidP="007E2986">
            <w:pPr>
              <w:rPr>
                <w:lang w:val="sv-FI"/>
              </w:rPr>
            </w:pPr>
            <w:r w:rsidRPr="005865AF">
              <w:rPr>
                <w:lang w:val="sv-FI"/>
              </w:rPr>
              <w:t>Yrkeskvalifikationer</w:t>
            </w:r>
          </w:p>
        </w:tc>
        <w:tc>
          <w:tcPr>
            <w:tcW w:w="992" w:type="dxa"/>
            <w:vAlign w:val="center"/>
          </w:tcPr>
          <w:p w:rsidR="00DA55F4" w:rsidRPr="005865AF" w:rsidRDefault="00DA55F4" w:rsidP="007E2986">
            <w:pPr>
              <w:jc w:val="center"/>
              <w:rPr>
                <w:lang w:val="sv-FI"/>
              </w:rPr>
            </w:pPr>
            <w:r w:rsidRPr="005865AF">
              <w:rPr>
                <w:lang w:val="sv-FI"/>
              </w:rPr>
              <w:t>2 st</w:t>
            </w:r>
          </w:p>
        </w:tc>
        <w:tc>
          <w:tcPr>
            <w:tcW w:w="993" w:type="dxa"/>
            <w:vAlign w:val="center"/>
          </w:tcPr>
          <w:p w:rsidR="00DA55F4" w:rsidRPr="005865AF" w:rsidRDefault="00DA55F4" w:rsidP="007E2986">
            <w:pPr>
              <w:jc w:val="center"/>
              <w:rPr>
                <w:lang w:val="sv-FI"/>
              </w:rPr>
            </w:pPr>
            <w:r w:rsidRPr="005865AF">
              <w:rPr>
                <w:lang w:val="sv-FI"/>
              </w:rPr>
              <w:t>-</w:t>
            </w:r>
          </w:p>
        </w:tc>
        <w:tc>
          <w:tcPr>
            <w:tcW w:w="992" w:type="dxa"/>
            <w:vAlign w:val="center"/>
          </w:tcPr>
          <w:p w:rsidR="00DA55F4" w:rsidRPr="005865AF" w:rsidRDefault="00DA55F4" w:rsidP="007E2986">
            <w:pPr>
              <w:jc w:val="center"/>
              <w:rPr>
                <w:lang w:val="sv-FI"/>
              </w:rPr>
            </w:pPr>
            <w:r w:rsidRPr="005865AF">
              <w:rPr>
                <w:lang w:val="sv-FI"/>
              </w:rPr>
              <w:t>-</w:t>
            </w:r>
          </w:p>
        </w:tc>
      </w:tr>
      <w:tr w:rsidR="00DA55F4" w:rsidRPr="005865AF" w:rsidTr="007E2986">
        <w:tc>
          <w:tcPr>
            <w:tcW w:w="3544" w:type="dxa"/>
          </w:tcPr>
          <w:p w:rsidR="00DA55F4" w:rsidRPr="005865AF" w:rsidRDefault="00DA55F4" w:rsidP="007E2986">
            <w:pPr>
              <w:rPr>
                <w:b/>
                <w:bCs/>
              </w:rPr>
            </w:pPr>
            <w:r w:rsidRPr="005865AF">
              <w:rPr>
                <w:b/>
                <w:bCs/>
              </w:rPr>
              <w:t>Totalt</w:t>
            </w:r>
          </w:p>
        </w:tc>
        <w:tc>
          <w:tcPr>
            <w:tcW w:w="992" w:type="dxa"/>
            <w:vAlign w:val="center"/>
          </w:tcPr>
          <w:p w:rsidR="00DA55F4" w:rsidRPr="005865AF" w:rsidRDefault="00DA55F4" w:rsidP="007E2986">
            <w:pPr>
              <w:jc w:val="center"/>
              <w:rPr>
                <w:b/>
                <w:bCs/>
              </w:rPr>
            </w:pPr>
            <w:r w:rsidRPr="005865AF">
              <w:rPr>
                <w:b/>
                <w:bCs/>
              </w:rPr>
              <w:t>39 st</w:t>
            </w:r>
          </w:p>
        </w:tc>
        <w:tc>
          <w:tcPr>
            <w:tcW w:w="993" w:type="dxa"/>
            <w:vAlign w:val="center"/>
          </w:tcPr>
          <w:p w:rsidR="00DA55F4" w:rsidRPr="005865AF" w:rsidRDefault="00DA55F4" w:rsidP="007E2986">
            <w:pPr>
              <w:jc w:val="center"/>
              <w:rPr>
                <w:b/>
                <w:bCs/>
              </w:rPr>
            </w:pPr>
            <w:r w:rsidRPr="005865AF">
              <w:rPr>
                <w:b/>
                <w:bCs/>
              </w:rPr>
              <w:t>33 st</w:t>
            </w:r>
          </w:p>
        </w:tc>
        <w:tc>
          <w:tcPr>
            <w:tcW w:w="992" w:type="dxa"/>
            <w:vAlign w:val="center"/>
          </w:tcPr>
          <w:p w:rsidR="00DA55F4" w:rsidRPr="005865AF" w:rsidRDefault="00DA55F4" w:rsidP="007E2986">
            <w:pPr>
              <w:jc w:val="center"/>
              <w:rPr>
                <w:b/>
                <w:bCs/>
              </w:rPr>
            </w:pPr>
            <w:r w:rsidRPr="005865AF">
              <w:rPr>
                <w:b/>
                <w:bCs/>
              </w:rPr>
              <w:t>61 st</w:t>
            </w:r>
          </w:p>
        </w:tc>
      </w:tr>
    </w:tbl>
    <w:p w:rsidR="00DA55F4" w:rsidRDefault="00DA55F4" w:rsidP="00DA55F4"/>
    <w:p w:rsidR="00C61EE5" w:rsidRPr="00FF76D8" w:rsidRDefault="001C35D0" w:rsidP="001C35D0">
      <w:pPr>
        <w:pStyle w:val="Rubrik4"/>
      </w:pPr>
      <w:bookmarkStart w:id="178" w:name="_Toc410897682"/>
      <w:bookmarkStart w:id="179" w:name="_Toc412712699"/>
      <w:bookmarkStart w:id="180" w:name="_Toc442442864"/>
      <w:bookmarkStart w:id="181" w:name="_Toc477424010"/>
      <w:r w:rsidRPr="00FF76D8">
        <w:lastRenderedPageBreak/>
        <w:t xml:space="preserve">3.4.2.2 </w:t>
      </w:r>
      <w:r w:rsidR="00C61EE5" w:rsidRPr="00FF76D8">
        <w:t>Trafiksäkerhetspaketet</w:t>
      </w:r>
      <w:bookmarkEnd w:id="178"/>
      <w:bookmarkEnd w:id="179"/>
      <w:bookmarkEnd w:id="180"/>
      <w:bookmarkEnd w:id="181"/>
    </w:p>
    <w:p w:rsidR="00E50EBC" w:rsidRDefault="001332FF" w:rsidP="009437B7">
      <w:pPr>
        <w:rPr>
          <w:lang w:val="sv-FI"/>
        </w:rPr>
      </w:pPr>
      <w:bookmarkStart w:id="182" w:name="_Toc442442865"/>
      <w:r w:rsidRPr="00FF76D8">
        <w:rPr>
          <w:lang w:val="sv-FI"/>
        </w:rPr>
        <w:t>Som prioriteringar för 2016 angavs att landskapsregeringen fortsättningsvis skulle behandla det trafiksäkerhetspaket som EU lade fram i form av tre d</w:t>
      </w:r>
      <w:r w:rsidRPr="00FF76D8">
        <w:rPr>
          <w:lang w:val="sv-FI"/>
        </w:rPr>
        <w:t>i</w:t>
      </w:r>
      <w:r w:rsidRPr="00FF76D8">
        <w:rPr>
          <w:lang w:val="sv-FI"/>
        </w:rPr>
        <w:t>rektiv (2014/45/EU, 2014/46/EU och 2014/47/EU) år 2014. Direktiven ska vara implementerade i maj 2017 och landskapsregeringen kommer fortsät</w:t>
      </w:r>
      <w:r w:rsidRPr="00FF76D8">
        <w:rPr>
          <w:lang w:val="sv-FI"/>
        </w:rPr>
        <w:t>t</w:t>
      </w:r>
      <w:r w:rsidRPr="00FF76D8">
        <w:rPr>
          <w:lang w:val="sv-FI"/>
        </w:rPr>
        <w:t>ningsvis att behandla dem. Som ett resultat kommer lagstiftningsåtgärder att genomföras för att implementera direktivens bestämmelser. Landskap</w:t>
      </w:r>
      <w:r w:rsidRPr="00FF76D8">
        <w:rPr>
          <w:lang w:val="sv-FI"/>
        </w:rPr>
        <w:t>s</w:t>
      </w:r>
      <w:r w:rsidRPr="00FF76D8">
        <w:rPr>
          <w:lang w:val="sv-FI"/>
        </w:rPr>
        <w:t>regeringen har också sedan flera år tillbaka arbetat med att implementera det tredje körkortsdirektivet (2006/126/EG), inklusive senare ändringar av detta. En ny körkortslag för Åland trädde i kraft 1 mars 2016.</w:t>
      </w:r>
    </w:p>
    <w:p w:rsidR="001332FF" w:rsidRPr="00FF76D8" w:rsidRDefault="00E50EBC" w:rsidP="009437B7">
      <w:pPr>
        <w:rPr>
          <w:lang w:val="sv-FI"/>
        </w:rPr>
      </w:pPr>
      <w:r>
        <w:rPr>
          <w:lang w:val="sv-FI"/>
        </w:rPr>
        <w:tab/>
      </w:r>
      <w:r w:rsidR="001332FF" w:rsidRPr="00FF76D8">
        <w:rPr>
          <w:lang w:val="sv-FI"/>
        </w:rPr>
        <w:t xml:space="preserve">Landskapsregeringen är sedan våren </w:t>
      </w:r>
      <w:r>
        <w:rPr>
          <w:lang w:val="sv-FI"/>
        </w:rPr>
        <w:t xml:space="preserve">2016 </w:t>
      </w:r>
      <w:r w:rsidR="001332FF" w:rsidRPr="00FF76D8">
        <w:rPr>
          <w:lang w:val="sv-FI"/>
        </w:rPr>
        <w:t>en del av EU:s nätverk för körkort, RESPER, vilket möjliggör för behöriga myndigheter att genom förfrågningar via en webbklient få uppgifter om körkort från andra me</w:t>
      </w:r>
      <w:r w:rsidR="001332FF" w:rsidRPr="00FF76D8">
        <w:rPr>
          <w:lang w:val="sv-FI"/>
        </w:rPr>
        <w:t>d</w:t>
      </w:r>
      <w:r w:rsidR="001332FF" w:rsidRPr="00FF76D8">
        <w:rPr>
          <w:lang w:val="sv-FI"/>
        </w:rPr>
        <w:t>lems</w:t>
      </w:r>
      <w:r>
        <w:rPr>
          <w:lang w:val="sv-FI"/>
        </w:rPr>
        <w:t>stater</w:t>
      </w:r>
      <w:r w:rsidR="001332FF" w:rsidRPr="00FF76D8">
        <w:rPr>
          <w:lang w:val="sv-FI"/>
        </w:rPr>
        <w:t>.</w:t>
      </w:r>
    </w:p>
    <w:p w:rsidR="00C61EE5" w:rsidRPr="00FF76D8" w:rsidRDefault="00A805C9" w:rsidP="001C35D0">
      <w:pPr>
        <w:pStyle w:val="Rubrik4"/>
      </w:pPr>
      <w:bookmarkStart w:id="183" w:name="_Toc410897683"/>
      <w:bookmarkStart w:id="184" w:name="_Toc412712700"/>
      <w:bookmarkStart w:id="185" w:name="_Toc442442867"/>
      <w:bookmarkStart w:id="186" w:name="_Toc477424011"/>
      <w:bookmarkEnd w:id="182"/>
      <w:r w:rsidRPr="00FF76D8">
        <w:t>3.4.2.</w:t>
      </w:r>
      <w:r w:rsidR="00B45D0E">
        <w:t>3</w:t>
      </w:r>
      <w:r w:rsidRPr="00FF76D8">
        <w:t xml:space="preserve"> </w:t>
      </w:r>
      <w:r w:rsidR="00C61EE5" w:rsidRPr="00FF76D8">
        <w:t>Upphandling</w:t>
      </w:r>
      <w:bookmarkEnd w:id="183"/>
      <w:bookmarkEnd w:id="184"/>
      <w:bookmarkEnd w:id="185"/>
      <w:bookmarkEnd w:id="186"/>
    </w:p>
    <w:p w:rsidR="00353151" w:rsidRPr="00FF76D8" w:rsidRDefault="00353151" w:rsidP="009437B7">
      <w:pPr>
        <w:rPr>
          <w:lang w:val="sv-FI"/>
        </w:rPr>
      </w:pPr>
      <w:r w:rsidRPr="00FF76D8">
        <w:rPr>
          <w:lang w:val="sv-FI"/>
        </w:rPr>
        <w:t>Den 26 februari 2014 antogs tre nya direktiv för offentlig upphandling</w:t>
      </w:r>
      <w:r w:rsidR="00E50EBC">
        <w:rPr>
          <w:lang w:val="sv-FI"/>
        </w:rPr>
        <w:t>;</w:t>
      </w:r>
      <w:r w:rsidRPr="00FF76D8">
        <w:rPr>
          <w:lang w:val="sv-FI"/>
        </w:rPr>
        <w:t xml:space="preserve"> d</w:t>
      </w:r>
      <w:r w:rsidRPr="00FF76D8">
        <w:rPr>
          <w:lang w:val="sv-FI"/>
        </w:rPr>
        <w:t>i</w:t>
      </w:r>
      <w:r w:rsidRPr="00FF76D8">
        <w:rPr>
          <w:lang w:val="sv-FI"/>
        </w:rPr>
        <w:t xml:space="preserve">rektiv 2014/23EU om tilldelning av koncessioner, 2014/24/EU om offentlig upphandling och direktiv 2014/25/EU om upphandling av enheter som är verksamma på områdena vatten, energi, transporter och posttjänster. </w:t>
      </w:r>
    </w:p>
    <w:p w:rsidR="00353151" w:rsidRPr="00FF76D8" w:rsidRDefault="00353151" w:rsidP="00353151">
      <w:pPr>
        <w:ind w:firstLine="284"/>
        <w:rPr>
          <w:lang w:val="sv-FI"/>
        </w:rPr>
      </w:pPr>
      <w:r w:rsidRPr="00FF76D8">
        <w:rPr>
          <w:lang w:val="sv-FI"/>
        </w:rPr>
        <w:t>Offentlig upphandling måste överensstämma med principerna i fördr</w:t>
      </w:r>
      <w:r w:rsidR="009437B7">
        <w:rPr>
          <w:lang w:val="sv-FI"/>
        </w:rPr>
        <w:t>a</w:t>
      </w:r>
      <w:r w:rsidRPr="00FF76D8">
        <w:rPr>
          <w:lang w:val="sv-FI"/>
        </w:rPr>
        <w:t>get om Europeiska unionens funktionssätt (EUF-fördraget), särskilt om fri rörlighet och de principer som följer därav, bland annat om likabehandling, icke-diskriminering, ömsesidigt erkännande, proportionalitet och öppenhet. Offentlig upphandling ges även en framträdande roll i Europa 2020-strategin som ett av de marknadsbaserade instrument som ska användas för att uppnå smart och hållbar tillväxt för alla, samtidigt som den säkerställer att offentliga medel utnyttjas så effektiv</w:t>
      </w:r>
      <w:r w:rsidR="00E50EBC">
        <w:rPr>
          <w:lang w:val="sv-FI"/>
        </w:rPr>
        <w:t>t</w:t>
      </w:r>
      <w:r w:rsidRPr="00FF76D8">
        <w:rPr>
          <w:lang w:val="sv-FI"/>
        </w:rPr>
        <w:t xml:space="preserve"> som möjligt.</w:t>
      </w:r>
    </w:p>
    <w:p w:rsidR="00353151" w:rsidRPr="00FF76D8" w:rsidRDefault="00353151" w:rsidP="00353151">
      <w:pPr>
        <w:ind w:firstLine="284"/>
        <w:rPr>
          <w:lang w:val="sv-FI"/>
        </w:rPr>
      </w:pPr>
      <w:r w:rsidRPr="00FF76D8">
        <w:rPr>
          <w:lang w:val="sv-FI"/>
        </w:rPr>
        <w:t xml:space="preserve">Moderniseringen av EU:s regler för offentlig upphandling </w:t>
      </w:r>
      <w:r w:rsidR="00E50EBC">
        <w:rPr>
          <w:lang w:val="sv-FI"/>
        </w:rPr>
        <w:t>syftar till</w:t>
      </w:r>
      <w:r w:rsidRPr="00FF76D8">
        <w:rPr>
          <w:lang w:val="sv-FI"/>
        </w:rPr>
        <w:t xml:space="preserve"> att förenkla regleringen och de förfaranden som används vid offentlig up</w:t>
      </w:r>
      <w:r w:rsidRPr="00FF76D8">
        <w:rPr>
          <w:lang w:val="sv-FI"/>
        </w:rPr>
        <w:t>p</w:t>
      </w:r>
      <w:r w:rsidRPr="00FF76D8">
        <w:rPr>
          <w:lang w:val="sv-FI"/>
        </w:rPr>
        <w:t>handling samt att öka flexibiliteten. Syftet med moderniseringen av EU:s regler är även att öka de små och medelstora företagens möjligheter att delta i upphandlingar. Reformen syftar även till att göra den offentliga up</w:t>
      </w:r>
      <w:r w:rsidRPr="00FF76D8">
        <w:rPr>
          <w:lang w:val="sv-FI"/>
        </w:rPr>
        <w:t>p</w:t>
      </w:r>
      <w:r w:rsidRPr="00FF76D8">
        <w:rPr>
          <w:lang w:val="sv-FI"/>
        </w:rPr>
        <w:t>handlingen mer kvalitetsinriktad, genom att sociala och miljömässiga krit</w:t>
      </w:r>
      <w:r w:rsidRPr="00FF76D8">
        <w:rPr>
          <w:lang w:val="sv-FI"/>
        </w:rPr>
        <w:t>e</w:t>
      </w:r>
      <w:r w:rsidRPr="00FF76D8">
        <w:rPr>
          <w:lang w:val="sv-FI"/>
        </w:rPr>
        <w:t>rier som exempelvis livscykelkostnader eller integrering av utsatta och mindre gynnade personer får en mer framträdande roll i upphandlingen. För att garantera bättre tillämpning av reglerna i praktiken införs krav på att medlemsstaterna ska se till att reglerna om offentlig upphandling övervakas och att information och vägledning finns tillgängligt för de ekonomiska a</w:t>
      </w:r>
      <w:r w:rsidRPr="00FF76D8">
        <w:rPr>
          <w:lang w:val="sv-FI"/>
        </w:rPr>
        <w:t>k</w:t>
      </w:r>
      <w:r w:rsidRPr="00FF76D8">
        <w:rPr>
          <w:lang w:val="sv-FI"/>
        </w:rPr>
        <w:t>törer som berörs.</w:t>
      </w:r>
    </w:p>
    <w:p w:rsidR="00353151" w:rsidRPr="00BA3EAC" w:rsidRDefault="00353151" w:rsidP="00353151">
      <w:pPr>
        <w:ind w:firstLine="284"/>
        <w:rPr>
          <w:lang w:val="sv-FI"/>
        </w:rPr>
      </w:pPr>
      <w:r w:rsidRPr="00BA3EAC">
        <w:rPr>
          <w:lang w:val="sv-FI"/>
        </w:rPr>
        <w:t>Landskapet Åland har lagstiftningsbehörighet avseende landskapsreg</w:t>
      </w:r>
      <w:r w:rsidRPr="00BA3EAC">
        <w:rPr>
          <w:lang w:val="sv-FI"/>
        </w:rPr>
        <w:t>e</w:t>
      </w:r>
      <w:r w:rsidRPr="00BA3EAC">
        <w:rPr>
          <w:lang w:val="sv-FI"/>
        </w:rPr>
        <w:t>ringens, underliggande myndigheters samt kommunala myndigheters up</w:t>
      </w:r>
      <w:r w:rsidRPr="00BA3EAC">
        <w:rPr>
          <w:lang w:val="sv-FI"/>
        </w:rPr>
        <w:t>p</w:t>
      </w:r>
      <w:r w:rsidRPr="00BA3EAC">
        <w:rPr>
          <w:lang w:val="sv-FI"/>
        </w:rPr>
        <w:t>handlingar. I landskapet tillämpas rikets lagstiftning genom blankettla</w:t>
      </w:r>
      <w:r w:rsidRPr="00BA3EAC">
        <w:rPr>
          <w:lang w:val="sv-FI"/>
        </w:rPr>
        <w:t>g</w:t>
      </w:r>
      <w:r w:rsidRPr="00BA3EAC">
        <w:rPr>
          <w:lang w:val="sv-FI"/>
        </w:rPr>
        <w:t>stiftning, med vissa undantag. Direktiven skulle vara implementerade na</w:t>
      </w:r>
      <w:r w:rsidRPr="00BA3EAC">
        <w:rPr>
          <w:lang w:val="sv-FI"/>
        </w:rPr>
        <w:t>t</w:t>
      </w:r>
      <w:r w:rsidRPr="00BA3EAC">
        <w:rPr>
          <w:lang w:val="sv-FI"/>
        </w:rPr>
        <w:t>ionellt den 18 april 2016 men är försenade till och med hösten 2017. Fi</w:t>
      </w:r>
      <w:r w:rsidRPr="00BA3EAC">
        <w:rPr>
          <w:lang w:val="sv-FI"/>
        </w:rPr>
        <w:t>n</w:t>
      </w:r>
      <w:r w:rsidRPr="00BA3EAC">
        <w:rPr>
          <w:lang w:val="sv-FI"/>
        </w:rPr>
        <w:t xml:space="preserve">lands lagstiftning om offentlig upphandling och koncession (1397/2016) och lagen om offentlig upphandling och koncession inom sektorerna vatten, energi, transporter och posttjänster (1398/2016) antogs 30.12.2016 och trädde i kraft 1.1.2017. </w:t>
      </w:r>
    </w:p>
    <w:p w:rsidR="00353151" w:rsidRPr="00BA3EAC" w:rsidRDefault="00E50EBC" w:rsidP="00353151">
      <w:pPr>
        <w:rPr>
          <w:lang w:val="sv-FI"/>
        </w:rPr>
      </w:pPr>
      <w:r>
        <w:rPr>
          <w:lang w:val="sv-FI"/>
        </w:rPr>
        <w:tab/>
      </w:r>
      <w:r w:rsidR="00353151" w:rsidRPr="00BA3EAC">
        <w:rPr>
          <w:lang w:val="sv-FI"/>
        </w:rPr>
        <w:t xml:space="preserve">Under våren </w:t>
      </w:r>
      <w:r>
        <w:rPr>
          <w:lang w:val="sv-FI"/>
        </w:rPr>
        <w:t xml:space="preserve">2017 </w:t>
      </w:r>
      <w:r w:rsidR="00353151" w:rsidRPr="00BA3EAC">
        <w:rPr>
          <w:lang w:val="sv-FI"/>
        </w:rPr>
        <w:t xml:space="preserve">kommer landskapsregeringen </w:t>
      </w:r>
      <w:r w:rsidR="00BA3EAC" w:rsidRPr="00BA3EAC">
        <w:rPr>
          <w:lang w:val="sv-FI"/>
        </w:rPr>
        <w:t xml:space="preserve">att </w:t>
      </w:r>
      <w:r w:rsidR="00353151" w:rsidRPr="00BA3EAC">
        <w:rPr>
          <w:lang w:val="sv-FI"/>
        </w:rPr>
        <w:t>formulera mer ko</w:t>
      </w:r>
      <w:r w:rsidR="00353151" w:rsidRPr="00BA3EAC">
        <w:rPr>
          <w:lang w:val="sv-FI"/>
        </w:rPr>
        <w:t>n</w:t>
      </w:r>
      <w:r w:rsidR="00353151" w:rsidRPr="00BA3EAC">
        <w:rPr>
          <w:lang w:val="sv-FI"/>
        </w:rPr>
        <w:t>kreta förslag till undantag till blankettlagstiftning och vilka ändringar som krävs för landskapsregeringens beslut gällande vissa upphandlingar. Lan</w:t>
      </w:r>
      <w:r w:rsidR="00353151" w:rsidRPr="00BA3EAC">
        <w:rPr>
          <w:lang w:val="sv-FI"/>
        </w:rPr>
        <w:t>d</w:t>
      </w:r>
      <w:r w:rsidR="00353151" w:rsidRPr="00BA3EAC">
        <w:rPr>
          <w:lang w:val="sv-FI"/>
        </w:rPr>
        <w:t>skapsregeringen avser att under året utreda formerna för en samordnad upphandlingsverksamhet, och i samband med detta uppmärksammas beh</w:t>
      </w:r>
      <w:r w:rsidR="00353151" w:rsidRPr="00BA3EAC">
        <w:rPr>
          <w:lang w:val="sv-FI"/>
        </w:rPr>
        <w:t>o</w:t>
      </w:r>
      <w:r w:rsidR="00353151" w:rsidRPr="00BA3EAC">
        <w:rPr>
          <w:lang w:val="sv-FI"/>
        </w:rPr>
        <w:t>vet av att utöka information och vägledning i upphandlingsfrågor för ökad enhetlighet inom landskapet.</w:t>
      </w:r>
    </w:p>
    <w:p w:rsidR="00C61EE5" w:rsidRPr="006A4E92" w:rsidRDefault="00A805C9" w:rsidP="001C35D0">
      <w:pPr>
        <w:pStyle w:val="Rubrik4"/>
      </w:pPr>
      <w:bookmarkStart w:id="187" w:name="_Toc410897684"/>
      <w:bookmarkStart w:id="188" w:name="_Toc412712701"/>
      <w:bookmarkStart w:id="189" w:name="_Toc442442868"/>
      <w:bookmarkStart w:id="190" w:name="_Toc477424012"/>
      <w:r w:rsidRPr="006A4E92">
        <w:lastRenderedPageBreak/>
        <w:t>3.4.2.</w:t>
      </w:r>
      <w:r w:rsidR="00B45D0E">
        <w:t>4</w:t>
      </w:r>
      <w:r w:rsidRPr="006A4E92">
        <w:t xml:space="preserve"> </w:t>
      </w:r>
      <w:r w:rsidR="00C61EE5" w:rsidRPr="006A4E92">
        <w:t>Tullkodexen och skattegränsen</w:t>
      </w:r>
      <w:bookmarkEnd w:id="187"/>
      <w:bookmarkEnd w:id="188"/>
      <w:bookmarkEnd w:id="189"/>
      <w:bookmarkEnd w:id="190"/>
    </w:p>
    <w:p w:rsidR="00353151" w:rsidRPr="006A4E92" w:rsidRDefault="00353151" w:rsidP="00353151">
      <w:r w:rsidRPr="006A4E92">
        <w:t>Unionens nya tullagstiftning, Unionens tullkodex (EU) nr 952/2013 (unionstullkodex) och dess delegerad</w:t>
      </w:r>
      <w:r w:rsidR="006A4E92" w:rsidRPr="006A4E92">
        <w:t>e- och genomförandeakter, började</w:t>
      </w:r>
      <w:r w:rsidRPr="006A4E92">
        <w:t xml:space="preserve"> tillämpas den 1 juni 2016. De elektroniska system som krävs för att rege</w:t>
      </w:r>
      <w:r w:rsidRPr="006A4E92">
        <w:t>l</w:t>
      </w:r>
      <w:r w:rsidRPr="006A4E92">
        <w:t>verket ska tillämpas fullt ut, ska dock vara i bruk senast till den 1 januari 2021. Tullagstiftningen omfattas av unionens exklusiva behörighet, och på nationell nivå är det rikets behörighet. Den är av särskilt intresse för lan</w:t>
      </w:r>
      <w:r w:rsidRPr="006A4E92">
        <w:t>d</w:t>
      </w:r>
      <w:r w:rsidRPr="006A4E92">
        <w:t>skapet eftersom unionslagstiftningen direkt styr den framtida skattegrän</w:t>
      </w:r>
      <w:r w:rsidRPr="006A4E92">
        <w:t>s</w:t>
      </w:r>
      <w:r w:rsidRPr="006A4E92">
        <w:t>hanteringen. Unionstullkodex utgår från att tullprocedurerna inom unionen ska bli så enhetliga som möjligt och att tullförfaranden ska hanteras fullt ut elektroniskt. Trots syftet med fullständig harmonisering har en specialregl</w:t>
      </w:r>
      <w:r w:rsidRPr="006A4E92">
        <w:t>e</w:t>
      </w:r>
      <w:r w:rsidRPr="006A4E92">
        <w:t xml:space="preserve">ring införts för handel mellan EU:s skatteområde och landskapet, samt andra områden som hör till EU men står utanför EU:s skatteområde.  </w:t>
      </w:r>
    </w:p>
    <w:p w:rsidR="00353151" w:rsidRPr="006A4E92" w:rsidRDefault="00353151" w:rsidP="00353151">
      <w:pPr>
        <w:ind w:firstLine="284"/>
      </w:pPr>
      <w:r w:rsidRPr="006A4E92">
        <w:t>Under år 2015 antogs både den delegerade akten (EU) 2015/2446 av den 28 juli 2015 och genomförandeakten (EU) 2015/2447 av den 24 n</w:t>
      </w:r>
      <w:r w:rsidRPr="006A4E92">
        <w:t>o</w:t>
      </w:r>
      <w:r w:rsidRPr="006A4E92">
        <w:t>vember 2015, numera kallade för den kompletterande förordningen respe</w:t>
      </w:r>
      <w:r w:rsidRPr="006A4E92">
        <w:t>k</w:t>
      </w:r>
      <w:r w:rsidRPr="006A4E92">
        <w:t>tive genomförandeförordningen. Genom detta har ett mångårigt lagstif</w:t>
      </w:r>
      <w:r w:rsidRPr="006A4E92">
        <w:t>t</w:t>
      </w:r>
      <w:r w:rsidRPr="006A4E92">
        <w:t>ningsarbete kopplat till skattegränsförfarandet avslutats på EU-nivå. Na</w:t>
      </w:r>
      <w:r w:rsidRPr="006A4E92">
        <w:t>t</w:t>
      </w:r>
      <w:r w:rsidRPr="006A4E92">
        <w:t xml:space="preserve">ionell administrativ tullagstiftning ändrades den 1 maj 2016. Regelverket är omfattande och det är fortfarande ovisst vilka effekterna blir i praktiken för olika specifika tullformaliteter. Tullen har dock särskilt granskat effekterna för skattegränshanteringen och meddelat att samtliga förenklingar som finns idag kommer att kunna behållas. </w:t>
      </w:r>
    </w:p>
    <w:p w:rsidR="00353151" w:rsidRPr="00B3374B" w:rsidRDefault="00353151" w:rsidP="00353151">
      <w:pPr>
        <w:ind w:firstLine="284"/>
      </w:pPr>
      <w:r w:rsidRPr="00B3374B">
        <w:t xml:space="preserve">Självstyrelsepolitiska nämnden </w:t>
      </w:r>
      <w:r w:rsidR="0051590C">
        <w:t>framför i</w:t>
      </w:r>
      <w:r w:rsidRPr="00B3374B">
        <w:t xml:space="preserve"> sitt betänkande nr 2/2014-2015 att landskapsregeringen med stöd av självstyrelselagen borde ta initiativ till bilaterala förhandlingar och bilateralt samarbete mellan i första hand Fi</w:t>
      </w:r>
      <w:r w:rsidRPr="00B3374B">
        <w:t>n</w:t>
      </w:r>
      <w:r w:rsidRPr="00B3374B">
        <w:t>land och Sverige för att försöka få till stånd likartade förenklingar i skatt</w:t>
      </w:r>
      <w:r w:rsidRPr="00B3374B">
        <w:t>e</w:t>
      </w:r>
      <w:r w:rsidRPr="00B3374B">
        <w:t>gränshanteringen som har genomförts i handeln mellan Finland och Åland. Landskapsregeringen har inväntat att EU:s tullagstiftningsprocess skulle slutföras eftersom det är det regelverket som styr eventuella möjligheter till bilaterala särlösningar. Finansministeriet och tullen har under hela lagstif</w:t>
      </w:r>
      <w:r w:rsidRPr="00B3374B">
        <w:t>t</w:t>
      </w:r>
      <w:r w:rsidRPr="00B3374B">
        <w:t>ningsprocessen arbetat för att sådana möjligheter skulle finnas i unionstul</w:t>
      </w:r>
      <w:r w:rsidRPr="00B3374B">
        <w:t>l</w:t>
      </w:r>
      <w:r w:rsidRPr="00B3374B">
        <w:t>kodex och den kompletterande förordningen, och det fanns sådana möjli</w:t>
      </w:r>
      <w:r w:rsidRPr="00B3374B">
        <w:t>g</w:t>
      </w:r>
      <w:r w:rsidRPr="00B3374B">
        <w:t>heter för områden som Åland, d.v.s. särskilda skatteområden, i det sista u</w:t>
      </w:r>
      <w:r w:rsidRPr="00B3374B">
        <w:t>t</w:t>
      </w:r>
      <w:r w:rsidRPr="00B3374B">
        <w:t>kastet av den kompletterande förordningen som medlemsstaterna godkänt. Innan kommissionen antog föror</w:t>
      </w:r>
      <w:r w:rsidR="0051590C">
        <w:t>dningen den 28 juli 2015 gjorde dock k</w:t>
      </w:r>
      <w:r w:rsidR="0051590C" w:rsidRPr="00B3374B">
        <w:t>ommissionens rättstjänst</w:t>
      </w:r>
      <w:r w:rsidRPr="00B3374B">
        <w:t xml:space="preserve"> ändringar av de artiklar som uttryckligen möjli</w:t>
      </w:r>
      <w:r w:rsidRPr="00B3374B">
        <w:t>g</w:t>
      </w:r>
      <w:r w:rsidRPr="00B3374B">
        <w:t>gjorde förhandling om särlösningar mellan andra medlemsstater och lan</w:t>
      </w:r>
      <w:r w:rsidRPr="00B3374B">
        <w:t>d</w:t>
      </w:r>
      <w:r w:rsidR="0051590C">
        <w:t>skapet</w:t>
      </w:r>
      <w:r w:rsidRPr="00B3374B">
        <w:t>. Finland ifrågasatte detta och tjänstemän från finansministeriet, tu</w:t>
      </w:r>
      <w:r w:rsidRPr="00B3374B">
        <w:t>l</w:t>
      </w:r>
      <w:r w:rsidRPr="00B3374B">
        <w:t>len och landskapsregeringen träffade chefen för skattefrågor m.fl. vid kommissionen (TAXUD) för att ifrågasätta händelseutveckligen. Mötet medförde inte att artiklarna åter ändrades, men kan ha initierat att kommis</w:t>
      </w:r>
      <w:r w:rsidRPr="00B3374B">
        <w:t>s</w:t>
      </w:r>
      <w:r w:rsidRPr="00B3374B">
        <w:t xml:space="preserve">ionen vid rådets möte uttalade att EU:s tullagstiftning inte är perfekt, och särskilt att förfarandereglerna för särskilda skatteområden ännu behöver analyseras. </w:t>
      </w:r>
    </w:p>
    <w:p w:rsidR="00131D99" w:rsidRPr="009437B7" w:rsidRDefault="00353151" w:rsidP="009437B7">
      <w:pPr>
        <w:ind w:firstLine="284"/>
      </w:pPr>
      <w:r w:rsidRPr="00B3374B">
        <w:t xml:space="preserve">Landskapsregeringen kommer att fortsätta arbeta </w:t>
      </w:r>
      <w:r w:rsidR="00B3374B" w:rsidRPr="00B3374B">
        <w:t xml:space="preserve">för </w:t>
      </w:r>
      <w:r w:rsidRPr="00B3374B">
        <w:t>att förbättra skatt</w:t>
      </w:r>
      <w:r w:rsidRPr="00B3374B">
        <w:t>e</w:t>
      </w:r>
      <w:r w:rsidRPr="00B3374B">
        <w:t>gränshanteringen jämfört med idag. Landskapsregeringen kommer även fortsättningsvis att allmänt bevaka att de ursprungliga syftena med skatt</w:t>
      </w:r>
      <w:r w:rsidRPr="00B3374B">
        <w:t>e</w:t>
      </w:r>
      <w:r w:rsidRPr="00B3374B">
        <w:t xml:space="preserve">undantaget </w:t>
      </w:r>
      <w:r w:rsidRPr="009437B7">
        <w:t>skyddas.</w:t>
      </w:r>
    </w:p>
    <w:p w:rsidR="00131D99" w:rsidRPr="0051590C" w:rsidRDefault="00131D99" w:rsidP="0051590C">
      <w:pPr>
        <w:pStyle w:val="Rubrik4"/>
      </w:pPr>
      <w:bookmarkStart w:id="191" w:name="_Toc477424013"/>
      <w:r w:rsidRPr="0051590C">
        <w:t>3.4.2.</w:t>
      </w:r>
      <w:r w:rsidR="00B45D0E">
        <w:t>5</w:t>
      </w:r>
      <w:r w:rsidRPr="0051590C">
        <w:t xml:space="preserve"> Tobaksdirektivet</w:t>
      </w:r>
      <w:bookmarkEnd w:id="191"/>
    </w:p>
    <w:p w:rsidR="003D6C9B" w:rsidRDefault="00131D99" w:rsidP="009437B7">
      <w:r w:rsidRPr="004B1A9E">
        <w:t>Landskapsregeringen genomförde Europaparlamentets och rådets direktiv 2014/40/EU om tillnärmning av medlemsstaternas lagar och andra förfat</w:t>
      </w:r>
      <w:r w:rsidRPr="004B1A9E">
        <w:t>t</w:t>
      </w:r>
      <w:r w:rsidRPr="004B1A9E">
        <w:t>ningar om tillverkning, presentation och försäljning av tobaksvaror och r</w:t>
      </w:r>
      <w:r w:rsidRPr="004B1A9E">
        <w:t>e</w:t>
      </w:r>
      <w:r w:rsidRPr="004B1A9E">
        <w:t>laterade produkter genom landskapslag (1978:52) om tobak och relate</w:t>
      </w:r>
      <w:r w:rsidR="004B1A9E" w:rsidRPr="004B1A9E">
        <w:t>rade produkter under</w:t>
      </w:r>
      <w:r w:rsidRPr="004B1A9E">
        <w:t xml:space="preserve"> 2016. Utöver direktivets krav lagstiftades det att det inte </w:t>
      </w:r>
      <w:r w:rsidRPr="004B1A9E">
        <w:lastRenderedPageBreak/>
        <w:t>ska vara tillåtet att saluhålla elektroniska cigaretter och påfyllningsbehå</w:t>
      </w:r>
      <w:r w:rsidRPr="004B1A9E">
        <w:t>l</w:t>
      </w:r>
      <w:r w:rsidRPr="004B1A9E">
        <w:t>lare med smakämnen. Tobakslagstiftningen kompletterades också med b</w:t>
      </w:r>
      <w:r w:rsidRPr="004B1A9E">
        <w:t>e</w:t>
      </w:r>
      <w:r w:rsidRPr="004B1A9E">
        <w:t>stämmelser om relaterade produkter som nu omfattas av samma bestä</w:t>
      </w:r>
      <w:r w:rsidRPr="004B1A9E">
        <w:t>m</w:t>
      </w:r>
      <w:r w:rsidRPr="004B1A9E">
        <w:t xml:space="preserve">melser som gäller för tobaksprodukter avseende begränsningar för reklam och rökning. Landskapslagen trädde i kraft den 1 november 2016. </w:t>
      </w:r>
    </w:p>
    <w:p w:rsidR="003D6C9B" w:rsidRDefault="003D6C9B" w:rsidP="003D6C9B">
      <w:pPr>
        <w:pStyle w:val="Rubrik4"/>
      </w:pPr>
      <w:bookmarkStart w:id="192" w:name="_Toc477424014"/>
      <w:r>
        <w:t>3.4.2.</w:t>
      </w:r>
      <w:r w:rsidR="00B45D0E">
        <w:t>6</w:t>
      </w:r>
      <w:r>
        <w:t xml:space="preserve"> Yrkeskvalifikationer</w:t>
      </w:r>
      <w:bookmarkEnd w:id="192"/>
    </w:p>
    <w:p w:rsidR="00277045" w:rsidRDefault="003D6C9B" w:rsidP="009437B7">
      <w:r w:rsidRPr="000E68BA">
        <w:t>Då det inom ett yrke ställs specifika krav på utbildning eller yrkeserfare</w:t>
      </w:r>
      <w:r w:rsidRPr="000E68BA">
        <w:t>n</w:t>
      </w:r>
      <w:r w:rsidRPr="000E68BA">
        <w:t xml:space="preserve">het (reglerat yrke) tillämpas inom unionen ett </w:t>
      </w:r>
      <w:r w:rsidRPr="003D6C9B">
        <w:t>direktiv om erkännande av yrkeskvalifikationer (2005/36/EG). Direktivet anger regler enligt vilka en</w:t>
      </w:r>
      <w:r w:rsidRPr="000E68BA">
        <w:t xml:space="preserve"> medlemsstat ska erkänna utbildning eller yrkeskvalifikationer som en u</w:t>
      </w:r>
      <w:r w:rsidRPr="000E68BA">
        <w:t>n</w:t>
      </w:r>
      <w:r w:rsidRPr="000E68BA">
        <w:t>ionsmedborgare har förvärvat i en annan medlemsstat. En effektiv inre marknad för utbildning och yrkesutbildning är en förutsättning för att uppnå EU:s strategiska målsättning om att bli världens mest konkurren</w:t>
      </w:r>
      <w:r w:rsidRPr="000E68BA">
        <w:t>s</w:t>
      </w:r>
      <w:r w:rsidRPr="000E68BA">
        <w:t xml:space="preserve">kraftiga och kunskapsbaserade ekonomi. Ändringar i direktivet (2013/55/EU) har implementerats i rikslagstiftningen och </w:t>
      </w:r>
      <w:r w:rsidRPr="00005302">
        <w:t>gäller från och med ingången av år 2016. Landskapsregeringen har under 2016 utarbetat ett motsvarande ändringsförlag i landskapslagstiftningen om erkännande av yrkeskvalifikationer, vilket avgavs till lagtinget i december 2016 och fö</w:t>
      </w:r>
      <w:r w:rsidRPr="00005302">
        <w:t>r</w:t>
      </w:r>
      <w:r w:rsidRPr="00005302">
        <w:t>väntas träda i kraft i landskapet under 2017.</w:t>
      </w:r>
    </w:p>
    <w:p w:rsidR="00277045" w:rsidRPr="001A3BF7" w:rsidRDefault="00277045" w:rsidP="00277045">
      <w:pPr>
        <w:pStyle w:val="Rubrik4"/>
      </w:pPr>
      <w:bookmarkStart w:id="193" w:name="_Toc477424015"/>
      <w:r w:rsidRPr="001A3BF7">
        <w:t>3.</w:t>
      </w:r>
      <w:r>
        <w:t>4</w:t>
      </w:r>
      <w:r w:rsidRPr="001A3BF7">
        <w:t>.</w:t>
      </w:r>
      <w:r>
        <w:t>2.</w:t>
      </w:r>
      <w:r w:rsidR="00B45D0E">
        <w:t>7</w:t>
      </w:r>
      <w:r w:rsidRPr="001A3BF7">
        <w:t xml:space="preserve"> Onlinespel</w:t>
      </w:r>
      <w:bookmarkEnd w:id="193"/>
    </w:p>
    <w:p w:rsidR="00277045" w:rsidRPr="001A3BF7" w:rsidRDefault="00277045" w:rsidP="00277045">
      <w:r w:rsidRPr="001A3BF7">
        <w:t>Sedan kommissionen den 24 mars 2011 lade fram en grönbok om onlin</w:t>
      </w:r>
      <w:r w:rsidRPr="001A3BF7">
        <w:t>e</w:t>
      </w:r>
      <w:r w:rsidRPr="001A3BF7">
        <w:t>spel på inre marknaden, KOM(2011) 128 slutlig, har penningspel och b</w:t>
      </w:r>
      <w:r w:rsidRPr="001A3BF7">
        <w:t>e</w:t>
      </w:r>
      <w:r w:rsidRPr="001A3BF7">
        <w:t>hovet av en samordnad lagstiftning flitigt diskuterats inom EU. Det främsta syftet med grönboken var att skapa en bild dels av situationen på EU:s marknad för onlinespel och dels av lagstiftningen i de olika staterna. Man ville samtidigt undersöka om det kan behövas särskilda åtgärder på EU-nivå för att nå bättre samstämmighet i regleringen av penningspel. På basis av de svar som inkom vid samrådet och efterföljande diskussioner konstat</w:t>
      </w:r>
      <w:r w:rsidRPr="001A3BF7">
        <w:t>e</w:t>
      </w:r>
      <w:r w:rsidRPr="001A3BF7">
        <w:t>rade kommissionen att det inte är lämpligt att i detta skede föreslå sekto</w:t>
      </w:r>
      <w:r w:rsidRPr="001A3BF7">
        <w:t>r</w:t>
      </w:r>
      <w:r w:rsidRPr="001A3BF7">
        <w:t xml:space="preserve">specifik EU-lagstiftning. </w:t>
      </w:r>
    </w:p>
    <w:p w:rsidR="00277045" w:rsidRPr="00C5498A" w:rsidRDefault="00277045" w:rsidP="00277045">
      <w:pPr>
        <w:ind w:firstLine="284"/>
      </w:pPr>
      <w:r w:rsidRPr="00C5498A">
        <w:t>Den 23 oktober 2012 presenterade kommissionen en handlingsplan för onlinespel, Kommissionens meddelande till Europaparlamentet, Rådet, Ekonomiska och sociala kommittén samt Regionkommittén – En övergr</w:t>
      </w:r>
      <w:r w:rsidRPr="00C5498A">
        <w:t>i</w:t>
      </w:r>
      <w:r w:rsidRPr="00C5498A">
        <w:t>pande europeisk ram för onlinespel KOM(2012) 596 slutlig. I meddelandet föreslår kommissionen inte EU-omfattande lagstiftning för onlinespel men nog en rad åtgärder och gemensamma principer för sådan verksamhet. I meddelandet uppmanas bland annat medlemsstaterna att inrätta speltil</w:t>
      </w:r>
      <w:r w:rsidRPr="00C5498A">
        <w:t>l</w:t>
      </w:r>
      <w:r w:rsidRPr="00C5498A">
        <w:t xml:space="preserve">synsmyndigheter med tydliga behörigheter och att säkerställa samarbete med andra relevanta behöriga myndigheter. </w:t>
      </w:r>
    </w:p>
    <w:p w:rsidR="00277045" w:rsidRPr="004B1A9E" w:rsidRDefault="00277045" w:rsidP="00277045">
      <w:pPr>
        <w:ind w:firstLine="284"/>
      </w:pPr>
      <w:r w:rsidRPr="005E4DEA">
        <w:t xml:space="preserve">Landskapsregeringen inledde under hösten 2013 ett arbete som syftar till en total revidering av den åländska lotterilagstiftningen. Huvudsyftet med arbetet är att inrätta en oberoende </w:t>
      </w:r>
      <w:r w:rsidRPr="00005302">
        <w:t xml:space="preserve">tillsynsmyndighet med uppgift att övervaka penningspel. Den 1.1.2017 trädde </w:t>
      </w:r>
      <w:r w:rsidR="00005302" w:rsidRPr="00005302">
        <w:t xml:space="preserve">landskapslagen (ÅFS 2016:11) om ändring av landskapslagen om </w:t>
      </w:r>
      <w:r w:rsidRPr="00005302">
        <w:t>lotteri</w:t>
      </w:r>
      <w:r w:rsidR="00005302" w:rsidRPr="00005302">
        <w:t>er</w:t>
      </w:r>
      <w:r w:rsidRPr="00005302">
        <w:t xml:space="preserve"> </w:t>
      </w:r>
      <w:r w:rsidR="00005302" w:rsidRPr="00005302">
        <w:t xml:space="preserve">samt </w:t>
      </w:r>
      <w:r w:rsidRPr="00005302">
        <w:t xml:space="preserve">landskapslagen </w:t>
      </w:r>
      <w:r w:rsidR="00005302" w:rsidRPr="00005302">
        <w:t xml:space="preserve">(ÅFS 2016:10) </w:t>
      </w:r>
      <w:r w:rsidRPr="00005302">
        <w:t>om lotteriinspektion</w:t>
      </w:r>
      <w:r w:rsidR="00005302" w:rsidRPr="00005302">
        <w:t>en</w:t>
      </w:r>
      <w:r w:rsidRPr="00005302">
        <w:t xml:space="preserve"> i kraft i landskapet. Lotteriinspektionen beräknas inleda sin verksamhet den 1.3.2017. Lotteriinspektionens</w:t>
      </w:r>
      <w:r w:rsidRPr="00647CA6">
        <w:t xml:space="preserve"> huvu</w:t>
      </w:r>
      <w:r w:rsidRPr="00647CA6">
        <w:t>d</w:t>
      </w:r>
      <w:r w:rsidRPr="00647CA6">
        <w:t>uppgift är att utöva tillsyn över penningspel i landskapet.</w:t>
      </w:r>
    </w:p>
    <w:p w:rsidR="00DA55F4" w:rsidRPr="009022F3" w:rsidRDefault="00DA55F4" w:rsidP="00DA55F4">
      <w:pPr>
        <w:pStyle w:val="Rubrik4"/>
        <w:numPr>
          <w:ilvl w:val="0"/>
          <w:numId w:val="0"/>
        </w:numPr>
      </w:pPr>
      <w:bookmarkStart w:id="194" w:name="_Toc477424016"/>
      <w:bookmarkStart w:id="195" w:name="_Toc410897688"/>
      <w:bookmarkStart w:id="196" w:name="_Toc412712705"/>
      <w:r w:rsidRPr="00005302">
        <w:t>3.4.2.</w:t>
      </w:r>
      <w:r w:rsidR="00B45D0E" w:rsidRPr="00005302">
        <w:t>8</w:t>
      </w:r>
      <w:r w:rsidRPr="00005302">
        <w:t xml:space="preserve"> Överträdelseförfaranden</w:t>
      </w:r>
      <w:r w:rsidRPr="009022F3">
        <w:t xml:space="preserve"> och EU-domstolsärenden</w:t>
      </w:r>
      <w:bookmarkEnd w:id="194"/>
    </w:p>
    <w:p w:rsidR="00DA55F4" w:rsidRPr="009022F3" w:rsidRDefault="00DA55F4" w:rsidP="009437B7">
      <w:r w:rsidRPr="009022F3">
        <w:t>Kommissionen kontrollerar att medlemsstaterna tillämpar EU-rätten ko</w:t>
      </w:r>
      <w:r w:rsidRPr="009022F3">
        <w:t>r</w:t>
      </w:r>
      <w:r w:rsidRPr="009022F3">
        <w:t>rekt, och kan vidta åtgärder om en medlemsstat inte korrekt och i tid infö</w:t>
      </w:r>
      <w:r w:rsidRPr="009022F3">
        <w:t>r</w:t>
      </w:r>
      <w:r w:rsidRPr="009022F3">
        <w:t>livar EU:s direktiv i sin nationella lagstiftning och inte informerar ko</w:t>
      </w:r>
      <w:r w:rsidRPr="009022F3">
        <w:t>m</w:t>
      </w:r>
      <w:r w:rsidRPr="009022F3">
        <w:t>missionen om sina åtgärder, eller om en medlemsstat på något sätt mis</w:t>
      </w:r>
      <w:r w:rsidRPr="009022F3">
        <w:t>s</w:t>
      </w:r>
      <w:r w:rsidRPr="009022F3">
        <w:t>tänks bryta mot EU-lagstiftningen. Om kommissionen anser att en me</w:t>
      </w:r>
      <w:r w:rsidRPr="009022F3">
        <w:t>d</w:t>
      </w:r>
      <w:r w:rsidRPr="009022F3">
        <w:lastRenderedPageBreak/>
        <w:t>lemsstat underlåtit att korrekt tillämpa EU-rätten kan kommissionen inleda ett överträdelseförfarande.</w:t>
      </w:r>
    </w:p>
    <w:p w:rsidR="00DA55F4" w:rsidRPr="009022F3" w:rsidRDefault="00DA55F4" w:rsidP="00DA55F4">
      <w:r w:rsidRPr="009022F3">
        <w:t>Stegen i överträdelseförfarandet är följande:</w:t>
      </w:r>
    </w:p>
    <w:p w:rsidR="00DA55F4" w:rsidRPr="009022F3" w:rsidRDefault="00DA55F4" w:rsidP="00DA55F4">
      <w:pPr>
        <w:numPr>
          <w:ilvl w:val="0"/>
          <w:numId w:val="16"/>
        </w:numPr>
      </w:pPr>
      <w:r w:rsidRPr="009022F3">
        <w:t>EU Pilot-förfrågan (informellt förfarande)</w:t>
      </w:r>
    </w:p>
    <w:p w:rsidR="00DA55F4" w:rsidRPr="009022F3" w:rsidRDefault="00DA55F4" w:rsidP="00DA55F4">
      <w:pPr>
        <w:numPr>
          <w:ilvl w:val="0"/>
          <w:numId w:val="16"/>
        </w:numPr>
      </w:pPr>
      <w:r w:rsidRPr="009022F3">
        <w:t>Formell underrättelse</w:t>
      </w:r>
    </w:p>
    <w:p w:rsidR="00DA55F4" w:rsidRPr="009022F3" w:rsidRDefault="00DA55F4" w:rsidP="00DA55F4">
      <w:pPr>
        <w:numPr>
          <w:ilvl w:val="0"/>
          <w:numId w:val="16"/>
        </w:numPr>
      </w:pPr>
      <w:r w:rsidRPr="009022F3">
        <w:t>Motiverat yttrande</w:t>
      </w:r>
    </w:p>
    <w:p w:rsidR="00DA55F4" w:rsidRPr="009022F3" w:rsidRDefault="00DA55F4" w:rsidP="00DA55F4">
      <w:pPr>
        <w:numPr>
          <w:ilvl w:val="0"/>
          <w:numId w:val="16"/>
        </w:numPr>
      </w:pPr>
      <w:r w:rsidRPr="009022F3">
        <w:t>Talan vid EU-domstolen</w:t>
      </w:r>
    </w:p>
    <w:p w:rsidR="00DA55F4" w:rsidRPr="009022F3" w:rsidRDefault="00DA55F4" w:rsidP="00DA55F4">
      <w:r w:rsidRPr="009022F3">
        <w:t>Det informella EU Pilot-förfarandet som föregår det formella överträdels</w:t>
      </w:r>
      <w:r w:rsidRPr="009022F3">
        <w:t>e</w:t>
      </w:r>
      <w:r w:rsidRPr="009022F3">
        <w:t>förfarandet innebär att kommissionen efterfrågar kompletterande uppgifter om en medlemsstats genomförande av sådana direktiv, vilka kommissionen anser att inte är korrekt genomförda i medlemsstaterna. Syftet med EU P</w:t>
      </w:r>
      <w:r w:rsidRPr="009022F3">
        <w:t>i</w:t>
      </w:r>
      <w:r w:rsidRPr="009022F3">
        <w:t>lot-förfarandet är att medlemsstaterna ska kunna korrigera brister i geno</w:t>
      </w:r>
      <w:r w:rsidRPr="009022F3">
        <w:t>m</w:t>
      </w:r>
      <w:r w:rsidRPr="009022F3">
        <w:t>förandet av EU-rätten utan att kommissionen tvingas inleda ett formellt överträdelseförfarande. Till följd av EU Pilot-förfarandet inleds således färre formella överträdelseärenden. Landskapsregeringen har under året svarat på flera EU Pilot-förfrågningar. Även i de fall brister i genomföra</w:t>
      </w:r>
      <w:r w:rsidRPr="009022F3">
        <w:t>n</w:t>
      </w:r>
      <w:r w:rsidRPr="009022F3">
        <w:t>det av direktiv inte har kunnat åtgärdas under EU Pilot-förfarandet anser landskapsregeringen att deltagandet i förfarandet har varit givande, då lan</w:t>
      </w:r>
      <w:r w:rsidRPr="009022F3">
        <w:t>d</w:t>
      </w:r>
      <w:r w:rsidRPr="009022F3">
        <w:t>skapsregeringen som en följd får en förvarning om vilka lagstiftningsän</w:t>
      </w:r>
      <w:r w:rsidRPr="009022F3">
        <w:t>d</w:t>
      </w:r>
      <w:r w:rsidRPr="009022F3">
        <w:t>ringar som möjligen krävs för att genomföra ett direktiv korrekt.</w:t>
      </w:r>
    </w:p>
    <w:p w:rsidR="00DA55F4" w:rsidRPr="009022F3" w:rsidRDefault="00DA55F4" w:rsidP="00DA55F4">
      <w:pPr>
        <w:ind w:firstLine="284"/>
      </w:pPr>
      <w:r w:rsidRPr="009022F3">
        <w:t>Efter EU Pilot är följande steg i överträdelseförfarandet en formell underrättelse, i vilken kommissionen vidhåller på vilket sätt medlemsstaten anses ha brutit mot EU-rätten. Medlemsstaten har vanligtvis åtta veckor på sig att besvara den formella underrättelsen. Om kommissionen inte är nöjd med det svar medlemsstaten ger på den formella underrättelsen går förf</w:t>
      </w:r>
      <w:r w:rsidRPr="009022F3">
        <w:t>a</w:t>
      </w:r>
      <w:r w:rsidRPr="009022F3">
        <w:t>randet vidare till ett motiverat yttrande, vilket medlemsstaten igen vanlig</w:t>
      </w:r>
      <w:r w:rsidRPr="009022F3">
        <w:t>t</w:t>
      </w:r>
      <w:r w:rsidRPr="009022F3">
        <w:t>vis har åtta veckor på sig att besvara.</w:t>
      </w:r>
    </w:p>
    <w:p w:rsidR="00DA55F4" w:rsidRPr="009022F3" w:rsidRDefault="009437B7" w:rsidP="009437B7">
      <w:r>
        <w:tab/>
      </w:r>
      <w:r w:rsidR="00DA55F4" w:rsidRPr="009022F3">
        <w:t>Om kommissionen fortsättningsvis efter medlemsstatens svar på det m</w:t>
      </w:r>
      <w:r w:rsidR="00DA55F4" w:rsidRPr="009022F3">
        <w:t>o</w:t>
      </w:r>
      <w:r w:rsidR="00DA55F4" w:rsidRPr="009022F3">
        <w:t>tiverade yttrandet är missnöjd med de åtgärder medlemsstaten vidtagit kan kommissionen föra ärendet vidare till EU-domstolen. I artikel 260.3 i fö</w:t>
      </w:r>
      <w:r w:rsidR="00DA55F4" w:rsidRPr="009022F3">
        <w:t>r</w:t>
      </w:r>
      <w:r w:rsidR="00DA55F4" w:rsidRPr="009022F3">
        <w:t>draget om Europeiska unionens funktionssätt anges att i samband med överträdelseärenden som gäller underlåtenhet att införliva direktiv kan domstolen ålägga medlemsstaten ekonomiska sanktioner. Kommissionen kan i förestående fall ange ett standardbelopp eller vite som kommissionen anser lämpligt. Domstolen kan inte ålägga ett högre standardbelopp eller vite än det som kommissionen angett. Medlemsstatens skyldighet att betala anges i domen redan då ärendet första gången prövas i domstolen. Det är följaktligen viktigt att understryka att landskapet nu kan tilldömas ekon</w:t>
      </w:r>
      <w:r w:rsidR="00DA55F4" w:rsidRPr="009022F3">
        <w:t>o</w:t>
      </w:r>
      <w:r w:rsidR="00DA55F4" w:rsidRPr="009022F3">
        <w:t>miska sanktioner i ett tidigare skede än innan Lissabonfördraget ratificer</w:t>
      </w:r>
      <w:r w:rsidR="00DA55F4" w:rsidRPr="009022F3">
        <w:t>a</w:t>
      </w:r>
      <w:r w:rsidR="00DA55F4" w:rsidRPr="009022F3">
        <w:t>des, vilket förstärker vikten av att direktiven</w:t>
      </w:r>
      <w:r>
        <w:t xml:space="preserve"> implementeras inom utsatt tid.</w:t>
      </w:r>
    </w:p>
    <w:p w:rsidR="00DA55F4" w:rsidRPr="009022F3" w:rsidRDefault="00DA55F4" w:rsidP="00DA55F4">
      <w:pPr>
        <w:ind w:firstLine="284"/>
      </w:pPr>
      <w:r w:rsidRPr="009022F3">
        <w:t xml:space="preserve">I följande tabell framgår hur många formella underrättelser, motiverade yttranden och talan vid EU-domstolen som kommissionen påbörjat mot Finland under år 2016. I samma tabell framgår även hur många av dessa ärenden som berörde landskapet.  </w:t>
      </w:r>
    </w:p>
    <w:p w:rsidR="00DA55F4" w:rsidRPr="007E440B" w:rsidRDefault="00DA55F4" w:rsidP="00DA55F4">
      <w:pPr>
        <w:ind w:firstLine="284"/>
        <w:rPr>
          <w:sz w:val="14"/>
        </w:rPr>
      </w:pPr>
    </w:p>
    <w:p w:rsidR="00DA55F4" w:rsidRPr="00E32B12" w:rsidRDefault="00DA55F4" w:rsidP="00DA55F4">
      <w:pPr>
        <w:rPr>
          <w:b/>
        </w:rPr>
      </w:pPr>
      <w:r w:rsidRPr="009022F3">
        <w:rPr>
          <w:b/>
        </w:rPr>
        <w:t>Tabell 9</w:t>
      </w:r>
      <w:r>
        <w:rPr>
          <w:b/>
        </w:rPr>
        <w:t>:</w:t>
      </w:r>
      <w:r w:rsidRPr="009022F3">
        <w:rPr>
          <w:b/>
        </w:rPr>
        <w:t xml:space="preserve"> </w:t>
      </w:r>
      <w:r>
        <w:rPr>
          <w:b/>
        </w:rPr>
        <w:t>Formella underrättelser</w:t>
      </w:r>
      <w:r w:rsidRPr="009022F3">
        <w:rPr>
          <w:b/>
        </w:rPr>
        <w:t xml:space="preserve"> påbörjade mot Finland 2016</w:t>
      </w:r>
    </w:p>
    <w:tbl>
      <w:tblPr>
        <w:tblpPr w:leftFromText="141" w:rightFromText="141" w:vertAnchor="text" w:horzAnchor="margin" w:tblpX="68" w:tblpY="130"/>
        <w:tblW w:w="6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1134"/>
        <w:gridCol w:w="1418"/>
        <w:gridCol w:w="1275"/>
        <w:gridCol w:w="1560"/>
      </w:tblGrid>
      <w:tr w:rsidR="00DA55F4" w:rsidRPr="00866391" w:rsidTr="007E2986">
        <w:trPr>
          <w:cantSplit/>
        </w:trPr>
        <w:tc>
          <w:tcPr>
            <w:tcW w:w="1346" w:type="dxa"/>
            <w:tcBorders>
              <w:top w:val="single" w:sz="4" w:space="0" w:color="auto"/>
              <w:left w:val="single" w:sz="4" w:space="0" w:color="auto"/>
              <w:bottom w:val="nil"/>
              <w:right w:val="single" w:sz="4" w:space="0" w:color="auto"/>
            </w:tcBorders>
            <w:shd w:val="clear" w:color="auto" w:fill="A6A6A6"/>
          </w:tcPr>
          <w:p w:rsidR="00DA55F4" w:rsidRPr="00D73CF8" w:rsidRDefault="00DA55F4" w:rsidP="007E2986">
            <w:pPr>
              <w:pStyle w:val="ANormal"/>
            </w:pPr>
          </w:p>
        </w:tc>
        <w:tc>
          <w:tcPr>
            <w:tcW w:w="2552" w:type="dxa"/>
            <w:gridSpan w:val="2"/>
            <w:tcBorders>
              <w:top w:val="single" w:sz="4" w:space="0" w:color="auto"/>
              <w:left w:val="single" w:sz="4" w:space="0" w:color="auto"/>
              <w:bottom w:val="nil"/>
              <w:right w:val="single" w:sz="4" w:space="0" w:color="auto"/>
            </w:tcBorders>
            <w:shd w:val="clear" w:color="auto" w:fill="A6A6A6"/>
            <w:vAlign w:val="center"/>
          </w:tcPr>
          <w:p w:rsidR="00DA55F4" w:rsidRPr="00D73CF8" w:rsidRDefault="00DA55F4" w:rsidP="007E2986">
            <w:pPr>
              <w:pStyle w:val="ANormal"/>
              <w:jc w:val="center"/>
              <w:rPr>
                <w:b/>
                <w:bCs/>
                <w:sz w:val="20"/>
              </w:rPr>
            </w:pPr>
            <w:r w:rsidRPr="00D73CF8">
              <w:rPr>
                <w:b/>
                <w:bCs/>
                <w:sz w:val="20"/>
              </w:rPr>
              <w:t>Formella</w:t>
            </w:r>
            <w:r>
              <w:rPr>
                <w:b/>
                <w:bCs/>
                <w:sz w:val="20"/>
              </w:rPr>
              <w:t xml:space="preserve"> under</w:t>
            </w:r>
            <w:r w:rsidRPr="00D73CF8">
              <w:rPr>
                <w:b/>
                <w:bCs/>
                <w:sz w:val="20"/>
              </w:rPr>
              <w:t>rättelser</w:t>
            </w:r>
            <w:r>
              <w:rPr>
                <w:b/>
                <w:bCs/>
                <w:sz w:val="20"/>
              </w:rPr>
              <w:t>, försenad implementering</w:t>
            </w:r>
          </w:p>
        </w:tc>
        <w:tc>
          <w:tcPr>
            <w:tcW w:w="2835" w:type="dxa"/>
            <w:gridSpan w:val="2"/>
            <w:tcBorders>
              <w:top w:val="single" w:sz="4" w:space="0" w:color="auto"/>
              <w:left w:val="single" w:sz="4" w:space="0" w:color="auto"/>
              <w:bottom w:val="nil"/>
              <w:right w:val="single" w:sz="4" w:space="0" w:color="auto"/>
            </w:tcBorders>
            <w:shd w:val="clear" w:color="auto" w:fill="A6A6A6"/>
            <w:vAlign w:val="center"/>
          </w:tcPr>
          <w:p w:rsidR="00DA55F4" w:rsidRPr="00D73CF8" w:rsidRDefault="00DA55F4" w:rsidP="007E2986">
            <w:pPr>
              <w:pStyle w:val="ANormal"/>
              <w:jc w:val="center"/>
              <w:rPr>
                <w:b/>
                <w:bCs/>
                <w:sz w:val="20"/>
              </w:rPr>
            </w:pPr>
            <w:r>
              <w:rPr>
                <w:b/>
                <w:bCs/>
                <w:sz w:val="20"/>
              </w:rPr>
              <w:t>Formella underrättelser,      felaktig implementering</w:t>
            </w:r>
          </w:p>
        </w:tc>
      </w:tr>
      <w:tr w:rsidR="00DA55F4" w:rsidRPr="00866391" w:rsidTr="007E2986">
        <w:trPr>
          <w:trHeight w:val="151"/>
        </w:trPr>
        <w:tc>
          <w:tcPr>
            <w:tcW w:w="1346" w:type="dxa"/>
            <w:tcBorders>
              <w:top w:val="nil"/>
              <w:left w:val="single" w:sz="4" w:space="0" w:color="auto"/>
              <w:bottom w:val="single" w:sz="4" w:space="0" w:color="auto"/>
              <w:right w:val="single" w:sz="4" w:space="0" w:color="auto"/>
            </w:tcBorders>
            <w:shd w:val="clear" w:color="auto" w:fill="A6A6A6"/>
          </w:tcPr>
          <w:p w:rsidR="00DA55F4" w:rsidRPr="00D73CF8" w:rsidRDefault="00DA55F4" w:rsidP="007E2986">
            <w:pPr>
              <w:pStyle w:val="ANormal"/>
            </w:pPr>
          </w:p>
        </w:tc>
        <w:tc>
          <w:tcPr>
            <w:tcW w:w="1134" w:type="dxa"/>
            <w:tcBorders>
              <w:top w:val="nil"/>
              <w:left w:val="single" w:sz="4" w:space="0" w:color="auto"/>
              <w:bottom w:val="single" w:sz="4" w:space="0" w:color="auto"/>
              <w:right w:val="nil"/>
            </w:tcBorders>
            <w:shd w:val="clear" w:color="auto" w:fill="A6A6A6"/>
            <w:vAlign w:val="center"/>
          </w:tcPr>
          <w:p w:rsidR="00DA55F4" w:rsidRPr="00D73CF8" w:rsidRDefault="00DA55F4" w:rsidP="007E2986">
            <w:pPr>
              <w:pStyle w:val="ANormal"/>
              <w:jc w:val="center"/>
              <w:rPr>
                <w:b/>
                <w:bCs/>
                <w:sz w:val="20"/>
              </w:rPr>
            </w:pPr>
            <w:r>
              <w:rPr>
                <w:b/>
                <w:bCs/>
                <w:sz w:val="20"/>
              </w:rPr>
              <w:t>2016</w:t>
            </w:r>
          </w:p>
        </w:tc>
        <w:tc>
          <w:tcPr>
            <w:tcW w:w="1418" w:type="dxa"/>
            <w:tcBorders>
              <w:top w:val="nil"/>
              <w:left w:val="nil"/>
              <w:bottom w:val="single" w:sz="4" w:space="0" w:color="auto"/>
              <w:right w:val="single" w:sz="4" w:space="0" w:color="auto"/>
            </w:tcBorders>
            <w:shd w:val="clear" w:color="auto" w:fill="A6A6A6"/>
            <w:vAlign w:val="center"/>
          </w:tcPr>
          <w:p w:rsidR="00DA55F4" w:rsidRPr="00D73CF8" w:rsidRDefault="00DA55F4" w:rsidP="007E2986">
            <w:pPr>
              <w:pStyle w:val="ANormal"/>
              <w:jc w:val="center"/>
              <w:rPr>
                <w:b/>
                <w:bCs/>
                <w:sz w:val="20"/>
              </w:rPr>
            </w:pPr>
            <w:r w:rsidRPr="00D73CF8">
              <w:rPr>
                <w:b/>
                <w:bCs/>
                <w:sz w:val="20"/>
              </w:rPr>
              <w:t>2015</w:t>
            </w:r>
          </w:p>
        </w:tc>
        <w:tc>
          <w:tcPr>
            <w:tcW w:w="1275" w:type="dxa"/>
            <w:tcBorders>
              <w:top w:val="nil"/>
              <w:left w:val="single" w:sz="4" w:space="0" w:color="auto"/>
              <w:bottom w:val="single" w:sz="4" w:space="0" w:color="auto"/>
              <w:right w:val="nil"/>
            </w:tcBorders>
            <w:shd w:val="clear" w:color="auto" w:fill="A6A6A6"/>
            <w:vAlign w:val="center"/>
          </w:tcPr>
          <w:p w:rsidR="00DA55F4" w:rsidRPr="00D73CF8" w:rsidRDefault="00DA55F4" w:rsidP="007E2986">
            <w:pPr>
              <w:pStyle w:val="ANormal"/>
              <w:jc w:val="center"/>
              <w:rPr>
                <w:b/>
                <w:bCs/>
                <w:sz w:val="20"/>
              </w:rPr>
            </w:pPr>
            <w:r>
              <w:rPr>
                <w:b/>
                <w:bCs/>
                <w:sz w:val="20"/>
              </w:rPr>
              <w:t>2016</w:t>
            </w:r>
          </w:p>
        </w:tc>
        <w:tc>
          <w:tcPr>
            <w:tcW w:w="1560" w:type="dxa"/>
            <w:tcBorders>
              <w:top w:val="nil"/>
              <w:left w:val="nil"/>
              <w:bottom w:val="single" w:sz="4" w:space="0" w:color="auto"/>
              <w:right w:val="single" w:sz="4" w:space="0" w:color="auto"/>
            </w:tcBorders>
            <w:shd w:val="clear" w:color="auto" w:fill="A6A6A6"/>
            <w:vAlign w:val="center"/>
          </w:tcPr>
          <w:p w:rsidR="00DA55F4" w:rsidRPr="00D73CF8" w:rsidRDefault="00DA55F4" w:rsidP="007E2986">
            <w:pPr>
              <w:pStyle w:val="ANormal"/>
              <w:jc w:val="center"/>
              <w:rPr>
                <w:b/>
                <w:bCs/>
                <w:sz w:val="20"/>
              </w:rPr>
            </w:pPr>
            <w:r w:rsidRPr="00D73CF8">
              <w:rPr>
                <w:b/>
                <w:bCs/>
                <w:sz w:val="20"/>
              </w:rPr>
              <w:t>2015</w:t>
            </w:r>
          </w:p>
        </w:tc>
      </w:tr>
      <w:tr w:rsidR="00DA55F4" w:rsidRPr="00866391" w:rsidTr="007E2986">
        <w:tc>
          <w:tcPr>
            <w:tcW w:w="1346" w:type="dxa"/>
            <w:tcBorders>
              <w:top w:val="single" w:sz="4" w:space="0" w:color="auto"/>
            </w:tcBorders>
          </w:tcPr>
          <w:p w:rsidR="00DA55F4" w:rsidRPr="00D73CF8" w:rsidRDefault="00DA55F4" w:rsidP="007E2986">
            <w:pPr>
              <w:pStyle w:val="ANormal"/>
              <w:rPr>
                <w:sz w:val="20"/>
              </w:rPr>
            </w:pPr>
            <w:r w:rsidRPr="00D73CF8">
              <w:rPr>
                <w:sz w:val="20"/>
              </w:rPr>
              <w:t xml:space="preserve">Berör </w:t>
            </w:r>
          </w:p>
          <w:p w:rsidR="00DA55F4" w:rsidRPr="00D73CF8" w:rsidRDefault="00DA55F4" w:rsidP="007E2986">
            <w:pPr>
              <w:pStyle w:val="ANormal"/>
              <w:rPr>
                <w:sz w:val="20"/>
              </w:rPr>
            </w:pPr>
            <w:r w:rsidRPr="00D73CF8">
              <w:rPr>
                <w:sz w:val="20"/>
              </w:rPr>
              <w:t>enbart riket</w:t>
            </w:r>
          </w:p>
        </w:tc>
        <w:tc>
          <w:tcPr>
            <w:tcW w:w="1134" w:type="dxa"/>
            <w:tcBorders>
              <w:top w:val="single" w:sz="4" w:space="0" w:color="auto"/>
            </w:tcBorders>
            <w:vAlign w:val="center"/>
          </w:tcPr>
          <w:p w:rsidR="00DA55F4" w:rsidRPr="00EA6A68" w:rsidRDefault="00DA55F4" w:rsidP="007E2986">
            <w:pPr>
              <w:pStyle w:val="ANormal"/>
              <w:jc w:val="center"/>
              <w:rPr>
                <w:sz w:val="20"/>
              </w:rPr>
            </w:pPr>
            <w:r w:rsidRPr="00EA6A68">
              <w:rPr>
                <w:sz w:val="20"/>
              </w:rPr>
              <w:t>19 st</w:t>
            </w:r>
          </w:p>
        </w:tc>
        <w:tc>
          <w:tcPr>
            <w:tcW w:w="1418" w:type="dxa"/>
            <w:tcBorders>
              <w:top w:val="single" w:sz="4" w:space="0" w:color="auto"/>
            </w:tcBorders>
            <w:vAlign w:val="center"/>
          </w:tcPr>
          <w:p w:rsidR="00DA55F4" w:rsidRPr="00EA6A68" w:rsidRDefault="00DA55F4" w:rsidP="007E2986">
            <w:pPr>
              <w:pStyle w:val="ANormal"/>
              <w:jc w:val="center"/>
              <w:rPr>
                <w:sz w:val="20"/>
              </w:rPr>
            </w:pPr>
            <w:r w:rsidRPr="00EA6A68">
              <w:rPr>
                <w:sz w:val="20"/>
              </w:rPr>
              <w:t>11 st</w:t>
            </w:r>
          </w:p>
        </w:tc>
        <w:tc>
          <w:tcPr>
            <w:tcW w:w="1275" w:type="dxa"/>
            <w:tcBorders>
              <w:top w:val="single" w:sz="4" w:space="0" w:color="auto"/>
            </w:tcBorders>
            <w:vAlign w:val="center"/>
          </w:tcPr>
          <w:p w:rsidR="00DA55F4" w:rsidRPr="00EA6A68" w:rsidRDefault="00DA55F4" w:rsidP="007E2986">
            <w:pPr>
              <w:pStyle w:val="ANormal"/>
              <w:jc w:val="center"/>
              <w:rPr>
                <w:sz w:val="20"/>
              </w:rPr>
            </w:pPr>
            <w:r w:rsidRPr="00EA6A68">
              <w:rPr>
                <w:sz w:val="20"/>
              </w:rPr>
              <w:t>1 st</w:t>
            </w:r>
          </w:p>
        </w:tc>
        <w:tc>
          <w:tcPr>
            <w:tcW w:w="1560" w:type="dxa"/>
            <w:tcBorders>
              <w:top w:val="single" w:sz="4" w:space="0" w:color="auto"/>
            </w:tcBorders>
            <w:vAlign w:val="center"/>
          </w:tcPr>
          <w:p w:rsidR="00DA55F4" w:rsidRPr="00EA6A68" w:rsidRDefault="00DA55F4" w:rsidP="007E2986">
            <w:pPr>
              <w:pStyle w:val="ANormal"/>
              <w:jc w:val="center"/>
              <w:rPr>
                <w:sz w:val="20"/>
              </w:rPr>
            </w:pPr>
            <w:r w:rsidRPr="00EA6A68">
              <w:rPr>
                <w:sz w:val="20"/>
              </w:rPr>
              <w:t>4 st</w:t>
            </w:r>
          </w:p>
        </w:tc>
      </w:tr>
      <w:tr w:rsidR="00DA55F4" w:rsidRPr="00866391" w:rsidTr="007E2986">
        <w:trPr>
          <w:trHeight w:val="547"/>
        </w:trPr>
        <w:tc>
          <w:tcPr>
            <w:tcW w:w="1346" w:type="dxa"/>
          </w:tcPr>
          <w:p w:rsidR="00DA55F4" w:rsidRPr="00D73CF8" w:rsidRDefault="00DA55F4" w:rsidP="007E2986">
            <w:pPr>
              <w:pStyle w:val="ANormal"/>
              <w:rPr>
                <w:sz w:val="20"/>
              </w:rPr>
            </w:pPr>
            <w:r w:rsidRPr="00D73CF8">
              <w:rPr>
                <w:sz w:val="20"/>
              </w:rPr>
              <w:t>Berör både landskapet och riket</w:t>
            </w:r>
          </w:p>
        </w:tc>
        <w:tc>
          <w:tcPr>
            <w:tcW w:w="1134" w:type="dxa"/>
            <w:vAlign w:val="center"/>
          </w:tcPr>
          <w:p w:rsidR="00DA55F4" w:rsidRPr="00EA6A68" w:rsidRDefault="00DA55F4" w:rsidP="007E2986">
            <w:pPr>
              <w:pStyle w:val="ANormal"/>
              <w:jc w:val="center"/>
              <w:rPr>
                <w:sz w:val="20"/>
                <w:lang w:val="sv-FI"/>
              </w:rPr>
            </w:pPr>
            <w:r w:rsidRPr="00EA6A68">
              <w:rPr>
                <w:sz w:val="20"/>
                <w:lang w:val="sv-FI"/>
              </w:rPr>
              <w:t>9 st</w:t>
            </w:r>
          </w:p>
        </w:tc>
        <w:tc>
          <w:tcPr>
            <w:tcW w:w="1418" w:type="dxa"/>
            <w:vAlign w:val="center"/>
          </w:tcPr>
          <w:p w:rsidR="00DA55F4" w:rsidRPr="00EA6A68" w:rsidRDefault="00DA55F4" w:rsidP="007E2986">
            <w:pPr>
              <w:pStyle w:val="ANormal"/>
              <w:jc w:val="center"/>
              <w:rPr>
                <w:sz w:val="20"/>
                <w:lang w:val="sv-FI"/>
              </w:rPr>
            </w:pPr>
            <w:r w:rsidRPr="00EA6A68">
              <w:rPr>
                <w:sz w:val="20"/>
                <w:lang w:val="sv-FI"/>
              </w:rPr>
              <w:t>2 st</w:t>
            </w:r>
          </w:p>
        </w:tc>
        <w:tc>
          <w:tcPr>
            <w:tcW w:w="1275" w:type="dxa"/>
            <w:vAlign w:val="center"/>
          </w:tcPr>
          <w:p w:rsidR="00DA55F4" w:rsidRPr="00EA6A68" w:rsidRDefault="00DA55F4" w:rsidP="007E2986">
            <w:pPr>
              <w:pStyle w:val="ANormal"/>
              <w:jc w:val="center"/>
              <w:rPr>
                <w:sz w:val="20"/>
                <w:lang w:val="en-GB"/>
              </w:rPr>
            </w:pPr>
            <w:r w:rsidRPr="00EA6A68">
              <w:rPr>
                <w:sz w:val="20"/>
                <w:lang w:val="en-GB"/>
              </w:rPr>
              <w:t>2 st</w:t>
            </w:r>
          </w:p>
        </w:tc>
        <w:tc>
          <w:tcPr>
            <w:tcW w:w="1560" w:type="dxa"/>
            <w:vAlign w:val="center"/>
          </w:tcPr>
          <w:p w:rsidR="00DA55F4" w:rsidRPr="00EA6A68" w:rsidRDefault="00DA55F4" w:rsidP="007E2986">
            <w:pPr>
              <w:pStyle w:val="ANormal"/>
              <w:jc w:val="center"/>
              <w:rPr>
                <w:sz w:val="20"/>
                <w:lang w:val="en-GB"/>
              </w:rPr>
            </w:pPr>
            <w:r w:rsidRPr="00EA6A68">
              <w:rPr>
                <w:sz w:val="20"/>
                <w:lang w:val="en-GB"/>
              </w:rPr>
              <w:t>1 st</w:t>
            </w:r>
          </w:p>
        </w:tc>
      </w:tr>
      <w:tr w:rsidR="00DA55F4" w:rsidRPr="00866391" w:rsidTr="007E2986">
        <w:tc>
          <w:tcPr>
            <w:tcW w:w="1346" w:type="dxa"/>
          </w:tcPr>
          <w:p w:rsidR="00DA55F4" w:rsidRPr="00D73CF8" w:rsidRDefault="00DA55F4" w:rsidP="007E2986">
            <w:pPr>
              <w:pStyle w:val="ANormal"/>
              <w:rPr>
                <w:sz w:val="20"/>
              </w:rPr>
            </w:pPr>
            <w:r w:rsidRPr="00D73CF8">
              <w:rPr>
                <w:sz w:val="20"/>
              </w:rPr>
              <w:t xml:space="preserve">Berör </w:t>
            </w:r>
          </w:p>
          <w:p w:rsidR="00DA55F4" w:rsidRPr="00D73CF8" w:rsidRDefault="00DA55F4" w:rsidP="007E2986">
            <w:pPr>
              <w:pStyle w:val="ANormal"/>
              <w:rPr>
                <w:sz w:val="20"/>
              </w:rPr>
            </w:pPr>
            <w:r w:rsidRPr="00D73CF8">
              <w:rPr>
                <w:sz w:val="20"/>
              </w:rPr>
              <w:t>enbart lan</w:t>
            </w:r>
            <w:r w:rsidRPr="00D73CF8">
              <w:rPr>
                <w:sz w:val="20"/>
              </w:rPr>
              <w:t>d</w:t>
            </w:r>
            <w:r w:rsidRPr="00D73CF8">
              <w:rPr>
                <w:sz w:val="20"/>
              </w:rPr>
              <w:t>skapet</w:t>
            </w:r>
          </w:p>
        </w:tc>
        <w:tc>
          <w:tcPr>
            <w:tcW w:w="1134" w:type="dxa"/>
            <w:vAlign w:val="center"/>
          </w:tcPr>
          <w:p w:rsidR="00DA55F4" w:rsidRPr="00EA6A68" w:rsidRDefault="00DA55F4" w:rsidP="007E2986">
            <w:pPr>
              <w:pStyle w:val="ANormal"/>
              <w:jc w:val="center"/>
              <w:rPr>
                <w:sz w:val="20"/>
                <w:lang w:val="en-GB"/>
              </w:rPr>
            </w:pPr>
            <w:r w:rsidRPr="00EA6A68">
              <w:rPr>
                <w:sz w:val="20"/>
                <w:lang w:val="en-GB"/>
              </w:rPr>
              <w:t>8 st</w:t>
            </w:r>
          </w:p>
        </w:tc>
        <w:tc>
          <w:tcPr>
            <w:tcW w:w="1418" w:type="dxa"/>
            <w:vAlign w:val="center"/>
          </w:tcPr>
          <w:p w:rsidR="00DA55F4" w:rsidRPr="00EA6A68" w:rsidRDefault="00DA55F4" w:rsidP="007E2986">
            <w:pPr>
              <w:pStyle w:val="ANormal"/>
              <w:jc w:val="center"/>
              <w:rPr>
                <w:sz w:val="20"/>
                <w:lang w:val="en-GB"/>
              </w:rPr>
            </w:pPr>
            <w:r w:rsidRPr="00EA6A68">
              <w:rPr>
                <w:sz w:val="20"/>
                <w:lang w:val="en-GB"/>
              </w:rPr>
              <w:t>4 st</w:t>
            </w:r>
          </w:p>
        </w:tc>
        <w:tc>
          <w:tcPr>
            <w:tcW w:w="1275" w:type="dxa"/>
            <w:vAlign w:val="center"/>
          </w:tcPr>
          <w:p w:rsidR="00DA55F4" w:rsidRPr="00EA6A68" w:rsidRDefault="00DA55F4" w:rsidP="007E2986">
            <w:pPr>
              <w:pStyle w:val="ANormal"/>
              <w:jc w:val="center"/>
              <w:rPr>
                <w:sz w:val="20"/>
                <w:lang w:val="en-GB"/>
              </w:rPr>
            </w:pPr>
            <w:r w:rsidRPr="00EA6A68">
              <w:rPr>
                <w:sz w:val="20"/>
                <w:lang w:val="en-GB"/>
              </w:rPr>
              <w:t>1 st</w:t>
            </w:r>
          </w:p>
        </w:tc>
        <w:tc>
          <w:tcPr>
            <w:tcW w:w="1560" w:type="dxa"/>
            <w:vAlign w:val="center"/>
          </w:tcPr>
          <w:p w:rsidR="00DA55F4" w:rsidRPr="00EA6A68" w:rsidRDefault="00DA55F4" w:rsidP="007E2986">
            <w:pPr>
              <w:pStyle w:val="ANormal"/>
              <w:jc w:val="center"/>
              <w:rPr>
                <w:sz w:val="20"/>
                <w:lang w:val="en-GB"/>
              </w:rPr>
            </w:pPr>
            <w:r w:rsidRPr="00EA6A68">
              <w:rPr>
                <w:sz w:val="20"/>
                <w:lang w:val="en-GB"/>
              </w:rPr>
              <w:t>1 st</w:t>
            </w:r>
          </w:p>
        </w:tc>
      </w:tr>
      <w:tr w:rsidR="00DA55F4" w:rsidRPr="00866391" w:rsidTr="007E440B">
        <w:trPr>
          <w:trHeight w:val="70"/>
        </w:trPr>
        <w:tc>
          <w:tcPr>
            <w:tcW w:w="1346" w:type="dxa"/>
          </w:tcPr>
          <w:p w:rsidR="00DA55F4" w:rsidRPr="00D73CF8" w:rsidRDefault="00DA55F4" w:rsidP="007E2986">
            <w:pPr>
              <w:pStyle w:val="ANormal"/>
              <w:rPr>
                <w:b/>
                <w:bCs/>
                <w:sz w:val="20"/>
                <w:lang w:val="en-GB"/>
              </w:rPr>
            </w:pPr>
            <w:r w:rsidRPr="00D73CF8">
              <w:rPr>
                <w:b/>
                <w:bCs/>
                <w:sz w:val="20"/>
                <w:lang w:val="sv-FI"/>
              </w:rPr>
              <w:t>Totalt</w:t>
            </w:r>
          </w:p>
        </w:tc>
        <w:tc>
          <w:tcPr>
            <w:tcW w:w="1134" w:type="dxa"/>
            <w:vAlign w:val="center"/>
          </w:tcPr>
          <w:p w:rsidR="00DA55F4" w:rsidRPr="00EA6A68" w:rsidRDefault="00DA55F4" w:rsidP="007E2986">
            <w:pPr>
              <w:pStyle w:val="ANormal"/>
              <w:jc w:val="center"/>
              <w:rPr>
                <w:b/>
                <w:bCs/>
                <w:sz w:val="20"/>
                <w:lang w:val="en-GB"/>
              </w:rPr>
            </w:pPr>
            <w:r w:rsidRPr="00EA6A68">
              <w:rPr>
                <w:b/>
                <w:bCs/>
                <w:sz w:val="20"/>
                <w:lang w:val="en-GB"/>
              </w:rPr>
              <w:t>36 st</w:t>
            </w:r>
          </w:p>
        </w:tc>
        <w:tc>
          <w:tcPr>
            <w:tcW w:w="1418" w:type="dxa"/>
            <w:vAlign w:val="center"/>
          </w:tcPr>
          <w:p w:rsidR="00DA55F4" w:rsidRPr="00EA6A68" w:rsidRDefault="00DA55F4" w:rsidP="007E2986">
            <w:pPr>
              <w:pStyle w:val="ANormal"/>
              <w:jc w:val="center"/>
              <w:rPr>
                <w:b/>
                <w:bCs/>
                <w:sz w:val="20"/>
                <w:lang w:val="en-GB"/>
              </w:rPr>
            </w:pPr>
            <w:r w:rsidRPr="00EA6A68">
              <w:rPr>
                <w:b/>
                <w:bCs/>
                <w:sz w:val="20"/>
                <w:lang w:val="en-GB"/>
              </w:rPr>
              <w:t>16 st</w:t>
            </w:r>
          </w:p>
        </w:tc>
        <w:tc>
          <w:tcPr>
            <w:tcW w:w="1275" w:type="dxa"/>
            <w:vAlign w:val="center"/>
          </w:tcPr>
          <w:p w:rsidR="00DA55F4" w:rsidRPr="00EA6A68" w:rsidRDefault="00DA55F4" w:rsidP="007E2986">
            <w:pPr>
              <w:pStyle w:val="ANormal"/>
              <w:jc w:val="center"/>
              <w:rPr>
                <w:b/>
                <w:bCs/>
                <w:sz w:val="20"/>
                <w:lang w:val="en-GB"/>
              </w:rPr>
            </w:pPr>
            <w:r w:rsidRPr="00EA6A68">
              <w:rPr>
                <w:b/>
                <w:bCs/>
                <w:sz w:val="20"/>
                <w:lang w:val="en-GB"/>
              </w:rPr>
              <w:t>4 st</w:t>
            </w:r>
          </w:p>
        </w:tc>
        <w:tc>
          <w:tcPr>
            <w:tcW w:w="1560" w:type="dxa"/>
            <w:vAlign w:val="center"/>
          </w:tcPr>
          <w:p w:rsidR="00DA55F4" w:rsidRPr="00EA6A68" w:rsidRDefault="00DA55F4" w:rsidP="007E2986">
            <w:pPr>
              <w:pStyle w:val="ANormal"/>
              <w:jc w:val="center"/>
              <w:rPr>
                <w:b/>
                <w:bCs/>
                <w:sz w:val="20"/>
                <w:lang w:val="en-GB"/>
              </w:rPr>
            </w:pPr>
            <w:r w:rsidRPr="00EA6A68">
              <w:rPr>
                <w:b/>
                <w:bCs/>
                <w:sz w:val="20"/>
                <w:lang w:val="en-GB"/>
              </w:rPr>
              <w:t>6 st</w:t>
            </w:r>
          </w:p>
        </w:tc>
      </w:tr>
    </w:tbl>
    <w:p w:rsidR="00DA55F4" w:rsidRDefault="00DA55F4" w:rsidP="00DA55F4"/>
    <w:p w:rsidR="00DA55F4" w:rsidRPr="00C8528E" w:rsidRDefault="00DA55F4" w:rsidP="00DA55F4">
      <w:r w:rsidRPr="00C8528E">
        <w:t>Under</w:t>
      </w:r>
      <w:r>
        <w:t xml:space="preserve"> år</w:t>
      </w:r>
      <w:r w:rsidRPr="00C8528E">
        <w:t xml:space="preserve"> 2016 inledde kommissionen 36 formella underrättelser mot Fi</w:t>
      </w:r>
      <w:r w:rsidRPr="00C8528E">
        <w:t>n</w:t>
      </w:r>
      <w:r w:rsidRPr="00C8528E">
        <w:t>land på grund av försenad implementering av direktiv. Av dessa formella underrättelser berodde åtta stycken på att landskapet var försenad med i</w:t>
      </w:r>
      <w:r w:rsidRPr="00C8528E">
        <w:t>m</w:t>
      </w:r>
      <w:r w:rsidRPr="00C8528E">
        <w:t xml:space="preserve">plementeringen, nio stycken på att både landskapet och riket var försenade, och 19 stycken på att riket var försenad med implementeringen. </w:t>
      </w:r>
    </w:p>
    <w:p w:rsidR="00DA55F4" w:rsidRDefault="009437B7" w:rsidP="00DA55F4">
      <w:r>
        <w:tab/>
      </w:r>
      <w:r w:rsidR="00DA55F4" w:rsidRPr="00C8528E">
        <w:t>Fyra formella underrättelser inleddes mot Finland på grund av felaktig implementering av direktiv. Av dessa berodde en formell underrättelse på felaktigt införlivande av Finland</w:t>
      </w:r>
      <w:r w:rsidR="00DA55F4">
        <w:t xml:space="preserve"> (trafik)</w:t>
      </w:r>
      <w:r w:rsidR="00DA55F4" w:rsidRPr="00C8528E">
        <w:t>, en på felaktigt införlivande av landskapet</w:t>
      </w:r>
      <w:r w:rsidR="00DA55F4">
        <w:t xml:space="preserve"> (miljö)</w:t>
      </w:r>
      <w:r w:rsidR="00DA55F4" w:rsidRPr="00C8528E">
        <w:t xml:space="preserve"> och i två </w:t>
      </w:r>
      <w:r w:rsidR="00DA55F4">
        <w:t xml:space="preserve">fall </w:t>
      </w:r>
      <w:r w:rsidR="00DA55F4" w:rsidRPr="00C8528E">
        <w:t>framförde kommissionen invändningar mot såväl rikets som landskapets implementering</w:t>
      </w:r>
      <w:r w:rsidR="00DA55F4">
        <w:t xml:space="preserve"> (miljö och energi)</w:t>
      </w:r>
      <w:r w:rsidR="00DA55F4" w:rsidRPr="00C8528E">
        <w:t>.</w:t>
      </w:r>
    </w:p>
    <w:p w:rsidR="00DA55F4" w:rsidRPr="00621BE5" w:rsidRDefault="009437B7" w:rsidP="00DA55F4">
      <w:r>
        <w:tab/>
      </w:r>
      <w:r w:rsidR="00DA55F4" w:rsidRPr="00621BE5">
        <w:t>Orsaken till att landskapsregeringen inte genomför direktiv inom utsatt tidsfrist varierar, men begränsade resurser och tillämpningen av blanket</w:t>
      </w:r>
      <w:r w:rsidR="00DA55F4" w:rsidRPr="00621BE5">
        <w:t>t</w:t>
      </w:r>
      <w:r w:rsidR="00DA55F4" w:rsidRPr="00621BE5">
        <w:t>lagstiftning inom vissa ämnesområden är två av huvudorsakerna. Då lan</w:t>
      </w:r>
      <w:r w:rsidR="00DA55F4" w:rsidRPr="00621BE5">
        <w:t>d</w:t>
      </w:r>
      <w:r w:rsidR="00DA55F4" w:rsidRPr="00621BE5">
        <w:t>skapsregeringen inväntar rikets implementering av ett direktiv innan lan</w:t>
      </w:r>
      <w:r w:rsidR="00DA55F4" w:rsidRPr="00621BE5">
        <w:t>d</w:t>
      </w:r>
      <w:r w:rsidR="00DA55F4" w:rsidRPr="00621BE5">
        <w:t xml:space="preserve">skapslagstiftningen utformas slutligt fördröjs </w:t>
      </w:r>
      <w:r w:rsidR="00DA55F4">
        <w:t xml:space="preserve">ofta </w:t>
      </w:r>
      <w:r w:rsidR="00DA55F4" w:rsidRPr="00621BE5">
        <w:t>genomförandet i lan</w:t>
      </w:r>
      <w:r w:rsidR="00DA55F4" w:rsidRPr="00621BE5">
        <w:t>d</w:t>
      </w:r>
      <w:r w:rsidR="00DA55F4" w:rsidRPr="00621BE5">
        <w:t>skapet.</w:t>
      </w:r>
      <w:r w:rsidR="00DA55F4">
        <w:t xml:space="preserve"> </w:t>
      </w:r>
      <w:r w:rsidR="00DA55F4" w:rsidRPr="00621BE5">
        <w:t xml:space="preserve">En bidragande orsak till försenad notifiering är </w:t>
      </w:r>
      <w:r w:rsidR="00DA55F4">
        <w:t xml:space="preserve">därutöver </w:t>
      </w:r>
      <w:r w:rsidR="00DA55F4" w:rsidRPr="00621BE5">
        <w:t>att vissa områden inom landskapets lagstiftningsbehörighet är föremål för ett större antal EU-direktiv, och belastas således mer av genomförandet av d</w:t>
      </w:r>
      <w:r w:rsidR="00DA55F4">
        <w:t>irekt</w:t>
      </w:r>
      <w:r w:rsidR="00DA55F4">
        <w:t>i</w:t>
      </w:r>
      <w:r w:rsidR="00DA55F4">
        <w:t>ven</w:t>
      </w:r>
      <w:r w:rsidR="00DA55F4" w:rsidRPr="00621BE5">
        <w:t>. Sådana områden är framför allt energi, miljö och trafik.</w:t>
      </w:r>
    </w:p>
    <w:p w:rsidR="00DA55F4" w:rsidRDefault="009437B7" w:rsidP="00DA55F4">
      <w:r>
        <w:tab/>
      </w:r>
      <w:r w:rsidR="00DA55F4">
        <w:t>Av de 17 stycken formella underrättelser som rörde landskapets förs</w:t>
      </w:r>
      <w:r w:rsidR="00DA55F4">
        <w:t>e</w:t>
      </w:r>
      <w:r w:rsidR="00DA55F4">
        <w:t>nade implementering av direktiv fördelade sig ämnesområdena enligt fö</w:t>
      </w:r>
      <w:r w:rsidR="00DA55F4">
        <w:t>l</w:t>
      </w:r>
      <w:r w:rsidR="00DA55F4">
        <w:t>jande:</w:t>
      </w:r>
    </w:p>
    <w:p w:rsidR="00DA55F4" w:rsidRDefault="00DA55F4" w:rsidP="00DA55F4"/>
    <w:p w:rsidR="00DA55F4" w:rsidRDefault="00DA55F4" w:rsidP="00DA55F4">
      <w:r w:rsidRPr="005865AF">
        <w:rPr>
          <w:b/>
        </w:rPr>
        <w:t xml:space="preserve">Tabell </w:t>
      </w:r>
      <w:r>
        <w:rPr>
          <w:b/>
        </w:rPr>
        <w:t>10</w:t>
      </w:r>
      <w:r w:rsidRPr="005865AF">
        <w:rPr>
          <w:b/>
        </w:rPr>
        <w:t xml:space="preserve">. Fördelning områdesvis av </w:t>
      </w:r>
      <w:r>
        <w:rPr>
          <w:b/>
        </w:rPr>
        <w:t xml:space="preserve">försenade </w:t>
      </w:r>
      <w:r w:rsidRPr="005865AF">
        <w:rPr>
          <w:b/>
        </w:rPr>
        <w:t>notifieringar inom landskapets behörighet 2016</w:t>
      </w:r>
    </w:p>
    <w:p w:rsidR="00DA55F4" w:rsidRDefault="00DA55F4" w:rsidP="00DA55F4"/>
    <w:tbl>
      <w:tblPr>
        <w:tblW w:w="666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4"/>
        <w:gridCol w:w="3119"/>
      </w:tblGrid>
      <w:tr w:rsidR="00DA55F4" w:rsidRPr="005865AF" w:rsidTr="007E2986">
        <w:tc>
          <w:tcPr>
            <w:tcW w:w="3544" w:type="dxa"/>
            <w:tcBorders>
              <w:top w:val="single" w:sz="4" w:space="0" w:color="auto"/>
            </w:tcBorders>
            <w:shd w:val="clear" w:color="auto" w:fill="A6A6A6"/>
          </w:tcPr>
          <w:p w:rsidR="00DA55F4" w:rsidRPr="005865AF" w:rsidRDefault="00DA55F4" w:rsidP="007E2986">
            <w:pPr>
              <w:rPr>
                <w:b/>
                <w:bCs/>
              </w:rPr>
            </w:pPr>
            <w:r w:rsidRPr="005865AF">
              <w:rPr>
                <w:b/>
                <w:bCs/>
              </w:rPr>
              <w:t>Område</w:t>
            </w:r>
          </w:p>
        </w:tc>
        <w:tc>
          <w:tcPr>
            <w:tcW w:w="3119" w:type="dxa"/>
            <w:tcBorders>
              <w:top w:val="single" w:sz="4" w:space="0" w:color="auto"/>
            </w:tcBorders>
            <w:shd w:val="clear" w:color="auto" w:fill="A6A6A6"/>
            <w:vAlign w:val="center"/>
          </w:tcPr>
          <w:p w:rsidR="00DA55F4" w:rsidRPr="005865AF" w:rsidRDefault="00DA55F4" w:rsidP="007E2986">
            <w:pPr>
              <w:jc w:val="center"/>
              <w:rPr>
                <w:b/>
                <w:bCs/>
              </w:rPr>
            </w:pPr>
          </w:p>
        </w:tc>
      </w:tr>
      <w:tr w:rsidR="00DA55F4" w:rsidRPr="005865AF" w:rsidTr="007E2986">
        <w:tc>
          <w:tcPr>
            <w:tcW w:w="3544" w:type="dxa"/>
          </w:tcPr>
          <w:p w:rsidR="00DA55F4" w:rsidRPr="005865AF" w:rsidRDefault="00DA55F4" w:rsidP="007E2986">
            <w:pPr>
              <w:rPr>
                <w:lang w:val="sv-FI"/>
              </w:rPr>
            </w:pPr>
            <w:r w:rsidRPr="005865AF">
              <w:rPr>
                <w:lang w:val="sv-FI"/>
              </w:rPr>
              <w:t>Energi</w:t>
            </w:r>
          </w:p>
        </w:tc>
        <w:tc>
          <w:tcPr>
            <w:tcW w:w="3119" w:type="dxa"/>
            <w:vAlign w:val="center"/>
          </w:tcPr>
          <w:p w:rsidR="00DA55F4" w:rsidRPr="005865AF" w:rsidRDefault="00DA55F4" w:rsidP="007E2986">
            <w:pPr>
              <w:jc w:val="center"/>
              <w:rPr>
                <w:lang w:val="en-GB"/>
              </w:rPr>
            </w:pPr>
            <w:r>
              <w:rPr>
                <w:lang w:val="en-GB"/>
              </w:rPr>
              <w:t>4 st</w:t>
            </w:r>
          </w:p>
        </w:tc>
      </w:tr>
      <w:tr w:rsidR="00DA55F4" w:rsidRPr="005865AF" w:rsidTr="007E2986">
        <w:tc>
          <w:tcPr>
            <w:tcW w:w="3544" w:type="dxa"/>
          </w:tcPr>
          <w:p w:rsidR="00DA55F4" w:rsidRPr="005865AF" w:rsidRDefault="00DA55F4" w:rsidP="007E2986">
            <w:pPr>
              <w:rPr>
                <w:lang w:val="sv-FI"/>
              </w:rPr>
            </w:pPr>
            <w:r>
              <w:rPr>
                <w:lang w:val="sv-FI"/>
              </w:rPr>
              <w:t>Explosiva varor</w:t>
            </w:r>
          </w:p>
        </w:tc>
        <w:tc>
          <w:tcPr>
            <w:tcW w:w="3119" w:type="dxa"/>
            <w:vAlign w:val="center"/>
          </w:tcPr>
          <w:p w:rsidR="00DA55F4" w:rsidRDefault="00DA55F4" w:rsidP="007E2986">
            <w:pPr>
              <w:jc w:val="center"/>
              <w:rPr>
                <w:lang w:val="en-GB"/>
              </w:rPr>
            </w:pPr>
            <w:r>
              <w:rPr>
                <w:lang w:val="en-GB"/>
              </w:rPr>
              <w:t>1 st</w:t>
            </w:r>
          </w:p>
        </w:tc>
      </w:tr>
      <w:tr w:rsidR="00DA55F4" w:rsidRPr="005865AF" w:rsidTr="007E2986">
        <w:tc>
          <w:tcPr>
            <w:tcW w:w="3544" w:type="dxa"/>
          </w:tcPr>
          <w:p w:rsidR="00DA55F4" w:rsidRPr="005865AF" w:rsidRDefault="00DA55F4" w:rsidP="007E2986">
            <w:pPr>
              <w:rPr>
                <w:lang w:val="sv-FI"/>
              </w:rPr>
            </w:pPr>
            <w:r w:rsidRPr="005865AF">
              <w:rPr>
                <w:lang w:val="sv-FI"/>
              </w:rPr>
              <w:t>Hälso- och sjukvård</w:t>
            </w:r>
          </w:p>
        </w:tc>
        <w:tc>
          <w:tcPr>
            <w:tcW w:w="3119" w:type="dxa"/>
            <w:vAlign w:val="center"/>
          </w:tcPr>
          <w:p w:rsidR="00DA55F4" w:rsidRPr="005865AF" w:rsidRDefault="00DA55F4" w:rsidP="007E2986">
            <w:pPr>
              <w:jc w:val="center"/>
              <w:rPr>
                <w:lang w:val="en-GB"/>
              </w:rPr>
            </w:pPr>
            <w:r>
              <w:rPr>
                <w:lang w:val="en-GB"/>
              </w:rPr>
              <w:t>2 st</w:t>
            </w:r>
          </w:p>
        </w:tc>
      </w:tr>
      <w:tr w:rsidR="00DA55F4" w:rsidRPr="005865AF" w:rsidTr="007E2986">
        <w:tc>
          <w:tcPr>
            <w:tcW w:w="3544" w:type="dxa"/>
          </w:tcPr>
          <w:p w:rsidR="00DA55F4" w:rsidRPr="005865AF" w:rsidRDefault="00DA55F4" w:rsidP="007E2986">
            <w:pPr>
              <w:rPr>
                <w:bCs/>
                <w:lang w:val="sv-FI"/>
              </w:rPr>
            </w:pPr>
            <w:r>
              <w:rPr>
                <w:bCs/>
                <w:lang w:val="sv-FI"/>
              </w:rPr>
              <w:t>Kulturföremål</w:t>
            </w:r>
          </w:p>
        </w:tc>
        <w:tc>
          <w:tcPr>
            <w:tcW w:w="3119" w:type="dxa"/>
            <w:vAlign w:val="center"/>
          </w:tcPr>
          <w:p w:rsidR="00DA55F4" w:rsidRPr="005865AF" w:rsidRDefault="00DA55F4" w:rsidP="007E2986">
            <w:pPr>
              <w:jc w:val="center"/>
              <w:rPr>
                <w:lang w:val="sv-FI"/>
              </w:rPr>
            </w:pPr>
            <w:r>
              <w:rPr>
                <w:lang w:val="sv-FI"/>
              </w:rPr>
              <w:t>1 st</w:t>
            </w:r>
          </w:p>
        </w:tc>
      </w:tr>
      <w:tr w:rsidR="00DA55F4" w:rsidRPr="005865AF" w:rsidTr="007E2986">
        <w:tc>
          <w:tcPr>
            <w:tcW w:w="3544" w:type="dxa"/>
          </w:tcPr>
          <w:p w:rsidR="00DA55F4" w:rsidRPr="005865AF" w:rsidRDefault="00DA55F4" w:rsidP="007E2986">
            <w:pPr>
              <w:rPr>
                <w:lang w:val="sv-FI"/>
              </w:rPr>
            </w:pPr>
            <w:r w:rsidRPr="005865AF">
              <w:rPr>
                <w:lang w:val="sv-FI"/>
              </w:rPr>
              <w:t>Offentlig upphandling</w:t>
            </w:r>
          </w:p>
        </w:tc>
        <w:tc>
          <w:tcPr>
            <w:tcW w:w="3119" w:type="dxa"/>
            <w:vAlign w:val="center"/>
          </w:tcPr>
          <w:p w:rsidR="00DA55F4" w:rsidRPr="005865AF" w:rsidRDefault="00DA55F4" w:rsidP="007E2986">
            <w:pPr>
              <w:jc w:val="center"/>
            </w:pPr>
            <w:r>
              <w:t>3 st</w:t>
            </w:r>
          </w:p>
        </w:tc>
      </w:tr>
      <w:tr w:rsidR="00DA55F4" w:rsidRPr="005865AF" w:rsidTr="007E2986">
        <w:tc>
          <w:tcPr>
            <w:tcW w:w="3544" w:type="dxa"/>
          </w:tcPr>
          <w:p w:rsidR="00DA55F4" w:rsidRPr="005865AF" w:rsidRDefault="00DA55F4" w:rsidP="007E2986">
            <w:pPr>
              <w:rPr>
                <w:lang w:val="sv-FI"/>
              </w:rPr>
            </w:pPr>
            <w:r w:rsidRPr="005865AF">
              <w:rPr>
                <w:lang w:val="sv-FI"/>
              </w:rPr>
              <w:t>Trafik</w:t>
            </w:r>
          </w:p>
        </w:tc>
        <w:tc>
          <w:tcPr>
            <w:tcW w:w="3119" w:type="dxa"/>
            <w:vAlign w:val="center"/>
          </w:tcPr>
          <w:p w:rsidR="00DA55F4" w:rsidRPr="005865AF" w:rsidRDefault="00DA55F4" w:rsidP="007E2986">
            <w:pPr>
              <w:jc w:val="center"/>
              <w:rPr>
                <w:lang w:val="en-GB"/>
              </w:rPr>
            </w:pPr>
            <w:r>
              <w:rPr>
                <w:lang w:val="en-GB"/>
              </w:rPr>
              <w:t>2 st</w:t>
            </w:r>
          </w:p>
        </w:tc>
      </w:tr>
      <w:tr w:rsidR="00DA55F4" w:rsidRPr="005865AF" w:rsidTr="007E2986">
        <w:tc>
          <w:tcPr>
            <w:tcW w:w="3544" w:type="dxa"/>
          </w:tcPr>
          <w:p w:rsidR="00DA55F4" w:rsidRPr="005865AF" w:rsidRDefault="002935A6" w:rsidP="007E2986">
            <w:pPr>
              <w:rPr>
                <w:lang w:val="sv-FI"/>
              </w:rPr>
            </w:pPr>
            <w:r>
              <w:rPr>
                <w:lang w:val="sv-FI"/>
              </w:rPr>
              <w:t>Miljö</w:t>
            </w:r>
          </w:p>
        </w:tc>
        <w:tc>
          <w:tcPr>
            <w:tcW w:w="3119" w:type="dxa"/>
            <w:vAlign w:val="center"/>
          </w:tcPr>
          <w:p w:rsidR="00DA55F4" w:rsidRPr="005865AF" w:rsidRDefault="002935A6" w:rsidP="007E2986">
            <w:pPr>
              <w:jc w:val="center"/>
              <w:rPr>
                <w:lang w:val="en-GB"/>
              </w:rPr>
            </w:pPr>
            <w:r>
              <w:rPr>
                <w:lang w:val="en-GB"/>
              </w:rPr>
              <w:t>3</w:t>
            </w:r>
            <w:r w:rsidR="00DA55F4">
              <w:rPr>
                <w:lang w:val="en-GB"/>
              </w:rPr>
              <w:t xml:space="preserve"> st</w:t>
            </w:r>
          </w:p>
        </w:tc>
      </w:tr>
      <w:tr w:rsidR="00DA55F4" w:rsidRPr="005865AF" w:rsidTr="007E2986">
        <w:tc>
          <w:tcPr>
            <w:tcW w:w="3544" w:type="dxa"/>
          </w:tcPr>
          <w:p w:rsidR="00DA55F4" w:rsidRPr="005865AF" w:rsidRDefault="00DA55F4" w:rsidP="007E2986">
            <w:pPr>
              <w:rPr>
                <w:lang w:val="sv-FI"/>
              </w:rPr>
            </w:pPr>
            <w:r w:rsidRPr="005865AF">
              <w:rPr>
                <w:lang w:val="sv-FI"/>
              </w:rPr>
              <w:t>Yrkeskvalifikationer</w:t>
            </w:r>
          </w:p>
        </w:tc>
        <w:tc>
          <w:tcPr>
            <w:tcW w:w="3119" w:type="dxa"/>
            <w:vAlign w:val="center"/>
          </w:tcPr>
          <w:p w:rsidR="00DA55F4" w:rsidRPr="005865AF" w:rsidRDefault="00DA55F4" w:rsidP="007E2986">
            <w:pPr>
              <w:jc w:val="center"/>
              <w:rPr>
                <w:lang w:val="sv-FI"/>
              </w:rPr>
            </w:pPr>
            <w:r>
              <w:rPr>
                <w:lang w:val="sv-FI"/>
              </w:rPr>
              <w:t>1 st</w:t>
            </w:r>
          </w:p>
        </w:tc>
      </w:tr>
      <w:tr w:rsidR="00DA55F4" w:rsidRPr="005865AF" w:rsidTr="007E2986">
        <w:tc>
          <w:tcPr>
            <w:tcW w:w="3544" w:type="dxa"/>
          </w:tcPr>
          <w:p w:rsidR="00DA55F4" w:rsidRPr="005865AF" w:rsidRDefault="00DA55F4" w:rsidP="007E2986">
            <w:pPr>
              <w:rPr>
                <w:b/>
                <w:bCs/>
              </w:rPr>
            </w:pPr>
            <w:r w:rsidRPr="005865AF">
              <w:rPr>
                <w:b/>
                <w:bCs/>
              </w:rPr>
              <w:t>Totalt</w:t>
            </w:r>
          </w:p>
        </w:tc>
        <w:tc>
          <w:tcPr>
            <w:tcW w:w="3119" w:type="dxa"/>
            <w:vAlign w:val="center"/>
          </w:tcPr>
          <w:p w:rsidR="00DA55F4" w:rsidRPr="005865AF" w:rsidRDefault="00DA55F4" w:rsidP="007E2986">
            <w:pPr>
              <w:jc w:val="center"/>
              <w:rPr>
                <w:b/>
                <w:bCs/>
              </w:rPr>
            </w:pPr>
            <w:r>
              <w:rPr>
                <w:b/>
                <w:bCs/>
              </w:rPr>
              <w:t xml:space="preserve">17 st </w:t>
            </w:r>
          </w:p>
        </w:tc>
      </w:tr>
    </w:tbl>
    <w:p w:rsidR="00DA55F4" w:rsidRDefault="00DA55F4" w:rsidP="00DA55F4"/>
    <w:p w:rsidR="00DA55F4" w:rsidRPr="002935A6" w:rsidRDefault="00DA55F4" w:rsidP="00DA55F4">
      <w:pPr>
        <w:rPr>
          <w:sz w:val="14"/>
        </w:rPr>
      </w:pPr>
    </w:p>
    <w:p w:rsidR="00DA55F4" w:rsidRPr="009022F3" w:rsidRDefault="00DA55F4" w:rsidP="00DA55F4">
      <w:pPr>
        <w:rPr>
          <w:b/>
        </w:rPr>
      </w:pPr>
      <w:r w:rsidRPr="009022F3">
        <w:rPr>
          <w:b/>
        </w:rPr>
        <w:t xml:space="preserve">Tabell </w:t>
      </w:r>
      <w:r>
        <w:rPr>
          <w:b/>
        </w:rPr>
        <w:t>11:</w:t>
      </w:r>
      <w:r w:rsidRPr="009022F3">
        <w:rPr>
          <w:b/>
        </w:rPr>
        <w:t xml:space="preserve"> </w:t>
      </w:r>
      <w:r>
        <w:rPr>
          <w:b/>
        </w:rPr>
        <w:t>Motiverade yttranden och talan i EU-domstolen</w:t>
      </w:r>
      <w:r w:rsidRPr="009022F3">
        <w:rPr>
          <w:b/>
        </w:rPr>
        <w:t xml:space="preserve"> 2016</w:t>
      </w:r>
    </w:p>
    <w:p w:rsidR="00DA55F4" w:rsidRPr="002935A6" w:rsidRDefault="00DA55F4" w:rsidP="00DA55F4">
      <w:pPr>
        <w:rPr>
          <w:sz w:val="14"/>
        </w:rPr>
      </w:pPr>
    </w:p>
    <w:tbl>
      <w:tblPr>
        <w:tblpPr w:leftFromText="141" w:rightFromText="141" w:vertAnchor="text" w:horzAnchor="margin" w:tblpX="68" w:tblpY="130"/>
        <w:tblW w:w="6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1134"/>
        <w:gridCol w:w="1418"/>
        <w:gridCol w:w="1275"/>
        <w:gridCol w:w="1560"/>
      </w:tblGrid>
      <w:tr w:rsidR="00DA55F4" w:rsidRPr="00C8528E" w:rsidTr="007E2986">
        <w:trPr>
          <w:cantSplit/>
        </w:trPr>
        <w:tc>
          <w:tcPr>
            <w:tcW w:w="1346" w:type="dxa"/>
            <w:tcBorders>
              <w:top w:val="single" w:sz="4" w:space="0" w:color="auto"/>
              <w:left w:val="single" w:sz="4" w:space="0" w:color="auto"/>
              <w:bottom w:val="nil"/>
              <w:right w:val="single" w:sz="4" w:space="0" w:color="auto"/>
            </w:tcBorders>
            <w:shd w:val="clear" w:color="auto" w:fill="A6A6A6"/>
          </w:tcPr>
          <w:p w:rsidR="00DA55F4" w:rsidRPr="00C8528E" w:rsidRDefault="00DA55F4" w:rsidP="007E2986"/>
        </w:tc>
        <w:tc>
          <w:tcPr>
            <w:tcW w:w="2552" w:type="dxa"/>
            <w:gridSpan w:val="2"/>
            <w:tcBorders>
              <w:top w:val="single" w:sz="4" w:space="0" w:color="auto"/>
              <w:left w:val="single" w:sz="4" w:space="0" w:color="auto"/>
              <w:bottom w:val="nil"/>
              <w:right w:val="single" w:sz="4" w:space="0" w:color="auto"/>
            </w:tcBorders>
            <w:shd w:val="clear" w:color="auto" w:fill="A6A6A6"/>
            <w:vAlign w:val="center"/>
          </w:tcPr>
          <w:p w:rsidR="00DA55F4" w:rsidRPr="00C8528E" w:rsidRDefault="00DA55F4" w:rsidP="007E2986">
            <w:pPr>
              <w:jc w:val="center"/>
              <w:rPr>
                <w:b/>
                <w:bCs/>
              </w:rPr>
            </w:pPr>
            <w:r w:rsidRPr="00C8528E">
              <w:rPr>
                <w:b/>
                <w:bCs/>
              </w:rPr>
              <w:t>Motiverade yttranden</w:t>
            </w:r>
          </w:p>
        </w:tc>
        <w:tc>
          <w:tcPr>
            <w:tcW w:w="2835" w:type="dxa"/>
            <w:gridSpan w:val="2"/>
            <w:tcBorders>
              <w:top w:val="single" w:sz="4" w:space="0" w:color="auto"/>
              <w:left w:val="single" w:sz="4" w:space="0" w:color="auto"/>
              <w:bottom w:val="nil"/>
              <w:right w:val="single" w:sz="4" w:space="0" w:color="auto"/>
            </w:tcBorders>
            <w:shd w:val="clear" w:color="auto" w:fill="A6A6A6"/>
            <w:vAlign w:val="center"/>
          </w:tcPr>
          <w:p w:rsidR="00DA55F4" w:rsidRPr="00C8528E" w:rsidRDefault="00DA55F4" w:rsidP="007E2986">
            <w:pPr>
              <w:jc w:val="center"/>
              <w:rPr>
                <w:b/>
                <w:bCs/>
              </w:rPr>
            </w:pPr>
            <w:r w:rsidRPr="00C8528E">
              <w:rPr>
                <w:b/>
                <w:bCs/>
              </w:rPr>
              <w:t>Talan i EU-domstolen</w:t>
            </w:r>
          </w:p>
        </w:tc>
      </w:tr>
      <w:tr w:rsidR="00DA55F4" w:rsidRPr="00C8528E" w:rsidTr="007E2986">
        <w:trPr>
          <w:trHeight w:val="151"/>
        </w:trPr>
        <w:tc>
          <w:tcPr>
            <w:tcW w:w="1346" w:type="dxa"/>
            <w:tcBorders>
              <w:top w:val="nil"/>
              <w:left w:val="single" w:sz="4" w:space="0" w:color="auto"/>
              <w:bottom w:val="single" w:sz="4" w:space="0" w:color="auto"/>
              <w:right w:val="single" w:sz="4" w:space="0" w:color="auto"/>
            </w:tcBorders>
            <w:shd w:val="clear" w:color="auto" w:fill="A6A6A6"/>
          </w:tcPr>
          <w:p w:rsidR="00DA55F4" w:rsidRPr="00C8528E" w:rsidRDefault="00DA55F4" w:rsidP="007E2986"/>
        </w:tc>
        <w:tc>
          <w:tcPr>
            <w:tcW w:w="1134" w:type="dxa"/>
            <w:tcBorders>
              <w:top w:val="nil"/>
              <w:left w:val="single" w:sz="4" w:space="0" w:color="auto"/>
              <w:bottom w:val="single" w:sz="4" w:space="0" w:color="auto"/>
              <w:right w:val="nil"/>
            </w:tcBorders>
            <w:shd w:val="clear" w:color="auto" w:fill="A6A6A6"/>
            <w:vAlign w:val="center"/>
          </w:tcPr>
          <w:p w:rsidR="00DA55F4" w:rsidRPr="00C8528E" w:rsidRDefault="00DA55F4" w:rsidP="007E2986">
            <w:pPr>
              <w:jc w:val="center"/>
              <w:rPr>
                <w:b/>
                <w:bCs/>
              </w:rPr>
            </w:pPr>
            <w:r>
              <w:rPr>
                <w:b/>
                <w:bCs/>
              </w:rPr>
              <w:t>2016</w:t>
            </w:r>
          </w:p>
        </w:tc>
        <w:tc>
          <w:tcPr>
            <w:tcW w:w="1418" w:type="dxa"/>
            <w:tcBorders>
              <w:top w:val="nil"/>
              <w:left w:val="nil"/>
              <w:bottom w:val="single" w:sz="4" w:space="0" w:color="auto"/>
              <w:right w:val="single" w:sz="4" w:space="0" w:color="auto"/>
            </w:tcBorders>
            <w:shd w:val="clear" w:color="auto" w:fill="A6A6A6"/>
            <w:vAlign w:val="center"/>
          </w:tcPr>
          <w:p w:rsidR="00DA55F4" w:rsidRPr="00C8528E" w:rsidRDefault="00DA55F4" w:rsidP="007E2986">
            <w:pPr>
              <w:jc w:val="center"/>
              <w:rPr>
                <w:b/>
                <w:bCs/>
              </w:rPr>
            </w:pPr>
            <w:r w:rsidRPr="00C8528E">
              <w:rPr>
                <w:b/>
                <w:bCs/>
              </w:rPr>
              <w:t>2015</w:t>
            </w:r>
          </w:p>
        </w:tc>
        <w:tc>
          <w:tcPr>
            <w:tcW w:w="1275" w:type="dxa"/>
            <w:tcBorders>
              <w:top w:val="nil"/>
              <w:left w:val="single" w:sz="4" w:space="0" w:color="auto"/>
              <w:bottom w:val="single" w:sz="4" w:space="0" w:color="auto"/>
              <w:right w:val="nil"/>
            </w:tcBorders>
            <w:shd w:val="clear" w:color="auto" w:fill="A6A6A6"/>
            <w:vAlign w:val="center"/>
          </w:tcPr>
          <w:p w:rsidR="00DA55F4" w:rsidRPr="00C8528E" w:rsidRDefault="00DA55F4" w:rsidP="007E2986">
            <w:pPr>
              <w:jc w:val="center"/>
              <w:rPr>
                <w:b/>
                <w:bCs/>
              </w:rPr>
            </w:pPr>
            <w:r>
              <w:rPr>
                <w:b/>
                <w:bCs/>
              </w:rPr>
              <w:t>2016</w:t>
            </w:r>
          </w:p>
        </w:tc>
        <w:tc>
          <w:tcPr>
            <w:tcW w:w="1560" w:type="dxa"/>
            <w:tcBorders>
              <w:top w:val="nil"/>
              <w:left w:val="nil"/>
              <w:bottom w:val="single" w:sz="4" w:space="0" w:color="auto"/>
              <w:right w:val="single" w:sz="4" w:space="0" w:color="auto"/>
            </w:tcBorders>
            <w:shd w:val="clear" w:color="auto" w:fill="A6A6A6"/>
            <w:vAlign w:val="center"/>
          </w:tcPr>
          <w:p w:rsidR="00DA55F4" w:rsidRPr="00C8528E" w:rsidRDefault="00DA55F4" w:rsidP="007E2986">
            <w:pPr>
              <w:jc w:val="center"/>
              <w:rPr>
                <w:b/>
                <w:bCs/>
              </w:rPr>
            </w:pPr>
            <w:r w:rsidRPr="00C8528E">
              <w:rPr>
                <w:b/>
                <w:bCs/>
              </w:rPr>
              <w:t>2015</w:t>
            </w:r>
          </w:p>
        </w:tc>
      </w:tr>
      <w:tr w:rsidR="00DA55F4" w:rsidRPr="00C8528E" w:rsidTr="007E2986">
        <w:tc>
          <w:tcPr>
            <w:tcW w:w="1346" w:type="dxa"/>
            <w:tcBorders>
              <w:top w:val="single" w:sz="4" w:space="0" w:color="auto"/>
            </w:tcBorders>
          </w:tcPr>
          <w:p w:rsidR="00DA55F4" w:rsidRPr="00C8528E" w:rsidRDefault="00DA55F4" w:rsidP="007E2986">
            <w:r w:rsidRPr="00C8528E">
              <w:t xml:space="preserve">Berör </w:t>
            </w:r>
          </w:p>
          <w:p w:rsidR="00DA55F4" w:rsidRPr="00C8528E" w:rsidRDefault="00DA55F4" w:rsidP="007E2986">
            <w:r w:rsidRPr="00C8528E">
              <w:t>enbart riket</w:t>
            </w:r>
          </w:p>
        </w:tc>
        <w:tc>
          <w:tcPr>
            <w:tcW w:w="1134" w:type="dxa"/>
            <w:tcBorders>
              <w:top w:val="single" w:sz="4" w:space="0" w:color="auto"/>
            </w:tcBorders>
            <w:vAlign w:val="center"/>
          </w:tcPr>
          <w:p w:rsidR="00DA55F4" w:rsidRPr="00C8528E" w:rsidRDefault="00DA55F4" w:rsidP="007E2986">
            <w:pPr>
              <w:jc w:val="center"/>
            </w:pPr>
            <w:r w:rsidRPr="00C8528E">
              <w:t>8 st</w:t>
            </w:r>
          </w:p>
        </w:tc>
        <w:tc>
          <w:tcPr>
            <w:tcW w:w="1418" w:type="dxa"/>
            <w:tcBorders>
              <w:top w:val="single" w:sz="4" w:space="0" w:color="auto"/>
            </w:tcBorders>
            <w:vAlign w:val="center"/>
          </w:tcPr>
          <w:p w:rsidR="00DA55F4" w:rsidRPr="00C8528E" w:rsidRDefault="00DA55F4" w:rsidP="007E2986">
            <w:pPr>
              <w:jc w:val="center"/>
            </w:pPr>
            <w:r w:rsidRPr="00C8528E">
              <w:t>4 st</w:t>
            </w:r>
          </w:p>
        </w:tc>
        <w:tc>
          <w:tcPr>
            <w:tcW w:w="1275" w:type="dxa"/>
            <w:tcBorders>
              <w:top w:val="single" w:sz="4" w:space="0" w:color="auto"/>
            </w:tcBorders>
            <w:vAlign w:val="center"/>
          </w:tcPr>
          <w:p w:rsidR="00DA55F4" w:rsidRPr="00C8528E" w:rsidRDefault="00DA55F4" w:rsidP="007E2986">
            <w:pPr>
              <w:jc w:val="center"/>
              <w:rPr>
                <w:lang w:val="en-GB"/>
              </w:rPr>
            </w:pPr>
            <w:r>
              <w:rPr>
                <w:lang w:val="en-GB"/>
              </w:rPr>
              <w:t>1 st</w:t>
            </w:r>
          </w:p>
        </w:tc>
        <w:tc>
          <w:tcPr>
            <w:tcW w:w="1560" w:type="dxa"/>
            <w:tcBorders>
              <w:top w:val="single" w:sz="4" w:space="0" w:color="auto"/>
            </w:tcBorders>
            <w:vAlign w:val="center"/>
          </w:tcPr>
          <w:p w:rsidR="00DA55F4" w:rsidRPr="00C8528E" w:rsidRDefault="00DA55F4" w:rsidP="007E2986">
            <w:pPr>
              <w:jc w:val="center"/>
              <w:rPr>
                <w:lang w:val="en-GB"/>
              </w:rPr>
            </w:pPr>
            <w:r w:rsidRPr="00C8528E">
              <w:rPr>
                <w:lang w:val="en-GB"/>
              </w:rPr>
              <w:t>-</w:t>
            </w:r>
          </w:p>
        </w:tc>
      </w:tr>
      <w:tr w:rsidR="00DA55F4" w:rsidRPr="00C8528E" w:rsidTr="007E2986">
        <w:trPr>
          <w:trHeight w:val="547"/>
        </w:trPr>
        <w:tc>
          <w:tcPr>
            <w:tcW w:w="1346" w:type="dxa"/>
          </w:tcPr>
          <w:p w:rsidR="00DA55F4" w:rsidRPr="00C8528E" w:rsidRDefault="00DA55F4" w:rsidP="007E2986">
            <w:r w:rsidRPr="00C8528E">
              <w:t>Berör både landskapet och riket</w:t>
            </w:r>
          </w:p>
        </w:tc>
        <w:tc>
          <w:tcPr>
            <w:tcW w:w="1134" w:type="dxa"/>
            <w:vAlign w:val="center"/>
          </w:tcPr>
          <w:p w:rsidR="00DA55F4" w:rsidRPr="00C8528E" w:rsidRDefault="00DA55F4" w:rsidP="007E2986">
            <w:pPr>
              <w:jc w:val="center"/>
              <w:rPr>
                <w:lang w:val="en-GB"/>
              </w:rPr>
            </w:pPr>
            <w:r w:rsidRPr="00C8528E">
              <w:rPr>
                <w:lang w:val="en-GB"/>
              </w:rPr>
              <w:t>5 st</w:t>
            </w:r>
          </w:p>
        </w:tc>
        <w:tc>
          <w:tcPr>
            <w:tcW w:w="1418" w:type="dxa"/>
            <w:vAlign w:val="center"/>
          </w:tcPr>
          <w:p w:rsidR="00DA55F4" w:rsidRPr="00C8528E" w:rsidRDefault="00DA55F4" w:rsidP="007E2986">
            <w:pPr>
              <w:jc w:val="center"/>
              <w:rPr>
                <w:lang w:val="en-GB"/>
              </w:rPr>
            </w:pPr>
            <w:r w:rsidRPr="00C8528E">
              <w:rPr>
                <w:lang w:val="en-GB"/>
              </w:rPr>
              <w:t>2 st</w:t>
            </w:r>
          </w:p>
        </w:tc>
        <w:tc>
          <w:tcPr>
            <w:tcW w:w="1275" w:type="dxa"/>
            <w:vAlign w:val="center"/>
          </w:tcPr>
          <w:p w:rsidR="00DA55F4" w:rsidRPr="00C8528E" w:rsidRDefault="00DA55F4" w:rsidP="007E2986">
            <w:pPr>
              <w:jc w:val="center"/>
              <w:rPr>
                <w:lang w:val="en-GB"/>
              </w:rPr>
            </w:pPr>
            <w:r>
              <w:rPr>
                <w:lang w:val="en-GB"/>
              </w:rPr>
              <w:t>-</w:t>
            </w:r>
          </w:p>
        </w:tc>
        <w:tc>
          <w:tcPr>
            <w:tcW w:w="1560" w:type="dxa"/>
            <w:vAlign w:val="center"/>
          </w:tcPr>
          <w:p w:rsidR="00DA55F4" w:rsidRPr="00C8528E" w:rsidRDefault="00DA55F4" w:rsidP="007E2986">
            <w:pPr>
              <w:jc w:val="center"/>
              <w:rPr>
                <w:lang w:val="en-GB"/>
              </w:rPr>
            </w:pPr>
            <w:r w:rsidRPr="00C8528E">
              <w:rPr>
                <w:lang w:val="en-GB"/>
              </w:rPr>
              <w:t>-</w:t>
            </w:r>
          </w:p>
        </w:tc>
      </w:tr>
      <w:tr w:rsidR="00DA55F4" w:rsidRPr="00C8528E" w:rsidTr="007E2986">
        <w:tc>
          <w:tcPr>
            <w:tcW w:w="1346" w:type="dxa"/>
          </w:tcPr>
          <w:p w:rsidR="00DA55F4" w:rsidRPr="00C8528E" w:rsidRDefault="00DA55F4" w:rsidP="007E2986">
            <w:r w:rsidRPr="00C8528E">
              <w:t xml:space="preserve">Berör </w:t>
            </w:r>
          </w:p>
          <w:p w:rsidR="00DA55F4" w:rsidRPr="00C8528E" w:rsidRDefault="00DA55F4" w:rsidP="007E2986">
            <w:r w:rsidRPr="00C8528E">
              <w:t>enbart lan</w:t>
            </w:r>
            <w:r w:rsidRPr="00C8528E">
              <w:t>d</w:t>
            </w:r>
            <w:r w:rsidRPr="00C8528E">
              <w:t>skapet</w:t>
            </w:r>
          </w:p>
        </w:tc>
        <w:tc>
          <w:tcPr>
            <w:tcW w:w="1134" w:type="dxa"/>
            <w:vAlign w:val="center"/>
          </w:tcPr>
          <w:p w:rsidR="00DA55F4" w:rsidRPr="00C8528E" w:rsidRDefault="00DA55F4" w:rsidP="007E2986">
            <w:pPr>
              <w:jc w:val="center"/>
              <w:rPr>
                <w:lang w:val="en-GB"/>
              </w:rPr>
            </w:pPr>
            <w:r w:rsidRPr="00C8528E">
              <w:rPr>
                <w:lang w:val="en-GB"/>
              </w:rPr>
              <w:t>3 st</w:t>
            </w:r>
          </w:p>
        </w:tc>
        <w:tc>
          <w:tcPr>
            <w:tcW w:w="1418" w:type="dxa"/>
            <w:vAlign w:val="center"/>
          </w:tcPr>
          <w:p w:rsidR="00DA55F4" w:rsidRPr="00C8528E" w:rsidRDefault="00DA55F4" w:rsidP="007E2986">
            <w:pPr>
              <w:jc w:val="center"/>
              <w:rPr>
                <w:lang w:val="en-GB"/>
              </w:rPr>
            </w:pPr>
            <w:r w:rsidRPr="00C8528E">
              <w:rPr>
                <w:lang w:val="en-GB"/>
              </w:rPr>
              <w:t>1 st</w:t>
            </w:r>
          </w:p>
        </w:tc>
        <w:tc>
          <w:tcPr>
            <w:tcW w:w="1275" w:type="dxa"/>
            <w:vAlign w:val="center"/>
          </w:tcPr>
          <w:p w:rsidR="00DA55F4" w:rsidRPr="00C8528E" w:rsidRDefault="00DA55F4" w:rsidP="007E2986">
            <w:pPr>
              <w:jc w:val="center"/>
              <w:rPr>
                <w:lang w:val="en-GB"/>
              </w:rPr>
            </w:pPr>
            <w:r>
              <w:rPr>
                <w:lang w:val="en-GB"/>
              </w:rPr>
              <w:t>-</w:t>
            </w:r>
          </w:p>
        </w:tc>
        <w:tc>
          <w:tcPr>
            <w:tcW w:w="1560" w:type="dxa"/>
            <w:vAlign w:val="center"/>
          </w:tcPr>
          <w:p w:rsidR="00DA55F4" w:rsidRPr="00C8528E" w:rsidRDefault="00DA55F4" w:rsidP="007E2986">
            <w:pPr>
              <w:jc w:val="center"/>
              <w:rPr>
                <w:lang w:val="en-GB"/>
              </w:rPr>
            </w:pPr>
            <w:r w:rsidRPr="00C8528E">
              <w:rPr>
                <w:lang w:val="en-GB"/>
              </w:rPr>
              <w:t>-</w:t>
            </w:r>
          </w:p>
        </w:tc>
      </w:tr>
      <w:tr w:rsidR="00DA55F4" w:rsidRPr="00C8528E" w:rsidTr="007E2986">
        <w:tc>
          <w:tcPr>
            <w:tcW w:w="1346" w:type="dxa"/>
          </w:tcPr>
          <w:p w:rsidR="00DA55F4" w:rsidRPr="00C8528E" w:rsidRDefault="00DA55F4" w:rsidP="007E2986">
            <w:pPr>
              <w:rPr>
                <w:b/>
                <w:bCs/>
                <w:lang w:val="en-GB"/>
              </w:rPr>
            </w:pPr>
            <w:r w:rsidRPr="00C8528E">
              <w:rPr>
                <w:b/>
                <w:bCs/>
                <w:lang w:val="sv-FI"/>
              </w:rPr>
              <w:t>Totalt</w:t>
            </w:r>
          </w:p>
        </w:tc>
        <w:tc>
          <w:tcPr>
            <w:tcW w:w="1134" w:type="dxa"/>
            <w:vAlign w:val="center"/>
          </w:tcPr>
          <w:p w:rsidR="00DA55F4" w:rsidRPr="00C8528E" w:rsidRDefault="00DA55F4" w:rsidP="007E2986">
            <w:pPr>
              <w:jc w:val="center"/>
              <w:rPr>
                <w:b/>
                <w:bCs/>
                <w:lang w:val="en-GB"/>
              </w:rPr>
            </w:pPr>
            <w:r w:rsidRPr="00C8528E">
              <w:rPr>
                <w:b/>
                <w:bCs/>
                <w:lang w:val="en-GB"/>
              </w:rPr>
              <w:t>16 st</w:t>
            </w:r>
          </w:p>
        </w:tc>
        <w:tc>
          <w:tcPr>
            <w:tcW w:w="1418" w:type="dxa"/>
            <w:vAlign w:val="center"/>
          </w:tcPr>
          <w:p w:rsidR="00DA55F4" w:rsidRPr="00C8528E" w:rsidRDefault="00DA55F4" w:rsidP="007E2986">
            <w:pPr>
              <w:jc w:val="center"/>
              <w:rPr>
                <w:b/>
                <w:bCs/>
                <w:lang w:val="en-GB"/>
              </w:rPr>
            </w:pPr>
            <w:r w:rsidRPr="00C8528E">
              <w:rPr>
                <w:b/>
                <w:bCs/>
                <w:lang w:val="en-GB"/>
              </w:rPr>
              <w:t>7 st</w:t>
            </w:r>
          </w:p>
        </w:tc>
        <w:tc>
          <w:tcPr>
            <w:tcW w:w="1275" w:type="dxa"/>
            <w:vAlign w:val="center"/>
          </w:tcPr>
          <w:p w:rsidR="00DA55F4" w:rsidRPr="00C8528E" w:rsidRDefault="00DA55F4" w:rsidP="007E2986">
            <w:pPr>
              <w:jc w:val="center"/>
              <w:rPr>
                <w:b/>
                <w:bCs/>
                <w:lang w:val="en-GB"/>
              </w:rPr>
            </w:pPr>
            <w:r>
              <w:rPr>
                <w:b/>
                <w:bCs/>
                <w:lang w:val="en-GB"/>
              </w:rPr>
              <w:t>1 st</w:t>
            </w:r>
          </w:p>
        </w:tc>
        <w:tc>
          <w:tcPr>
            <w:tcW w:w="1560" w:type="dxa"/>
            <w:vAlign w:val="center"/>
          </w:tcPr>
          <w:p w:rsidR="00DA55F4" w:rsidRPr="00C8528E" w:rsidRDefault="00DA55F4" w:rsidP="007E2986">
            <w:pPr>
              <w:jc w:val="center"/>
              <w:rPr>
                <w:b/>
                <w:bCs/>
                <w:lang w:val="en-GB"/>
              </w:rPr>
            </w:pPr>
            <w:r w:rsidRPr="00C8528E">
              <w:rPr>
                <w:b/>
                <w:bCs/>
                <w:lang w:val="en-GB"/>
              </w:rPr>
              <w:t>-</w:t>
            </w:r>
          </w:p>
        </w:tc>
      </w:tr>
    </w:tbl>
    <w:p w:rsidR="002935A6" w:rsidRDefault="002935A6" w:rsidP="002935A6">
      <w:pPr>
        <w:ind w:firstLine="284"/>
      </w:pPr>
    </w:p>
    <w:p w:rsidR="00DA55F4" w:rsidRPr="009437B7" w:rsidRDefault="00DA55F4" w:rsidP="002935A6">
      <w:r w:rsidRPr="00C8528E">
        <w:t xml:space="preserve">Under år 2016 tillställde kommissionen Finland 16 stycken motiverade </w:t>
      </w:r>
      <w:r w:rsidRPr="009437B7">
        <w:t>yt</w:t>
      </w:r>
      <w:r w:rsidRPr="009437B7">
        <w:t>t</w:t>
      </w:r>
      <w:r w:rsidRPr="009437B7">
        <w:t xml:space="preserve">randen, varav 13 stycken berodde på försenad implementering av direktiv. </w:t>
      </w:r>
    </w:p>
    <w:p w:rsidR="002C3739" w:rsidRPr="000539B8" w:rsidRDefault="002C3739" w:rsidP="002C3739">
      <w:pPr>
        <w:pStyle w:val="Rubrik1"/>
        <w:numPr>
          <w:ilvl w:val="0"/>
          <w:numId w:val="0"/>
        </w:numPr>
      </w:pPr>
      <w:r w:rsidRPr="00866391">
        <w:rPr>
          <w:color w:val="FF0000"/>
        </w:rPr>
        <w:br w:type="page"/>
      </w:r>
      <w:bookmarkStart w:id="197" w:name="_Toc442442872"/>
      <w:bookmarkStart w:id="198" w:name="_Toc477424017"/>
      <w:r w:rsidRPr="000539B8">
        <w:lastRenderedPageBreak/>
        <w:t>4. Övriga externa samarbeten</w:t>
      </w:r>
      <w:bookmarkEnd w:id="195"/>
      <w:bookmarkEnd w:id="196"/>
      <w:bookmarkEnd w:id="197"/>
      <w:bookmarkEnd w:id="198"/>
    </w:p>
    <w:p w:rsidR="002C3739" w:rsidRPr="00676090" w:rsidRDefault="002C3739" w:rsidP="002C3739">
      <w:pPr>
        <w:pStyle w:val="Rubrik2"/>
        <w:numPr>
          <w:ilvl w:val="1"/>
          <w:numId w:val="4"/>
        </w:numPr>
      </w:pPr>
      <w:bookmarkStart w:id="199" w:name="_Toc410897694"/>
      <w:bookmarkStart w:id="200" w:name="_Toc412712706"/>
      <w:bookmarkStart w:id="201" w:name="_Toc442442873"/>
      <w:bookmarkStart w:id="202" w:name="_Toc477424018"/>
      <w:bookmarkStart w:id="203" w:name="_Toc410897689"/>
      <w:r w:rsidRPr="00676090">
        <w:t xml:space="preserve">4.1 </w:t>
      </w:r>
      <w:r w:rsidR="00F24AD9" w:rsidRPr="00676090">
        <w:t xml:space="preserve">Sjöfart och </w:t>
      </w:r>
      <w:r w:rsidRPr="00676090">
        <w:t>IMO</w:t>
      </w:r>
      <w:bookmarkEnd w:id="199"/>
      <w:bookmarkEnd w:id="200"/>
      <w:bookmarkEnd w:id="201"/>
      <w:bookmarkEnd w:id="202"/>
      <w:r w:rsidRPr="00676090">
        <w:t xml:space="preserve"> </w:t>
      </w:r>
    </w:p>
    <w:p w:rsidR="00291D02" w:rsidRPr="00676090" w:rsidRDefault="00291D02" w:rsidP="009437B7">
      <w:bookmarkStart w:id="204" w:name="_Toc410897693"/>
      <w:bookmarkStart w:id="205" w:name="_Toc412712707"/>
      <w:bookmarkStart w:id="206" w:name="_Toc442442874"/>
      <w:r w:rsidRPr="00676090">
        <w:t>Inom sjöfartsområdet är det IMO (International Maritime Organization, ett mellanstatligt FN-organ med 170 stater som medlemmar och tre associ</w:t>
      </w:r>
      <w:r w:rsidRPr="00676090">
        <w:t>e</w:t>
      </w:r>
      <w:r w:rsidRPr="00676090">
        <w:t>rade medlemmar) som beslutar om regler kring säkerhet, utbildning och miljö för sjöfarten som verkar på en global marknad. Finland är medlem och Åland kan delta i beredningen av positioner och i den finländska del</w:t>
      </w:r>
      <w:r w:rsidRPr="00676090">
        <w:t>e</w:t>
      </w:r>
      <w:r w:rsidRPr="00676090">
        <w:t xml:space="preserve">gationen vid möten. EU har i ökande utsträckning initierat liknande och kompletterande lagstiftning inom sjöfartsområdet. I den mån det är relevant med EU-lagstiftning är det viktigt att föra fram samma positioner i de bägge organen. </w:t>
      </w:r>
    </w:p>
    <w:p w:rsidR="00291D02" w:rsidRPr="00676090" w:rsidRDefault="009437B7" w:rsidP="009437B7">
      <w:r>
        <w:tab/>
      </w:r>
      <w:r w:rsidR="00291D02" w:rsidRPr="00676090">
        <w:t>Aktuella frågor har varit rapportering av utsläpp av växthusgaser och genomförande av IMO-konventionen om hantering av barlastvatten. IMO har beslutat om fortsatta åtgärder för att minska sjöfartens utsläpp på global nivå. Klimatavtalet i Paris, som trädde i kraft den 4 november 2016, inn</w:t>
      </w:r>
      <w:r w:rsidR="00291D02" w:rsidRPr="00676090">
        <w:t>e</w:t>
      </w:r>
      <w:r w:rsidR="00291D02" w:rsidRPr="00676090">
        <w:t>fattar inte internationell luftfart eller sjöfart och därför har det inom båda trafikslagen funnits ett tryck att ingå internationella sektorspecifika avtal. Den 8 september 2017 träder barlastkonventionen i kraft internationellt. Av Östersjöstaterna har konventionen, förutom av Finland, ratificerats av Sv</w:t>
      </w:r>
      <w:r w:rsidR="00291D02" w:rsidRPr="00676090">
        <w:t>e</w:t>
      </w:r>
      <w:r w:rsidR="00291D02" w:rsidRPr="00676090">
        <w:t>rige, Ryssland, Danmark och Tyskland. De övriga Östersjöstaterna förber</w:t>
      </w:r>
      <w:r w:rsidR="00291D02" w:rsidRPr="00676090">
        <w:t>e</w:t>
      </w:r>
      <w:r w:rsidR="00291D02" w:rsidRPr="00676090">
        <w:t>der en ratificering. Konventionen gäller alla fartyg i internationell trafik som besöker fördragsstaterna.  Innan fartygen har försetts med hantering</w:t>
      </w:r>
      <w:r w:rsidR="00291D02" w:rsidRPr="00676090">
        <w:t>s</w:t>
      </w:r>
      <w:r w:rsidR="00291D02" w:rsidRPr="00676090">
        <w:t>utrustning ska fartygen alltid skifta barlastvattnet någon annanstans än i Ö</w:t>
      </w:r>
      <w:r w:rsidR="00291D02" w:rsidRPr="00676090">
        <w:t>s</w:t>
      </w:r>
      <w:r w:rsidR="00291D02" w:rsidRPr="00676090">
        <w:t>tersjön. Senast inför den första förnyade besiktningen efter att konventio</w:t>
      </w:r>
      <w:r w:rsidR="00291D02" w:rsidRPr="00676090">
        <w:t>n</w:t>
      </w:r>
      <w:r w:rsidR="00291D02" w:rsidRPr="00676090">
        <w:t>en har trätt i kraft ska fartyg i internationell trafik förses med hanteringsu</w:t>
      </w:r>
      <w:r w:rsidR="00291D02" w:rsidRPr="00676090">
        <w:t>t</w:t>
      </w:r>
      <w:r w:rsidR="00291D02" w:rsidRPr="00676090">
        <w:t>rustning för barlastvatten. Besiktningsintervallet är fem år, vilket innebär att även de allra sista fartygen är förpliktade att installera utrustningen före utgången av 2022.</w:t>
      </w:r>
    </w:p>
    <w:p w:rsidR="002C3739" w:rsidRPr="00D4515A" w:rsidRDefault="002C3739" w:rsidP="002C3739">
      <w:pPr>
        <w:pStyle w:val="Rubrik2"/>
        <w:numPr>
          <w:ilvl w:val="1"/>
          <w:numId w:val="4"/>
        </w:numPr>
      </w:pPr>
      <w:bookmarkStart w:id="207" w:name="_Toc477424019"/>
      <w:r w:rsidRPr="00D4515A">
        <w:t>4.2 Team Finland</w:t>
      </w:r>
      <w:bookmarkEnd w:id="204"/>
      <w:bookmarkEnd w:id="205"/>
      <w:bookmarkEnd w:id="206"/>
      <w:bookmarkEnd w:id="207"/>
    </w:p>
    <w:p w:rsidR="002C3739" w:rsidRPr="00765E5C" w:rsidRDefault="002C3739" w:rsidP="009437B7">
      <w:pPr>
        <w:rPr>
          <w:lang w:val="sv-FI"/>
        </w:rPr>
      </w:pPr>
      <w:r w:rsidRPr="00D4515A">
        <w:rPr>
          <w:lang w:val="sv-FI"/>
        </w:rPr>
        <w:t>I Finland har man samlat de centrala aktörerna som arbetar för att främja företagens export i ett nätverk som kallas Team Finland. I centrum står a</w:t>
      </w:r>
      <w:r w:rsidRPr="00D4515A">
        <w:rPr>
          <w:lang w:val="sv-FI"/>
        </w:rPr>
        <w:t>r</w:t>
      </w:r>
      <w:r w:rsidRPr="00D4515A">
        <w:rPr>
          <w:lang w:val="sv-FI"/>
        </w:rPr>
        <w:t>bets- och näringsministeriet, utrikesministeriet, undervisnings- och kultu</w:t>
      </w:r>
      <w:r w:rsidRPr="00D4515A">
        <w:rPr>
          <w:lang w:val="sv-FI"/>
        </w:rPr>
        <w:t>r</w:t>
      </w:r>
      <w:r w:rsidRPr="00D4515A">
        <w:rPr>
          <w:lang w:val="sv-FI"/>
        </w:rPr>
        <w:t>ministeriet samt offentligt finansierade organisationer och verksamhetsstä</w:t>
      </w:r>
      <w:r w:rsidRPr="00D4515A">
        <w:rPr>
          <w:lang w:val="sv-FI"/>
        </w:rPr>
        <w:t>l</w:t>
      </w:r>
      <w:r w:rsidRPr="00D4515A">
        <w:rPr>
          <w:lang w:val="sv-FI"/>
        </w:rPr>
        <w:t>len utomlands som styrs av dem (bl.a. Finlands beskickningar utomlands, Finpros och Tekes kontor samt kultur- och vetenskapsinstituten) och Fin</w:t>
      </w:r>
      <w:r w:rsidRPr="00D4515A">
        <w:rPr>
          <w:lang w:val="sv-FI"/>
        </w:rPr>
        <w:t>n</w:t>
      </w:r>
      <w:r w:rsidRPr="00D4515A">
        <w:rPr>
          <w:lang w:val="sv-FI"/>
        </w:rPr>
        <w:t>vera, Finsk-</w:t>
      </w:r>
      <w:r w:rsidRPr="00765E5C">
        <w:rPr>
          <w:lang w:val="sv-FI"/>
        </w:rPr>
        <w:t xml:space="preserve">svenska handelskammaren och VTT. </w:t>
      </w:r>
      <w:r w:rsidR="000751A7" w:rsidRPr="00765E5C">
        <w:rPr>
          <w:lang w:val="sv-FI"/>
        </w:rPr>
        <w:t>L</w:t>
      </w:r>
      <w:r w:rsidRPr="00765E5C">
        <w:rPr>
          <w:lang w:val="sv-FI"/>
        </w:rPr>
        <w:t xml:space="preserve">andskapsregeringens Sverigekontor </w:t>
      </w:r>
      <w:r w:rsidR="000751A7" w:rsidRPr="00765E5C">
        <w:rPr>
          <w:lang w:val="sv-FI"/>
        </w:rPr>
        <w:t>har varit</w:t>
      </w:r>
      <w:r w:rsidRPr="00765E5C">
        <w:rPr>
          <w:lang w:val="sv-FI"/>
        </w:rPr>
        <w:t xml:space="preserve"> representerat i den svenska delen av Team Finland i syfte att samordna aktiviteter och upprätthålla kontakterna till det fi</w:t>
      </w:r>
      <w:r w:rsidRPr="00765E5C">
        <w:rPr>
          <w:lang w:val="sv-FI"/>
        </w:rPr>
        <w:t>n</w:t>
      </w:r>
      <w:r w:rsidR="000751A7" w:rsidRPr="00765E5C">
        <w:rPr>
          <w:lang w:val="sv-FI"/>
        </w:rPr>
        <w:t>länd</w:t>
      </w:r>
      <w:r w:rsidRPr="00765E5C">
        <w:rPr>
          <w:lang w:val="sv-FI"/>
        </w:rPr>
        <w:t xml:space="preserve">ska samfundet i Sverige. Under året </w:t>
      </w:r>
      <w:r w:rsidR="00765E5C" w:rsidRPr="00765E5C">
        <w:rPr>
          <w:lang w:val="sv-FI"/>
        </w:rPr>
        <w:t>uppmärksammas</w:t>
      </w:r>
      <w:r w:rsidRPr="00765E5C">
        <w:rPr>
          <w:lang w:val="sv-FI"/>
        </w:rPr>
        <w:t xml:space="preserve"> Finland</w:t>
      </w:r>
      <w:r w:rsidR="000751A7" w:rsidRPr="00765E5C">
        <w:rPr>
          <w:lang w:val="sv-FI"/>
        </w:rPr>
        <w:t>s</w:t>
      </w:r>
      <w:r w:rsidRPr="00765E5C">
        <w:rPr>
          <w:lang w:val="sv-FI"/>
        </w:rPr>
        <w:t xml:space="preserve"> 100-årsjubileum.</w:t>
      </w:r>
    </w:p>
    <w:p w:rsidR="002C3739" w:rsidRPr="00D4515A" w:rsidRDefault="002C3739" w:rsidP="009437B7">
      <w:pPr>
        <w:rPr>
          <w:lang w:val="sv-FI"/>
        </w:rPr>
      </w:pPr>
      <w:r w:rsidRPr="00765E5C">
        <w:rPr>
          <w:lang w:val="sv-FI"/>
        </w:rPr>
        <w:tab/>
        <w:t>Nätverket Team Finland främjar Finlands intressen ute i världen: Fi</w:t>
      </w:r>
      <w:r w:rsidRPr="00765E5C">
        <w:rPr>
          <w:lang w:val="sv-FI"/>
        </w:rPr>
        <w:t>n</w:t>
      </w:r>
      <w:r w:rsidRPr="00765E5C">
        <w:rPr>
          <w:lang w:val="sv-FI"/>
        </w:rPr>
        <w:t>lands externa ekonomiska relationer</w:t>
      </w:r>
      <w:r w:rsidRPr="00D4515A">
        <w:rPr>
          <w:lang w:val="sv-FI"/>
        </w:rPr>
        <w:t>, finländska företags internationa</w:t>
      </w:r>
      <w:r w:rsidRPr="00D4515A">
        <w:rPr>
          <w:lang w:val="sv-FI"/>
        </w:rPr>
        <w:t>l</w:t>
      </w:r>
      <w:r w:rsidRPr="00D4515A">
        <w:rPr>
          <w:lang w:val="sv-FI"/>
        </w:rPr>
        <w:t>isering, utländska investeringar i Finland och Finlandsbilden. Team Finland sammanför de centrala aktörerna inom de här områdena, i Finland och u</w:t>
      </w:r>
      <w:r w:rsidRPr="00D4515A">
        <w:rPr>
          <w:lang w:val="sv-FI"/>
        </w:rPr>
        <w:t>t</w:t>
      </w:r>
      <w:r w:rsidRPr="00D4515A">
        <w:rPr>
          <w:lang w:val="sv-FI"/>
        </w:rPr>
        <w:t>omlands. Aktörerna styrs av gemensamma målsättningar som fastställs av statsrådet varje år. Samarbetets syfte är att skapa en enkel och flexibel verksamhetsmodell som utgår från kundernas behov. Projekt inom Team Finlands verksamhetsområde genomförs i samarbete mellan staten och pr</w:t>
      </w:r>
      <w:r w:rsidRPr="00D4515A">
        <w:rPr>
          <w:lang w:val="sv-FI"/>
        </w:rPr>
        <w:t>i</w:t>
      </w:r>
      <w:r w:rsidRPr="00D4515A">
        <w:rPr>
          <w:lang w:val="sv-FI"/>
        </w:rPr>
        <w:t>vata aktörer.</w:t>
      </w:r>
    </w:p>
    <w:p w:rsidR="002C3739" w:rsidRPr="00D4515A" w:rsidRDefault="002C3739" w:rsidP="009437B7">
      <w:pPr>
        <w:rPr>
          <w:lang w:val="sv-FI"/>
        </w:rPr>
      </w:pPr>
      <w:r w:rsidRPr="00C15C44">
        <w:rPr>
          <w:color w:val="FF0000"/>
          <w:lang w:val="sv-FI"/>
        </w:rPr>
        <w:tab/>
      </w:r>
      <w:r w:rsidRPr="00D4515A">
        <w:rPr>
          <w:lang w:val="sv-FI"/>
        </w:rPr>
        <w:t>Landskapsregeringen samarbetar med Team Finland kring information och det finns möjlighet för åländska företag att delta i aktiviteter. T.ex. de</w:t>
      </w:r>
      <w:r w:rsidRPr="00D4515A">
        <w:rPr>
          <w:lang w:val="sv-FI"/>
        </w:rPr>
        <w:t>l</w:t>
      </w:r>
      <w:r w:rsidRPr="00D4515A">
        <w:rPr>
          <w:lang w:val="sv-FI"/>
        </w:rPr>
        <w:t xml:space="preserve">tar åländska företag i Finpros exportresor till olika marknader för mässor </w:t>
      </w:r>
      <w:r w:rsidRPr="00D4515A">
        <w:rPr>
          <w:lang w:val="sv-FI"/>
        </w:rPr>
        <w:lastRenderedPageBreak/>
        <w:t>eller andra evenemang. Till den del det handlar om finansiering kan företag söka finansiering från landskapsregeringen för att delta på samma villkor som finländska företag.</w:t>
      </w:r>
    </w:p>
    <w:p w:rsidR="002C3739" w:rsidRPr="00753633" w:rsidRDefault="002C3739" w:rsidP="002C3739">
      <w:pPr>
        <w:pStyle w:val="Rubrik2"/>
        <w:numPr>
          <w:ilvl w:val="1"/>
          <w:numId w:val="4"/>
        </w:numPr>
        <w:rPr>
          <w:szCs w:val="30"/>
          <w:lang w:val="sv-FI"/>
        </w:rPr>
      </w:pPr>
      <w:bookmarkStart w:id="208" w:name="_Toc410897690"/>
      <w:bookmarkStart w:id="209" w:name="_Toc412712709"/>
      <w:bookmarkStart w:id="210" w:name="_Toc442442875"/>
      <w:bookmarkStart w:id="211" w:name="_Toc477424020"/>
      <w:r w:rsidRPr="00753633">
        <w:rPr>
          <w:szCs w:val="30"/>
          <w:lang w:val="sv-FI"/>
        </w:rPr>
        <w:t>4.</w:t>
      </w:r>
      <w:r w:rsidR="008842B6" w:rsidRPr="00753633">
        <w:rPr>
          <w:szCs w:val="30"/>
          <w:lang w:val="sv-FI"/>
        </w:rPr>
        <w:t>3</w:t>
      </w:r>
      <w:r w:rsidRPr="00753633">
        <w:rPr>
          <w:szCs w:val="30"/>
          <w:lang w:val="sv-FI"/>
        </w:rPr>
        <w:t xml:space="preserve"> Central Baltic</w:t>
      </w:r>
      <w:bookmarkEnd w:id="208"/>
      <w:bookmarkEnd w:id="209"/>
      <w:bookmarkEnd w:id="210"/>
      <w:bookmarkEnd w:id="211"/>
    </w:p>
    <w:p w:rsidR="00C8790B" w:rsidRPr="00753633" w:rsidRDefault="00C8790B" w:rsidP="009437B7">
      <w:bookmarkStart w:id="212" w:name="_Toc412712710"/>
      <w:bookmarkStart w:id="213" w:name="_Toc442442876"/>
      <w:r w:rsidRPr="00753633">
        <w:t>Central Baltic Programme 2014-2020 är ett av EU:s 60 gränsöverskridande samarbetsprogram inom INTERREG som finansieras av ERUF (regionala utvecklingsfonden). Programområdet omfattar delar av Finland, Lettland och</w:t>
      </w:r>
      <w:r w:rsidRPr="00753633">
        <w:rPr>
          <w:rFonts w:cs="TT188t00"/>
        </w:rPr>
        <w:t xml:space="preserve"> </w:t>
      </w:r>
      <w:r w:rsidRPr="00753633">
        <w:t>Sverige samt hela Estland och Åland.</w:t>
      </w:r>
    </w:p>
    <w:p w:rsidR="00C8790B" w:rsidRPr="00753633" w:rsidRDefault="009437B7" w:rsidP="009437B7">
      <w:r>
        <w:tab/>
      </w:r>
      <w:r w:rsidR="00C8790B" w:rsidRPr="00753633">
        <w:t xml:space="preserve">Programmets målsättning är hållbar regional utveckling baserad på </w:t>
      </w:r>
      <w:r w:rsidR="00127506">
        <w:t>Europa 2020-</w:t>
      </w:r>
      <w:r w:rsidR="00C8790B" w:rsidRPr="00753633">
        <w:t>strategi</w:t>
      </w:r>
      <w:r w:rsidR="00127506">
        <w:t>n</w:t>
      </w:r>
      <w:r w:rsidR="00C8790B" w:rsidRPr="00753633">
        <w:t xml:space="preserve"> </w:t>
      </w:r>
      <w:r w:rsidR="00C8790B" w:rsidRPr="00753633">
        <w:rPr>
          <w:i/>
        </w:rPr>
        <w:t>Smart, Sustainable, Inclusive growth</w:t>
      </w:r>
      <w:r w:rsidR="00C8790B" w:rsidRPr="00753633">
        <w:t xml:space="preserve"> och Öste</w:t>
      </w:r>
      <w:r w:rsidR="00C8790B" w:rsidRPr="00753633">
        <w:t>r</w:t>
      </w:r>
      <w:r w:rsidR="00C8790B" w:rsidRPr="00753633">
        <w:t xml:space="preserve">sjöstrategin </w:t>
      </w:r>
      <w:r w:rsidR="00C8790B" w:rsidRPr="00753633">
        <w:rPr>
          <w:i/>
        </w:rPr>
        <w:t>Save the sea, Connect the region, Increase prosperity</w:t>
      </w:r>
      <w:r w:rsidR="00C8790B" w:rsidRPr="00753633">
        <w:t>. 115 mi</w:t>
      </w:r>
      <w:r w:rsidR="00C8790B" w:rsidRPr="00753633">
        <w:t>l</w:t>
      </w:r>
      <w:r w:rsidR="00C8790B" w:rsidRPr="00753633">
        <w:t>joner euro är reserverade för samarbetsprojekt under programperioden.</w:t>
      </w:r>
    </w:p>
    <w:p w:rsidR="008C2E2C" w:rsidRPr="00971422" w:rsidRDefault="009437B7" w:rsidP="008C2E2C">
      <w:r>
        <w:tab/>
      </w:r>
      <w:r w:rsidR="00C8790B" w:rsidRPr="00753633">
        <w:t xml:space="preserve">Huvudkontoret, Joint Secretariat, finns i Åbo, och varje land samt Åland har en egen Contact Point. En informatör arbetar för att sprida information om programmet, underlätta för potentiella projektpartner att hitta partners från andra regioner och bistå </w:t>
      </w:r>
      <w:r w:rsidR="00C8790B" w:rsidRPr="00971422">
        <w:t>dem på olika sätt samt följa de godkända pr</w:t>
      </w:r>
      <w:r w:rsidR="00C8790B" w:rsidRPr="00971422">
        <w:t>o</w:t>
      </w:r>
      <w:r w:rsidR="00C8790B" w:rsidRPr="00971422">
        <w:t>jekten oc</w:t>
      </w:r>
      <w:r w:rsidR="00753633" w:rsidRPr="00971422">
        <w:t>h synliggöra deras resultat. Ålands landskapsregering</w:t>
      </w:r>
      <w:r w:rsidR="00C8790B" w:rsidRPr="00971422">
        <w:t xml:space="preserve"> är värdorg</w:t>
      </w:r>
      <w:r w:rsidR="00C8790B" w:rsidRPr="00971422">
        <w:t>a</w:t>
      </w:r>
      <w:r w:rsidR="00C8790B" w:rsidRPr="00971422">
        <w:t xml:space="preserve">nisation för Contact Point Åland. </w:t>
      </w:r>
    </w:p>
    <w:p w:rsidR="00942F84" w:rsidRPr="00971422" w:rsidRDefault="00942F84" w:rsidP="008C2E2C"/>
    <w:p w:rsidR="00C8790B" w:rsidRPr="00971422" w:rsidRDefault="00C8790B" w:rsidP="008C2E2C">
      <w:r w:rsidRPr="00971422">
        <w:t>Projektfinansiering är möjlig inom följande elva insatsområden:</w:t>
      </w:r>
    </w:p>
    <w:p w:rsidR="00C8790B" w:rsidRPr="00971422" w:rsidRDefault="00C8790B" w:rsidP="008C2E2C">
      <w:pPr>
        <w:numPr>
          <w:ilvl w:val="0"/>
          <w:numId w:val="38"/>
        </w:numPr>
      </w:pPr>
      <w:r w:rsidRPr="00971422">
        <w:t>Stärkandet av regionens ekonomiska konkurrenskraft genom</w:t>
      </w:r>
    </w:p>
    <w:p w:rsidR="00C8790B" w:rsidRPr="00971422" w:rsidRDefault="00C8790B" w:rsidP="008C2E2C">
      <w:pPr>
        <w:numPr>
          <w:ilvl w:val="1"/>
          <w:numId w:val="39"/>
        </w:numPr>
      </w:pPr>
      <w:r w:rsidRPr="00971422">
        <w:t>Nya kunskapsintensiva företag</w:t>
      </w:r>
    </w:p>
    <w:p w:rsidR="00C8790B" w:rsidRPr="00DE5711" w:rsidRDefault="00C8790B" w:rsidP="008C2E2C">
      <w:pPr>
        <w:numPr>
          <w:ilvl w:val="1"/>
          <w:numId w:val="39"/>
        </w:numPr>
        <w:rPr>
          <w:b/>
        </w:rPr>
      </w:pPr>
      <w:r w:rsidRPr="00971422">
        <w:rPr>
          <w:b/>
        </w:rPr>
        <w:t>Fler entreprenöriella</w:t>
      </w:r>
      <w:r w:rsidRPr="00DE5711">
        <w:rPr>
          <w:b/>
        </w:rPr>
        <w:t xml:space="preserve"> ungdomar</w:t>
      </w:r>
    </w:p>
    <w:p w:rsidR="00C8790B" w:rsidRPr="00DE5711" w:rsidRDefault="00C8790B" w:rsidP="008C2E2C">
      <w:pPr>
        <w:numPr>
          <w:ilvl w:val="1"/>
          <w:numId w:val="39"/>
        </w:numPr>
      </w:pPr>
      <w:r w:rsidRPr="00DE5711">
        <w:t>Ökad export från små och medelstora företag till (nya) marknader utanför EU</w:t>
      </w:r>
    </w:p>
    <w:p w:rsidR="00C8790B" w:rsidRPr="00DE5711" w:rsidRDefault="00C8790B" w:rsidP="008C2E2C">
      <w:pPr>
        <w:numPr>
          <w:ilvl w:val="0"/>
          <w:numId w:val="38"/>
        </w:numPr>
      </w:pPr>
      <w:r w:rsidRPr="00DE5711">
        <w:t>Hållbar användning av våra gemensamma resurser genom</w:t>
      </w:r>
    </w:p>
    <w:p w:rsidR="00C8790B" w:rsidRPr="00DE5711" w:rsidRDefault="00C8790B" w:rsidP="008C2E2C">
      <w:pPr>
        <w:numPr>
          <w:ilvl w:val="1"/>
          <w:numId w:val="40"/>
        </w:numPr>
        <w:rPr>
          <w:b/>
        </w:rPr>
      </w:pPr>
      <w:r w:rsidRPr="00DE5711">
        <w:rPr>
          <w:b/>
        </w:rPr>
        <w:t>Fler natur- och kulturresurser utvecklade till geme</w:t>
      </w:r>
      <w:r w:rsidRPr="00DE5711">
        <w:rPr>
          <w:b/>
        </w:rPr>
        <w:t>n</w:t>
      </w:r>
      <w:r w:rsidRPr="00DE5711">
        <w:rPr>
          <w:b/>
        </w:rPr>
        <w:t>samma hållbara turistattraktioner</w:t>
      </w:r>
    </w:p>
    <w:p w:rsidR="00C8790B" w:rsidRPr="00DE5711" w:rsidRDefault="00C8790B" w:rsidP="008C2E2C">
      <w:pPr>
        <w:numPr>
          <w:ilvl w:val="1"/>
          <w:numId w:val="40"/>
        </w:numPr>
      </w:pPr>
      <w:r w:rsidRPr="00DE5711">
        <w:t xml:space="preserve">En större andel välplanerade och välförvaltade kust- och marina områden </w:t>
      </w:r>
    </w:p>
    <w:p w:rsidR="00C8790B" w:rsidRPr="00DE5711" w:rsidRDefault="00C8790B" w:rsidP="008C2E2C">
      <w:pPr>
        <w:numPr>
          <w:ilvl w:val="1"/>
          <w:numId w:val="40"/>
        </w:numPr>
      </w:pPr>
      <w:r w:rsidRPr="00DE5711">
        <w:t>Fler förbättrade urbana miljöer</w:t>
      </w:r>
    </w:p>
    <w:p w:rsidR="00C8790B" w:rsidRPr="00DE5711" w:rsidRDefault="00C8790B" w:rsidP="008C2E2C">
      <w:pPr>
        <w:numPr>
          <w:ilvl w:val="1"/>
          <w:numId w:val="40"/>
        </w:numPr>
        <w:rPr>
          <w:b/>
        </w:rPr>
      </w:pPr>
      <w:r w:rsidRPr="00DE5711">
        <w:rPr>
          <w:b/>
        </w:rPr>
        <w:t>Minskade mängder/halter av näringsämnens, gifters och skadliga ämnens inflöde i Östersjön</w:t>
      </w:r>
    </w:p>
    <w:p w:rsidR="00C8790B" w:rsidRPr="00DE5711" w:rsidRDefault="00C8790B" w:rsidP="008C2E2C">
      <w:pPr>
        <w:numPr>
          <w:ilvl w:val="0"/>
          <w:numId w:val="38"/>
        </w:numPr>
      </w:pPr>
      <w:r w:rsidRPr="00DE5711">
        <w:t>Ökad tillgänglighet i regionen genom</w:t>
      </w:r>
    </w:p>
    <w:p w:rsidR="00C8790B" w:rsidRPr="00DE5711" w:rsidRDefault="00C8790B" w:rsidP="008C2E2C">
      <w:pPr>
        <w:numPr>
          <w:ilvl w:val="1"/>
          <w:numId w:val="41"/>
        </w:numPr>
        <w:rPr>
          <w:b/>
        </w:rPr>
      </w:pPr>
      <w:r w:rsidRPr="00DE5711">
        <w:rPr>
          <w:b/>
        </w:rPr>
        <w:t>Förbättrade transportkorridorer för människor och gods</w:t>
      </w:r>
    </w:p>
    <w:p w:rsidR="00C8790B" w:rsidRPr="00DE5711" w:rsidRDefault="00C8790B" w:rsidP="008C2E2C">
      <w:pPr>
        <w:numPr>
          <w:ilvl w:val="1"/>
          <w:numId w:val="41"/>
        </w:numPr>
        <w:rPr>
          <w:b/>
        </w:rPr>
      </w:pPr>
      <w:r w:rsidRPr="00DE5711">
        <w:rPr>
          <w:b/>
        </w:rPr>
        <w:t>Förbättrad service i små gästhamnar för regional mob</w:t>
      </w:r>
      <w:r w:rsidRPr="00DE5711">
        <w:rPr>
          <w:b/>
        </w:rPr>
        <w:t>i</w:t>
      </w:r>
      <w:r w:rsidRPr="00DE5711">
        <w:rPr>
          <w:b/>
        </w:rPr>
        <w:t>litet och stärkt turism</w:t>
      </w:r>
    </w:p>
    <w:p w:rsidR="00C8790B" w:rsidRPr="00DE5711" w:rsidRDefault="00C8790B" w:rsidP="008C2E2C">
      <w:pPr>
        <w:numPr>
          <w:ilvl w:val="0"/>
          <w:numId w:val="38"/>
        </w:numPr>
      </w:pPr>
      <w:r w:rsidRPr="00DE5711">
        <w:t>Förbättrad kompetens och ökad samhällsgemenskap i regionen som syns i</w:t>
      </w:r>
    </w:p>
    <w:p w:rsidR="00C8790B" w:rsidRPr="00DE5711" w:rsidRDefault="00C8790B" w:rsidP="008C2E2C">
      <w:pPr>
        <w:numPr>
          <w:ilvl w:val="1"/>
          <w:numId w:val="42"/>
        </w:numPr>
      </w:pPr>
      <w:r w:rsidRPr="00DE5711">
        <w:t>Fler (lokal)samhällen med förbättringar</w:t>
      </w:r>
    </w:p>
    <w:p w:rsidR="00C8790B" w:rsidRPr="00DE5711" w:rsidRDefault="00C8790B" w:rsidP="008C2E2C">
      <w:pPr>
        <w:numPr>
          <w:ilvl w:val="1"/>
          <w:numId w:val="42"/>
        </w:numPr>
        <w:rPr>
          <w:b/>
        </w:rPr>
      </w:pPr>
      <w:r w:rsidRPr="00DE5711">
        <w:rPr>
          <w:b/>
        </w:rPr>
        <w:t>Fler yrkesutbildningsenheter med gemensamma kurser och utbildningsprogram</w:t>
      </w:r>
    </w:p>
    <w:p w:rsidR="00C8790B" w:rsidRPr="009437B7" w:rsidRDefault="00C8790B" w:rsidP="00C8790B">
      <w:pPr>
        <w:autoSpaceDE w:val="0"/>
        <w:autoSpaceDN w:val="0"/>
        <w:adjustRightInd w:val="0"/>
        <w:rPr>
          <w:rFonts w:cs="Times-Roman"/>
          <w:szCs w:val="22"/>
        </w:rPr>
      </w:pPr>
    </w:p>
    <w:p w:rsidR="00C8790B" w:rsidRPr="009437B7" w:rsidRDefault="00C8790B" w:rsidP="009437B7">
      <w:r w:rsidRPr="009437B7">
        <w:t>Projektansökningar kan lämnas in under vissa tider, så kallade Calls. I bö</w:t>
      </w:r>
      <w:r w:rsidRPr="009437B7">
        <w:t>r</w:t>
      </w:r>
      <w:r w:rsidRPr="009437B7">
        <w:t>jan av 2017 anordnas det tredje och sista callet, där samtliga elva insatso</w:t>
      </w:r>
      <w:r w:rsidRPr="009437B7">
        <w:t>m</w:t>
      </w:r>
      <w:r w:rsidRPr="009437B7">
        <w:t xml:space="preserve">råden är sökbara. </w:t>
      </w:r>
    </w:p>
    <w:p w:rsidR="00C8790B" w:rsidRPr="009437B7" w:rsidRDefault="009437B7" w:rsidP="009437B7">
      <w:r>
        <w:tab/>
      </w:r>
      <w:r w:rsidR="00C8790B" w:rsidRPr="009437B7">
        <w:t>45 miljoner euro återstår att fördela i tredje ansökningsomgången. U</w:t>
      </w:r>
      <w:r w:rsidR="00C8790B" w:rsidRPr="009437B7">
        <w:t>r</w:t>
      </w:r>
      <w:r w:rsidR="00C8790B" w:rsidRPr="009437B7">
        <w:t xml:space="preserve">valsprocessen pågår under 2017, och nya sk </w:t>
      </w:r>
      <w:r w:rsidR="00C8790B" w:rsidRPr="009437B7">
        <w:rPr>
          <w:i/>
        </w:rPr>
        <w:t>Small Project</w:t>
      </w:r>
      <w:r w:rsidR="00281AC2">
        <w:rPr>
          <w:i/>
        </w:rPr>
        <w:t>s</w:t>
      </w:r>
      <w:r w:rsidR="00C8790B" w:rsidRPr="009437B7">
        <w:t xml:space="preserve"> kan starta upp under hösten 2017, och nya sk </w:t>
      </w:r>
      <w:r w:rsidR="00C8790B" w:rsidRPr="009437B7">
        <w:rPr>
          <w:i/>
        </w:rPr>
        <w:t>Regular Project</w:t>
      </w:r>
      <w:r w:rsidR="00281AC2">
        <w:rPr>
          <w:i/>
        </w:rPr>
        <w:t>s</w:t>
      </w:r>
      <w:r w:rsidR="00C8790B" w:rsidRPr="009437B7">
        <w:t xml:space="preserve"> i början av 2018.</w:t>
      </w:r>
    </w:p>
    <w:p w:rsidR="00C8790B" w:rsidRPr="00DE5711" w:rsidRDefault="009437B7" w:rsidP="009437B7">
      <w:r>
        <w:tab/>
      </w:r>
      <w:r w:rsidR="00C8790B" w:rsidRPr="009437B7">
        <w:t>De två första callen fick sammanlagt 325 ansökningar, varav 67 go</w:t>
      </w:r>
      <w:r w:rsidR="00C8790B" w:rsidRPr="009437B7">
        <w:t>d</w:t>
      </w:r>
      <w:r w:rsidR="00C8790B" w:rsidRPr="009437B7">
        <w:t>kändes.</w:t>
      </w:r>
      <w:r w:rsidR="00C8790B" w:rsidRPr="00DE5711">
        <w:t xml:space="preserve"> Tio av de godkända projekten har åländsk partn</w:t>
      </w:r>
      <w:r w:rsidR="00942F84">
        <w:t>er, sammanlagt 12 olika aktörer</w:t>
      </w:r>
      <w:r w:rsidR="00C8790B" w:rsidRPr="00DE5711">
        <w:t xml:space="preserve">. De insatsområden där åländska partner deltar är markerade med </w:t>
      </w:r>
      <w:r w:rsidR="00C8790B" w:rsidRPr="00DE5711">
        <w:rPr>
          <w:b/>
        </w:rPr>
        <w:t>fet stil</w:t>
      </w:r>
      <w:r w:rsidR="00C8790B" w:rsidRPr="00DE5711">
        <w:t xml:space="preserve"> i listan ovan. </w:t>
      </w:r>
    </w:p>
    <w:p w:rsidR="00C8790B" w:rsidRPr="00DE5711" w:rsidRDefault="00C8790B" w:rsidP="00C8790B">
      <w:pPr>
        <w:autoSpaceDE w:val="0"/>
        <w:autoSpaceDN w:val="0"/>
        <w:adjustRightInd w:val="0"/>
        <w:rPr>
          <w:rFonts w:cs="Times-Roman"/>
          <w:szCs w:val="22"/>
        </w:rPr>
      </w:pPr>
    </w:p>
    <w:p w:rsidR="00C8790B" w:rsidRPr="00DE5711" w:rsidRDefault="00C8790B" w:rsidP="009437B7">
      <w:r w:rsidRPr="00DE5711">
        <w:t>Ålands landskapsregering är partner i två av dem, ADAPT och BALTACAR. ADAPT startade i mars 2016 och handlar bland annat om att sjömäta farleder för att få bättre och säkrare sjökort. BALTACAR, om ku</w:t>
      </w:r>
      <w:r w:rsidRPr="00DE5711">
        <w:t>l</w:t>
      </w:r>
      <w:r w:rsidRPr="00DE5711">
        <w:t xml:space="preserve">turarvet under vattenytan, har ännu inte startat upp. </w:t>
      </w:r>
    </w:p>
    <w:p w:rsidR="00C8790B" w:rsidRPr="00DE5711" w:rsidRDefault="009437B7" w:rsidP="009437B7">
      <w:r>
        <w:tab/>
      </w:r>
      <w:r w:rsidR="00C8790B" w:rsidRPr="00DE5711">
        <w:t>EU-finansieringen utgör 75 % av godkänd budget och överstiger 2,1 miljoner euro för ovannämnda tio godkända projekt. Ålands landskapsreg</w:t>
      </w:r>
      <w:r w:rsidR="00C8790B" w:rsidRPr="00DE5711">
        <w:t>e</w:t>
      </w:r>
      <w:r w:rsidR="00C8790B" w:rsidRPr="00DE5711">
        <w:t>ring står för den nationella medfinansieringen på max 25 %.</w:t>
      </w:r>
    </w:p>
    <w:p w:rsidR="00C8790B" w:rsidRPr="00DB45BE" w:rsidRDefault="009437B7" w:rsidP="009437B7">
      <w:pPr>
        <w:rPr>
          <w:rFonts w:cs="Times-Roman"/>
          <w:szCs w:val="22"/>
        </w:rPr>
      </w:pPr>
      <w:r>
        <w:tab/>
      </w:r>
      <w:r w:rsidR="00C8790B" w:rsidRPr="00DE5711">
        <w:t xml:space="preserve">Kännetecknande för Central Baltic-projekt är fokus på konkreta resultat. Det skall finnas ett tydligt mervärde i att man samarbetar över gränserna och partnerskap från </w:t>
      </w:r>
      <w:r w:rsidR="00C8790B" w:rsidRPr="00DB45BE">
        <w:t xml:space="preserve">åtminstone två länder inom programområdet skall vara relevant. Möjliga partner är myndigheter, organisationer, föreningar och i vissa fall företag. </w:t>
      </w:r>
    </w:p>
    <w:p w:rsidR="002C3739" w:rsidRPr="00DB45BE" w:rsidRDefault="002C3739" w:rsidP="002C3739">
      <w:pPr>
        <w:pStyle w:val="Rubrik2"/>
        <w:numPr>
          <w:ilvl w:val="1"/>
          <w:numId w:val="4"/>
        </w:numPr>
      </w:pPr>
      <w:bookmarkStart w:id="214" w:name="_Toc477424021"/>
      <w:r w:rsidRPr="00DB45BE">
        <w:t>4.</w:t>
      </w:r>
      <w:r w:rsidR="008842B6" w:rsidRPr="00DB45BE">
        <w:t>4</w:t>
      </w:r>
      <w:r w:rsidRPr="00DB45BE">
        <w:t xml:space="preserve"> B7</w:t>
      </w:r>
      <w:bookmarkEnd w:id="203"/>
      <w:bookmarkEnd w:id="212"/>
      <w:bookmarkEnd w:id="213"/>
      <w:bookmarkEnd w:id="214"/>
    </w:p>
    <w:p w:rsidR="002C3739" w:rsidRPr="00A7694D" w:rsidRDefault="002C3739" w:rsidP="00DB45BE">
      <w:bookmarkStart w:id="215" w:name="_Toc412712711"/>
      <w:r w:rsidRPr="00DB45BE">
        <w:t>B7-samarbetet grundades 1989 av de sju största öarna i Östersjön; Bor</w:t>
      </w:r>
      <w:r w:rsidRPr="00DB45BE">
        <w:t>n</w:t>
      </w:r>
      <w:r w:rsidRPr="00DB45BE">
        <w:t>holm, Dagö, Gotland, Rügen, Åland, Öland och Ösel. Det primära syftet med samarbetet är att på olika plan bidra till öarnas utveckling och att uppnå mål gemensamma</w:t>
      </w:r>
      <w:r w:rsidRPr="00A7694D">
        <w:t xml:space="preserve"> för öar. Åland deltar i samarbetet genom en repr</w:t>
      </w:r>
      <w:r w:rsidRPr="00A7694D">
        <w:t>e</w:t>
      </w:r>
      <w:r w:rsidRPr="00A7694D">
        <w:t>sentant i B7:s politiska styrgrupp (Political Steering Group), samt genom en representant i B7:s koordinationsgrupp (Coordinators Group).</w:t>
      </w:r>
    </w:p>
    <w:p w:rsidR="002C3739" w:rsidRPr="00A7694D" w:rsidRDefault="00DB45BE" w:rsidP="002C3739">
      <w:r>
        <w:tab/>
      </w:r>
      <w:r w:rsidR="002C3739" w:rsidRPr="00A7694D">
        <w:t>De senaste åren har det skett ett antal förändringar i B7:s struktur och samarbetsform, bland annat då medlemsöarna minskat i antal genom Bor</w:t>
      </w:r>
      <w:r w:rsidR="002C3739" w:rsidRPr="00A7694D">
        <w:t>n</w:t>
      </w:r>
      <w:r w:rsidR="002C3739" w:rsidRPr="00A7694D">
        <w:t xml:space="preserve">holms utträde 2013 och Ölands utträde 2014. Trots pådrivningar från den politiska styrgruppen har ingen av öarna återvänt till samarbetet. </w:t>
      </w:r>
    </w:p>
    <w:p w:rsidR="00971422" w:rsidRPr="00971422" w:rsidRDefault="00DB45BE" w:rsidP="002C3739">
      <w:r>
        <w:tab/>
      </w:r>
      <w:r w:rsidR="002C3739" w:rsidRPr="00A7694D">
        <w:t>I enlighet med landskapsregeringens strävanden har samarbetet avvec</w:t>
      </w:r>
      <w:r w:rsidR="002C3739" w:rsidRPr="00A7694D">
        <w:t>k</w:t>
      </w:r>
      <w:r w:rsidR="002C3739" w:rsidRPr="00A7694D">
        <w:t>lats. Det innebär i praktiken att samarbetet under kommande år ska fok</w:t>
      </w:r>
      <w:r w:rsidR="002C3739" w:rsidRPr="00A7694D">
        <w:t>u</w:t>
      </w:r>
      <w:r w:rsidR="002C3739" w:rsidRPr="00A7694D">
        <w:t xml:space="preserve">sera främst på B7-spelen och på ett konst- och </w:t>
      </w:r>
      <w:r w:rsidR="002C3739" w:rsidRPr="00971422">
        <w:t>kulturprojekt. Syftet med B7-spelen är att ungdomar från de olika öarna ska kunna mötas och umgås genom idrotten, medan konst- och kulturprojektet ska sammanföra konstn</w:t>
      </w:r>
      <w:r w:rsidR="002C3739" w:rsidRPr="00971422">
        <w:t>ä</w:t>
      </w:r>
      <w:r w:rsidR="002C3739" w:rsidRPr="00971422">
        <w:t xml:space="preserve">rer från medlemsöarna i en gemensam utställning. </w:t>
      </w:r>
      <w:r w:rsidR="00971422" w:rsidRPr="00971422">
        <w:t>Ordförandeskapet i B7 roterar mellan öarna och innehas av Rügen 2017-2018. Både B7-spelen och konst-och kulturprojekten anordnas 2018 på Rügen.</w:t>
      </w:r>
    </w:p>
    <w:p w:rsidR="002C3739" w:rsidRPr="00971422" w:rsidRDefault="00971422" w:rsidP="002C3739">
      <w:r w:rsidRPr="00971422">
        <w:tab/>
      </w:r>
      <w:r w:rsidR="002C3739" w:rsidRPr="00971422">
        <w:t>Under 2015 övertog Åland ansvaret efter Öland att förvalta B7:s medel samt det begränsade arbetet med att administrera samarbetets gemensamma konto.</w:t>
      </w:r>
    </w:p>
    <w:p w:rsidR="002C3739" w:rsidRPr="00971422" w:rsidRDefault="008842B6" w:rsidP="002C3739">
      <w:pPr>
        <w:pStyle w:val="Rubrik2"/>
        <w:numPr>
          <w:ilvl w:val="1"/>
          <w:numId w:val="4"/>
        </w:numPr>
      </w:pPr>
      <w:bookmarkStart w:id="216" w:name="_Toc442442877"/>
      <w:bookmarkStart w:id="217" w:name="_Toc477424022"/>
      <w:r w:rsidRPr="00971422">
        <w:t>4.5</w:t>
      </w:r>
      <w:r w:rsidR="002C3739" w:rsidRPr="00971422">
        <w:t xml:space="preserve"> Kultursamarbete</w:t>
      </w:r>
      <w:bookmarkEnd w:id="215"/>
      <w:bookmarkEnd w:id="216"/>
      <w:bookmarkEnd w:id="217"/>
    </w:p>
    <w:p w:rsidR="00B54CD7" w:rsidRPr="00F963A5" w:rsidRDefault="00B54CD7" w:rsidP="004E0D2D">
      <w:bookmarkStart w:id="218" w:name="_Toc442442878"/>
      <w:bookmarkStart w:id="219" w:name="_Toc410897691"/>
      <w:r w:rsidRPr="00971422">
        <w:t>Samarbetet med Gävle symfoniorkester har fortgått. Enligt ett avtal mellan parterna ger orkestern två konserter i Alandica Kultur och Kongress per år</w:t>
      </w:r>
      <w:r w:rsidR="00F963A5" w:rsidRPr="00971422">
        <w:t>. Därutöver samarbetar orkestern</w:t>
      </w:r>
      <w:r w:rsidRPr="00971422">
        <w:t xml:space="preserve"> med Ålands musikinstitut i samband med sina besök på Åland. Samarbetet kan gälla workshops för längre hunna m</w:t>
      </w:r>
      <w:r w:rsidRPr="00971422">
        <w:t>u</w:t>
      </w:r>
      <w:r w:rsidRPr="00971422">
        <w:t>sikstuderande, och några av institutets elever har också givits möjlighet att spela med orkestern</w:t>
      </w:r>
      <w:r w:rsidRPr="00F963A5">
        <w:t>. De konserter som Gävle symfoniorkester hittills har givit har varit välbesökta. Avtalet gäller till och med 2018.</w:t>
      </w:r>
    </w:p>
    <w:p w:rsidR="00B54CD7" w:rsidRPr="00F963A5" w:rsidRDefault="004E0D2D" w:rsidP="004E0D2D">
      <w:r>
        <w:tab/>
      </w:r>
      <w:r w:rsidR="00B54CD7" w:rsidRPr="00F963A5">
        <w:t>Under 2016 har planeringen av uppmärksammandet av Finlands själ</w:t>
      </w:r>
      <w:r w:rsidR="00B54CD7" w:rsidRPr="00F963A5">
        <w:t>v</w:t>
      </w:r>
      <w:r w:rsidR="00B54CD7" w:rsidRPr="00F963A5">
        <w:t>ständighets 100</w:t>
      </w:r>
      <w:r w:rsidR="00E67C0D">
        <w:t>-</w:t>
      </w:r>
      <w:r w:rsidR="00B54CD7" w:rsidRPr="00F963A5">
        <w:t>årsjubileum påbörjats. Den åländska delen av jubiléet sker i samverkan med projektet Finland 100. Landskapsregeringen avser ordna några egna programpunkter under sommarhalvåret med anledning av 100-år</w:t>
      </w:r>
      <w:r w:rsidR="00F963A5">
        <w:t xml:space="preserve">sjubiléet. Dessutom </w:t>
      </w:r>
      <w:r w:rsidR="00B54CD7" w:rsidRPr="00F963A5">
        <w:t>har särskilda medel lediganslagits att sökas av org</w:t>
      </w:r>
      <w:r w:rsidR="00B54CD7" w:rsidRPr="00F963A5">
        <w:t>a</w:t>
      </w:r>
      <w:r w:rsidR="00B54CD7" w:rsidRPr="00F963A5">
        <w:t xml:space="preserve">nisationer som vill arrangera egna jubileumsprogram. </w:t>
      </w:r>
    </w:p>
    <w:p w:rsidR="00B54CD7" w:rsidRPr="00BD1564" w:rsidRDefault="004E0D2D" w:rsidP="004E0D2D">
      <w:r>
        <w:tab/>
      </w:r>
      <w:r w:rsidR="00B54CD7" w:rsidRPr="00BD1564">
        <w:t>I början av 2014 blev landskapsregeringen medlem i Filmregion Stoc</w:t>
      </w:r>
      <w:r w:rsidR="00B54CD7" w:rsidRPr="00BD1564">
        <w:t>k</w:t>
      </w:r>
      <w:r w:rsidR="00B54CD7" w:rsidRPr="00BD1564">
        <w:t>holm-Mälardalen. Orsaken till detta var att flera produktionsbolag under de senaste åren har förlagt sina filminspelningar till Åland och dessa produk</w:t>
      </w:r>
      <w:r w:rsidR="00B54CD7" w:rsidRPr="00BD1564">
        <w:t>t</w:t>
      </w:r>
      <w:r w:rsidR="00B54CD7" w:rsidRPr="00BD1564">
        <w:t xml:space="preserve">ioner har beviljats finansiellt stöd </w:t>
      </w:r>
      <w:r w:rsidR="00E67C0D">
        <w:t>i form av</w:t>
      </w:r>
      <w:r w:rsidR="00B54CD7" w:rsidRPr="00BD1564">
        <w:t xml:space="preserve"> penningautomatmedel. Pr</w:t>
      </w:r>
      <w:r w:rsidR="00B54CD7" w:rsidRPr="00BD1564">
        <w:t>o</w:t>
      </w:r>
      <w:r w:rsidR="00B54CD7" w:rsidRPr="00BD1564">
        <w:t xml:space="preserve">duktionerna har både ett kulturellt och ett kommersiellt värde. Samarbetet </w:t>
      </w:r>
      <w:r w:rsidR="00B54CD7" w:rsidRPr="00BD1564">
        <w:lastRenderedPageBreak/>
        <w:t>har fortgått under året. Dessutom har samarbetet med filmproducenter r</w:t>
      </w:r>
      <w:r w:rsidR="00B54CD7" w:rsidRPr="00BD1564">
        <w:t>e</w:t>
      </w:r>
      <w:r w:rsidR="00B54CD7" w:rsidRPr="00BD1564">
        <w:t>sulterat i att två filmer som delvis är inspelade på Åland har haft premiär under 2016. Det gäller dels Suzanne Ostens barn</w:t>
      </w:r>
      <w:r w:rsidR="00BD1564">
        <w:t>-</w:t>
      </w:r>
      <w:r w:rsidR="00B54CD7" w:rsidRPr="00BD1564">
        <w:t xml:space="preserve"> och ungdomsfilm </w:t>
      </w:r>
      <w:r w:rsidR="00B54CD7" w:rsidRPr="00BD1564">
        <w:rPr>
          <w:i/>
        </w:rPr>
        <w:t>Flic</w:t>
      </w:r>
      <w:r w:rsidR="00B54CD7" w:rsidRPr="00BD1564">
        <w:rPr>
          <w:i/>
        </w:rPr>
        <w:t>k</w:t>
      </w:r>
      <w:r w:rsidR="00B54CD7" w:rsidRPr="00BD1564">
        <w:rPr>
          <w:i/>
        </w:rPr>
        <w:t xml:space="preserve">an, </w:t>
      </w:r>
      <w:r w:rsidR="006840A3">
        <w:rPr>
          <w:i/>
        </w:rPr>
        <w:t>mamman och d</w:t>
      </w:r>
      <w:r w:rsidR="00B54CD7" w:rsidRPr="00BD1564">
        <w:rPr>
          <w:i/>
        </w:rPr>
        <w:t xml:space="preserve">emonerna </w:t>
      </w:r>
      <w:r w:rsidR="00B54CD7" w:rsidRPr="00BD1564">
        <w:t xml:space="preserve">och dels Saara Cantells </w:t>
      </w:r>
      <w:r w:rsidR="00B54CD7" w:rsidRPr="00BD1564">
        <w:rPr>
          <w:i/>
        </w:rPr>
        <w:t>Djävulens brud</w:t>
      </w:r>
      <w:r w:rsidR="00B54CD7" w:rsidRPr="00BD1564">
        <w:t xml:space="preserve"> som </w:t>
      </w:r>
      <w:r w:rsidR="00E67C0D">
        <w:t>handl</w:t>
      </w:r>
      <w:r w:rsidR="00B54CD7" w:rsidRPr="00BD1564">
        <w:t>ar om häxprocesserna på Åland i slutet av 1600-talet.</w:t>
      </w:r>
    </w:p>
    <w:p w:rsidR="002C3739" w:rsidRPr="008421A3" w:rsidRDefault="008842B6" w:rsidP="002C3739">
      <w:pPr>
        <w:pStyle w:val="Rubrik2"/>
        <w:numPr>
          <w:ilvl w:val="1"/>
          <w:numId w:val="4"/>
        </w:numPr>
      </w:pPr>
      <w:bookmarkStart w:id="220" w:name="_Toc477424023"/>
      <w:r w:rsidRPr="008421A3">
        <w:t xml:space="preserve">4.6 </w:t>
      </w:r>
      <w:r w:rsidR="00953D59" w:rsidRPr="008421A3">
        <w:t>M</w:t>
      </w:r>
      <w:r w:rsidR="002C3739" w:rsidRPr="008421A3">
        <w:t>iljösamarbete</w:t>
      </w:r>
      <w:bookmarkEnd w:id="218"/>
      <w:bookmarkEnd w:id="220"/>
    </w:p>
    <w:p w:rsidR="00ED189F" w:rsidRDefault="00C15C44" w:rsidP="002C3739">
      <w:r w:rsidRPr="008421A3">
        <w:t>IPBES (Intergovernmetal platform on biodiveristy and ecosystem services) är en mellanstatlig plattform för biodiversitet och ekosystemtjänster som startade 2012 och i</w:t>
      </w:r>
      <w:r w:rsidR="004E0D2D">
        <w:t xml:space="preserve"> den ingår 125 av FN:s </w:t>
      </w:r>
      <w:r w:rsidR="00E67C0D">
        <w:t>medlems</w:t>
      </w:r>
      <w:r w:rsidR="004E0D2D">
        <w:t xml:space="preserve">stater. </w:t>
      </w:r>
      <w:r w:rsidRPr="008421A3">
        <w:t>Huvudsakligt syfte med IPBES-konceptet är att ge relevant kunskap för att möjliggöra långsiktigt hållbara beslut avseende olika ekosystem och biodiversitet. Hänsyn ska tas till både till traditionell naturvetenskap samt lokal kunskap (kallat ILK holders, dvs. lokala kunskapsbärare). Kommunikation och di</w:t>
      </w:r>
      <w:r w:rsidRPr="008421A3">
        <w:t>a</w:t>
      </w:r>
      <w:r w:rsidRPr="008421A3">
        <w:t>log mellan olika led i samhället är viktigt. År 2014 beslutade de nordiska länderna att initiera och genomföra en nordisk studie baserad på IPBES m</w:t>
      </w:r>
      <w:r w:rsidRPr="008421A3">
        <w:t>e</w:t>
      </w:r>
      <w:r w:rsidRPr="008421A3">
        <w:t xml:space="preserve">toder och riktlinjer, </w:t>
      </w:r>
      <w:r w:rsidRPr="004E0D2D">
        <w:t>vilken koncentreras till kustzonen. Landskapsregerin</w:t>
      </w:r>
      <w:r w:rsidRPr="004E0D2D">
        <w:t>g</w:t>
      </w:r>
      <w:r w:rsidRPr="004E0D2D">
        <w:t>en deltar i studien och en rapport kommer att tas fram under 2017.</w:t>
      </w:r>
    </w:p>
    <w:p w:rsidR="002935A6" w:rsidRPr="004E0D2D" w:rsidRDefault="002935A6" w:rsidP="002C3739"/>
    <w:p w:rsidR="002C3739" w:rsidRPr="004E0D2D" w:rsidRDefault="002C3739" w:rsidP="002C3739">
      <w:pPr>
        <w:pStyle w:val="Rubrik1"/>
        <w:numPr>
          <w:ilvl w:val="0"/>
          <w:numId w:val="0"/>
        </w:numPr>
      </w:pPr>
      <w:bookmarkStart w:id="221" w:name="_Toc412712713"/>
      <w:bookmarkStart w:id="222" w:name="_Toc442442882"/>
      <w:bookmarkStart w:id="223" w:name="_Toc477424024"/>
      <w:bookmarkEnd w:id="219"/>
      <w:r w:rsidRPr="004E0D2D">
        <w:t>5. Bilaga, Årsberättelse för aktiviteter i Nordiska ministerrådet 201</w:t>
      </w:r>
      <w:bookmarkEnd w:id="221"/>
      <w:bookmarkEnd w:id="222"/>
      <w:r w:rsidR="00E94E49">
        <w:t>6</w:t>
      </w:r>
      <w:bookmarkEnd w:id="223"/>
    </w:p>
    <w:p w:rsidR="002C3739" w:rsidRPr="004E0D2D" w:rsidRDefault="002C3739" w:rsidP="0039594D"/>
    <w:p w:rsidR="008842B6" w:rsidRPr="006E785C" w:rsidRDefault="008842B6" w:rsidP="00006BAE">
      <w:pPr>
        <w:pStyle w:val="ANormal"/>
      </w:pPr>
      <w:r w:rsidRPr="004E0D2D">
        <w:br w:type="page"/>
      </w:r>
    </w:p>
    <w:tbl>
      <w:tblPr>
        <w:tblW w:w="5000" w:type="pct"/>
        <w:tblLayout w:type="fixed"/>
        <w:tblCellMar>
          <w:left w:w="0" w:type="dxa"/>
          <w:right w:w="0" w:type="dxa"/>
        </w:tblCellMar>
        <w:tblLook w:val="0000" w:firstRow="0" w:lastRow="0" w:firstColumn="0" w:lastColumn="0" w:noHBand="0" w:noVBand="0"/>
      </w:tblPr>
      <w:tblGrid>
        <w:gridCol w:w="605"/>
        <w:gridCol w:w="3095"/>
        <w:gridCol w:w="1204"/>
        <w:gridCol w:w="1786"/>
      </w:tblGrid>
      <w:tr w:rsidR="006E785C" w:rsidRPr="006E785C" w:rsidTr="00006BAE">
        <w:trPr>
          <w:cantSplit/>
          <w:trHeight w:val="20"/>
        </w:trPr>
        <w:tc>
          <w:tcPr>
            <w:tcW w:w="861" w:type="dxa"/>
            <w:vMerge w:val="restart"/>
          </w:tcPr>
          <w:p w:rsidR="008842B6" w:rsidRPr="006E785C" w:rsidRDefault="0038228F" w:rsidP="00006BAE">
            <w:pPr>
              <w:pStyle w:val="xLedtext"/>
              <w:keepNext/>
              <w:rPr>
                <w:noProof/>
              </w:rPr>
            </w:pPr>
            <w:r>
              <w:rPr>
                <w:noProof/>
              </w:rPr>
              <w:pict>
                <v:shape id="Bildobjekt 2" o:spid="_x0000_s1027" type="#_x0000_t75" alt="regeringen_svartvit" style="position:absolute;margin-left:0;margin-top:-3.25pt;width:177.7pt;height: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6" o:title="regeringen_svartvit"/>
                </v:shape>
              </w:pict>
            </w:r>
          </w:p>
        </w:tc>
        <w:tc>
          <w:tcPr>
            <w:tcW w:w="8736" w:type="dxa"/>
            <w:gridSpan w:val="3"/>
            <w:vAlign w:val="bottom"/>
          </w:tcPr>
          <w:p w:rsidR="008842B6" w:rsidRPr="006E785C" w:rsidRDefault="0038228F" w:rsidP="00006BAE">
            <w:pPr>
              <w:pStyle w:val="xMellanrum"/>
            </w:pPr>
            <w:r>
              <w:rPr>
                <w:noProof/>
              </w:rPr>
              <w:pict>
                <v:shape id="Bildobjekt 1" o:spid="_x0000_i1026" type="#_x0000_t75" alt="5x5px" style="width:3.75pt;height:3.75pt;visibility:visible;mso-wrap-style:square">
                  <v:imagedata r:id="rId10" o:title="5x5px"/>
                </v:shape>
              </w:pict>
            </w:r>
          </w:p>
        </w:tc>
      </w:tr>
      <w:tr w:rsidR="006E785C" w:rsidRPr="006E785C" w:rsidTr="00006BAE">
        <w:trPr>
          <w:cantSplit/>
          <w:trHeight w:val="299"/>
        </w:trPr>
        <w:tc>
          <w:tcPr>
            <w:tcW w:w="861" w:type="dxa"/>
            <w:vMerge/>
          </w:tcPr>
          <w:p w:rsidR="008842B6" w:rsidRPr="006E785C" w:rsidRDefault="008842B6" w:rsidP="00006BAE">
            <w:pPr>
              <w:pStyle w:val="xLedtext"/>
            </w:pPr>
          </w:p>
        </w:tc>
        <w:tc>
          <w:tcPr>
            <w:tcW w:w="4448" w:type="dxa"/>
            <w:vAlign w:val="bottom"/>
          </w:tcPr>
          <w:p w:rsidR="008842B6" w:rsidRPr="006E785C" w:rsidRDefault="008842B6" w:rsidP="00006BAE">
            <w:pPr>
              <w:pStyle w:val="xAvsandare1"/>
            </w:pPr>
          </w:p>
        </w:tc>
        <w:tc>
          <w:tcPr>
            <w:tcW w:w="4288" w:type="dxa"/>
            <w:gridSpan w:val="2"/>
            <w:vAlign w:val="bottom"/>
          </w:tcPr>
          <w:p w:rsidR="008842B6" w:rsidRPr="006E785C" w:rsidRDefault="008842B6" w:rsidP="006E785C">
            <w:pPr>
              <w:pStyle w:val="xDokTypNr"/>
            </w:pPr>
            <w:r w:rsidRPr="006E785C">
              <w:t>BILAGA 1 till M</w:t>
            </w:r>
            <w:r w:rsidR="006E785C" w:rsidRPr="006E785C">
              <w:t>3</w:t>
            </w:r>
            <w:r w:rsidRPr="006E785C">
              <w:t>/201</w:t>
            </w:r>
            <w:r w:rsidR="00A71BB0" w:rsidRPr="006E785C">
              <w:t>6</w:t>
            </w:r>
            <w:r w:rsidRPr="006E785C">
              <w:t>-201</w:t>
            </w:r>
            <w:r w:rsidR="00A71BB0" w:rsidRPr="006E785C">
              <w:t>7</w:t>
            </w:r>
          </w:p>
        </w:tc>
      </w:tr>
      <w:tr w:rsidR="006E785C" w:rsidRPr="006E785C" w:rsidTr="00006BAE">
        <w:trPr>
          <w:cantSplit/>
          <w:trHeight w:val="238"/>
        </w:trPr>
        <w:tc>
          <w:tcPr>
            <w:tcW w:w="861" w:type="dxa"/>
            <w:vMerge/>
          </w:tcPr>
          <w:p w:rsidR="008842B6" w:rsidRPr="006E785C" w:rsidRDefault="008842B6" w:rsidP="00006BAE">
            <w:pPr>
              <w:pStyle w:val="xLedtext"/>
            </w:pPr>
          </w:p>
        </w:tc>
        <w:tc>
          <w:tcPr>
            <w:tcW w:w="4448" w:type="dxa"/>
            <w:vAlign w:val="bottom"/>
          </w:tcPr>
          <w:p w:rsidR="008842B6" w:rsidRPr="006E785C" w:rsidRDefault="008842B6" w:rsidP="00006BAE">
            <w:pPr>
              <w:pStyle w:val="xLedtext"/>
            </w:pPr>
          </w:p>
        </w:tc>
        <w:tc>
          <w:tcPr>
            <w:tcW w:w="1725" w:type="dxa"/>
            <w:vAlign w:val="bottom"/>
          </w:tcPr>
          <w:p w:rsidR="008842B6" w:rsidRPr="006E785C" w:rsidRDefault="008842B6" w:rsidP="00006BAE">
            <w:pPr>
              <w:pStyle w:val="xLedtext"/>
            </w:pPr>
            <w:r w:rsidRPr="006E785C">
              <w:t>Datum</w:t>
            </w:r>
          </w:p>
        </w:tc>
        <w:tc>
          <w:tcPr>
            <w:tcW w:w="2563" w:type="dxa"/>
            <w:vAlign w:val="bottom"/>
          </w:tcPr>
          <w:p w:rsidR="008842B6" w:rsidRPr="006E785C" w:rsidRDefault="008842B6" w:rsidP="00006BAE">
            <w:pPr>
              <w:pStyle w:val="xLedtext"/>
            </w:pPr>
          </w:p>
        </w:tc>
      </w:tr>
      <w:tr w:rsidR="006E785C" w:rsidRPr="006E785C" w:rsidTr="00006BAE">
        <w:trPr>
          <w:cantSplit/>
          <w:trHeight w:val="238"/>
        </w:trPr>
        <w:tc>
          <w:tcPr>
            <w:tcW w:w="861" w:type="dxa"/>
            <w:vMerge/>
          </w:tcPr>
          <w:p w:rsidR="008842B6" w:rsidRPr="006E785C" w:rsidRDefault="008842B6" w:rsidP="00006BAE">
            <w:pPr>
              <w:pStyle w:val="xAvsandare2"/>
            </w:pPr>
          </w:p>
        </w:tc>
        <w:tc>
          <w:tcPr>
            <w:tcW w:w="4448" w:type="dxa"/>
            <w:vAlign w:val="center"/>
          </w:tcPr>
          <w:p w:rsidR="008842B6" w:rsidRPr="006E785C" w:rsidRDefault="008842B6" w:rsidP="00006BAE">
            <w:pPr>
              <w:pStyle w:val="xAvsandare2"/>
            </w:pPr>
          </w:p>
        </w:tc>
        <w:tc>
          <w:tcPr>
            <w:tcW w:w="1725" w:type="dxa"/>
            <w:vAlign w:val="center"/>
          </w:tcPr>
          <w:p w:rsidR="008842B6" w:rsidRPr="006E785C" w:rsidRDefault="008842B6" w:rsidP="006E785C">
            <w:pPr>
              <w:pStyle w:val="xDatum1"/>
            </w:pPr>
            <w:r w:rsidRPr="006E785C">
              <w:t>201</w:t>
            </w:r>
            <w:r w:rsidR="00A71BB0" w:rsidRPr="006E785C">
              <w:t>7</w:t>
            </w:r>
            <w:r w:rsidRPr="006E785C">
              <w:t>-</w:t>
            </w:r>
            <w:r w:rsidR="006E785C" w:rsidRPr="006E785C">
              <w:t>03</w:t>
            </w:r>
            <w:r w:rsidRPr="006E785C">
              <w:t>-</w:t>
            </w:r>
            <w:r w:rsidR="006E785C" w:rsidRPr="006E785C">
              <w:t>16</w:t>
            </w:r>
          </w:p>
        </w:tc>
        <w:tc>
          <w:tcPr>
            <w:tcW w:w="2563" w:type="dxa"/>
            <w:vAlign w:val="center"/>
          </w:tcPr>
          <w:p w:rsidR="008842B6" w:rsidRPr="006E785C" w:rsidRDefault="008842B6" w:rsidP="00006BAE">
            <w:pPr>
              <w:pStyle w:val="xBeteckning1"/>
            </w:pPr>
          </w:p>
        </w:tc>
      </w:tr>
      <w:tr w:rsidR="006E785C" w:rsidRPr="006E785C" w:rsidTr="00006BAE">
        <w:trPr>
          <w:cantSplit/>
          <w:trHeight w:val="238"/>
        </w:trPr>
        <w:tc>
          <w:tcPr>
            <w:tcW w:w="861" w:type="dxa"/>
            <w:vMerge/>
          </w:tcPr>
          <w:p w:rsidR="008842B6" w:rsidRPr="006E785C" w:rsidRDefault="008842B6" w:rsidP="00006BAE">
            <w:pPr>
              <w:pStyle w:val="xLedtext"/>
            </w:pPr>
          </w:p>
        </w:tc>
        <w:tc>
          <w:tcPr>
            <w:tcW w:w="4448" w:type="dxa"/>
            <w:vAlign w:val="bottom"/>
          </w:tcPr>
          <w:p w:rsidR="008842B6" w:rsidRPr="006E785C" w:rsidRDefault="008842B6" w:rsidP="00006BAE">
            <w:pPr>
              <w:pStyle w:val="xLedtext"/>
            </w:pPr>
          </w:p>
        </w:tc>
        <w:tc>
          <w:tcPr>
            <w:tcW w:w="1725" w:type="dxa"/>
            <w:vAlign w:val="bottom"/>
          </w:tcPr>
          <w:p w:rsidR="008842B6" w:rsidRPr="006E785C" w:rsidRDefault="008842B6" w:rsidP="00006BAE">
            <w:pPr>
              <w:pStyle w:val="xLedtext"/>
            </w:pPr>
          </w:p>
        </w:tc>
        <w:tc>
          <w:tcPr>
            <w:tcW w:w="2563" w:type="dxa"/>
            <w:vAlign w:val="bottom"/>
          </w:tcPr>
          <w:p w:rsidR="008842B6" w:rsidRPr="006E785C" w:rsidRDefault="008842B6" w:rsidP="00006BAE">
            <w:pPr>
              <w:pStyle w:val="xLedtext"/>
            </w:pPr>
          </w:p>
        </w:tc>
      </w:tr>
      <w:tr w:rsidR="006E785C" w:rsidRPr="006E785C" w:rsidTr="00006BAE">
        <w:trPr>
          <w:cantSplit/>
          <w:trHeight w:val="238"/>
        </w:trPr>
        <w:tc>
          <w:tcPr>
            <w:tcW w:w="861" w:type="dxa"/>
            <w:vMerge/>
            <w:tcBorders>
              <w:bottom w:val="single" w:sz="4" w:space="0" w:color="auto"/>
            </w:tcBorders>
          </w:tcPr>
          <w:p w:rsidR="008842B6" w:rsidRPr="006E785C" w:rsidRDefault="008842B6" w:rsidP="00006BAE">
            <w:pPr>
              <w:pStyle w:val="xAvsandare3"/>
            </w:pPr>
          </w:p>
        </w:tc>
        <w:tc>
          <w:tcPr>
            <w:tcW w:w="4448" w:type="dxa"/>
            <w:tcBorders>
              <w:bottom w:val="single" w:sz="4" w:space="0" w:color="auto"/>
            </w:tcBorders>
            <w:vAlign w:val="center"/>
          </w:tcPr>
          <w:p w:rsidR="008842B6" w:rsidRPr="006E785C" w:rsidRDefault="008842B6" w:rsidP="00006BAE">
            <w:pPr>
              <w:pStyle w:val="xAvsandare3"/>
            </w:pPr>
          </w:p>
        </w:tc>
        <w:tc>
          <w:tcPr>
            <w:tcW w:w="1725" w:type="dxa"/>
            <w:tcBorders>
              <w:bottom w:val="single" w:sz="4" w:space="0" w:color="auto"/>
            </w:tcBorders>
            <w:vAlign w:val="center"/>
          </w:tcPr>
          <w:p w:rsidR="008842B6" w:rsidRPr="006E785C" w:rsidRDefault="008842B6" w:rsidP="00006BAE">
            <w:pPr>
              <w:pStyle w:val="xDatum2"/>
            </w:pPr>
          </w:p>
        </w:tc>
        <w:tc>
          <w:tcPr>
            <w:tcW w:w="2563" w:type="dxa"/>
            <w:tcBorders>
              <w:bottom w:val="single" w:sz="4" w:space="0" w:color="auto"/>
            </w:tcBorders>
            <w:vAlign w:val="center"/>
          </w:tcPr>
          <w:p w:rsidR="008842B6" w:rsidRPr="006E785C" w:rsidRDefault="008842B6" w:rsidP="00006BAE">
            <w:pPr>
              <w:pStyle w:val="xBeteckning2"/>
            </w:pPr>
          </w:p>
        </w:tc>
      </w:tr>
      <w:tr w:rsidR="006E785C" w:rsidRPr="006E785C" w:rsidTr="00006BAE">
        <w:trPr>
          <w:cantSplit/>
          <w:trHeight w:val="238"/>
        </w:trPr>
        <w:tc>
          <w:tcPr>
            <w:tcW w:w="861" w:type="dxa"/>
            <w:tcBorders>
              <w:top w:val="single" w:sz="4" w:space="0" w:color="auto"/>
            </w:tcBorders>
            <w:vAlign w:val="bottom"/>
          </w:tcPr>
          <w:p w:rsidR="008842B6" w:rsidRPr="006E785C" w:rsidRDefault="008842B6" w:rsidP="00006BAE">
            <w:pPr>
              <w:pStyle w:val="xLedtext"/>
            </w:pPr>
          </w:p>
        </w:tc>
        <w:tc>
          <w:tcPr>
            <w:tcW w:w="4448" w:type="dxa"/>
            <w:tcBorders>
              <w:top w:val="single" w:sz="4" w:space="0" w:color="auto"/>
            </w:tcBorders>
            <w:vAlign w:val="bottom"/>
          </w:tcPr>
          <w:p w:rsidR="008842B6" w:rsidRPr="006E785C" w:rsidRDefault="008842B6" w:rsidP="00006BAE">
            <w:pPr>
              <w:pStyle w:val="xLedtext"/>
            </w:pPr>
          </w:p>
        </w:tc>
        <w:tc>
          <w:tcPr>
            <w:tcW w:w="4288" w:type="dxa"/>
            <w:gridSpan w:val="2"/>
            <w:tcBorders>
              <w:top w:val="single" w:sz="4" w:space="0" w:color="auto"/>
            </w:tcBorders>
            <w:vAlign w:val="bottom"/>
          </w:tcPr>
          <w:p w:rsidR="008842B6" w:rsidRPr="006E785C" w:rsidRDefault="008842B6" w:rsidP="00006BAE">
            <w:pPr>
              <w:pStyle w:val="xLedtext"/>
            </w:pPr>
          </w:p>
        </w:tc>
      </w:tr>
    </w:tbl>
    <w:p w:rsidR="008842B6" w:rsidRPr="006E785C" w:rsidRDefault="008842B6" w:rsidP="00006BAE">
      <w:pPr>
        <w:rPr>
          <w:b/>
          <w:bCs/>
        </w:rPr>
        <w:sectPr w:rsidR="008842B6" w:rsidRPr="006E785C" w:rsidSect="0011521E">
          <w:footerReference w:type="even" r:id="rId17"/>
          <w:type w:val="continuous"/>
          <w:pgSz w:w="11906" w:h="16838" w:code="9"/>
          <w:pgMar w:top="1134" w:right="3175" w:bottom="1247" w:left="2041" w:header="737" w:footer="737" w:gutter="0"/>
          <w:pgNumType w:start="1"/>
          <w:cols w:space="720"/>
          <w:formProt w:val="0"/>
          <w:titlePg/>
          <w:docGrid w:linePitch="299"/>
        </w:sectPr>
      </w:pPr>
    </w:p>
    <w:p w:rsidR="008842B6" w:rsidRPr="006E785C" w:rsidRDefault="008842B6" w:rsidP="00006BAE">
      <w:pPr>
        <w:pStyle w:val="ArendeOverRubrik"/>
      </w:pPr>
    </w:p>
    <w:p w:rsidR="008842B6" w:rsidRPr="006E785C" w:rsidRDefault="008842B6" w:rsidP="00006BAE">
      <w:pPr>
        <w:pStyle w:val="ArendeOverRubrik"/>
      </w:pPr>
      <w:r w:rsidRPr="006E785C">
        <w:t xml:space="preserve">Bilaga 1 till landskapsregeringens meddelande nr </w:t>
      </w:r>
      <w:r w:rsidR="006E785C" w:rsidRPr="006E785C">
        <w:t>3</w:t>
      </w:r>
      <w:r w:rsidRPr="006E785C">
        <w:t>/201</w:t>
      </w:r>
      <w:r w:rsidR="000B6858" w:rsidRPr="006E785C">
        <w:t>6</w:t>
      </w:r>
      <w:r w:rsidRPr="006E785C">
        <w:t>-201</w:t>
      </w:r>
      <w:r w:rsidR="000B6858" w:rsidRPr="006E785C">
        <w:t>7</w:t>
      </w:r>
    </w:p>
    <w:p w:rsidR="008842B6" w:rsidRPr="006E785C" w:rsidRDefault="008842B6" w:rsidP="00006BAE">
      <w:pPr>
        <w:pStyle w:val="ArendeRubrik"/>
      </w:pPr>
    </w:p>
    <w:p w:rsidR="008842B6" w:rsidRPr="006E785C" w:rsidRDefault="008842B6" w:rsidP="00006BAE">
      <w:pPr>
        <w:pStyle w:val="ArendeRubrik"/>
      </w:pPr>
      <w:r w:rsidRPr="006E785C">
        <w:t>Årsberättelse för aktiviteter i Nordiska ministerrådet 201</w:t>
      </w:r>
      <w:r w:rsidR="000B6858" w:rsidRPr="006E785C">
        <w:t>6</w:t>
      </w:r>
    </w:p>
    <w:p w:rsidR="008842B6" w:rsidRPr="006E785C" w:rsidRDefault="008842B6" w:rsidP="004E0D2D">
      <w:pPr>
        <w:pStyle w:val="Rubrik1"/>
        <w:numPr>
          <w:ilvl w:val="0"/>
          <w:numId w:val="0"/>
        </w:numPr>
      </w:pPr>
      <w:bookmarkStart w:id="224" w:name="_Toc410992915"/>
      <w:bookmarkStart w:id="225" w:name="_Toc412443837"/>
      <w:bookmarkStart w:id="226" w:name="_Toc412452755"/>
      <w:bookmarkStart w:id="227" w:name="_Toc442361084"/>
      <w:bookmarkStart w:id="228" w:name="_Toc442442883"/>
      <w:bookmarkStart w:id="229" w:name="_Toc442707721"/>
      <w:bookmarkStart w:id="230" w:name="_Toc443054929"/>
      <w:bookmarkStart w:id="231" w:name="_Toc444255892"/>
      <w:bookmarkStart w:id="232" w:name="_Toc444516713"/>
      <w:bookmarkStart w:id="233" w:name="_Toc474851928"/>
      <w:bookmarkStart w:id="234" w:name="_Toc475356604"/>
      <w:bookmarkStart w:id="235" w:name="_Toc477164741"/>
      <w:bookmarkStart w:id="236" w:name="_Toc477424025"/>
      <w:r w:rsidRPr="006E785C">
        <w:t>1. Åland</w:t>
      </w:r>
      <w:bookmarkEnd w:id="224"/>
      <w:r w:rsidRPr="006E785C">
        <w:t xml:space="preserve"> i Nordiska ministerrådet</w:t>
      </w:r>
      <w:bookmarkEnd w:id="225"/>
      <w:bookmarkEnd w:id="226"/>
      <w:bookmarkEnd w:id="227"/>
      <w:bookmarkEnd w:id="228"/>
      <w:bookmarkEnd w:id="229"/>
      <w:bookmarkEnd w:id="230"/>
      <w:bookmarkEnd w:id="231"/>
      <w:bookmarkEnd w:id="232"/>
      <w:bookmarkEnd w:id="233"/>
      <w:bookmarkEnd w:id="234"/>
      <w:bookmarkEnd w:id="235"/>
      <w:bookmarkEnd w:id="236"/>
    </w:p>
    <w:p w:rsidR="00B374FB" w:rsidRPr="009B298B" w:rsidRDefault="00B374FB" w:rsidP="00B374FB">
      <w:bookmarkStart w:id="237" w:name="_Toc410992916"/>
      <w:bookmarkStart w:id="238" w:name="_Toc412443838"/>
      <w:bookmarkStart w:id="239" w:name="_Toc412452756"/>
      <w:bookmarkStart w:id="240" w:name="_Toc442361085"/>
      <w:bookmarkStart w:id="241" w:name="_Toc442442884"/>
      <w:bookmarkStart w:id="242" w:name="_Toc442707722"/>
      <w:bookmarkStart w:id="243" w:name="_Toc443054930"/>
      <w:bookmarkStart w:id="244" w:name="_Toc444255893"/>
      <w:bookmarkStart w:id="245" w:name="_Toc444516714"/>
      <w:r w:rsidRPr="009B298B">
        <w:t>Nordiska ministerrådet är - trots namnet - egentligen inte ett utan elva m</w:t>
      </w:r>
      <w:r w:rsidRPr="009B298B">
        <w:t>i</w:t>
      </w:r>
      <w:r w:rsidRPr="009B298B">
        <w:t>nisterråd (MR). De nordiska fackministrarna möts i sina respektive m</w:t>
      </w:r>
      <w:r w:rsidRPr="009B298B">
        <w:t>i</w:t>
      </w:r>
      <w:r w:rsidRPr="009B298B">
        <w:t>nisterråd i genomsnitt ett par gånger om året.</w:t>
      </w:r>
      <w:r w:rsidRPr="009B298B">
        <w:tab/>
      </w:r>
    </w:p>
    <w:p w:rsidR="00B374FB" w:rsidRPr="009B298B" w:rsidRDefault="00B374FB" w:rsidP="00B374FB">
      <w:r w:rsidRPr="009B298B">
        <w:tab/>
        <w:t>Tjänstemännens berednings- och uppföljande möten sker i ämbetsma</w:t>
      </w:r>
      <w:r w:rsidRPr="009B298B">
        <w:t>n</w:t>
      </w:r>
      <w:r w:rsidRPr="009B298B">
        <w:t>nakommittéerna. Ämbetsmannakommittéerna behandlar ärenden som s</w:t>
      </w:r>
      <w:r w:rsidRPr="009B298B">
        <w:t>e</w:t>
      </w:r>
      <w:r w:rsidRPr="009B298B">
        <w:t>nare kan föras upp till ett ministerråd eller avgöras i ett beslut direkt i ämbetsmannakommittén. Beredningen i landskapsregeringen sker genom de utsedda tjänstemän som deltar i de olika ämbetsmannakommittéerna. Varje fackministerråd arbetar utifrån en egen dagordning varför tvärsekt</w:t>
      </w:r>
      <w:r w:rsidRPr="009B298B">
        <w:t>o</w:t>
      </w:r>
      <w:r w:rsidRPr="009B298B">
        <w:t>riell beredning måste göras på initiativ av representanten i respektive ämbetsmannakommitté eller beredas av Nordiska ministerrådets sekretariat.</w:t>
      </w:r>
    </w:p>
    <w:p w:rsidR="008842B6" w:rsidRPr="00F177FC" w:rsidRDefault="008842B6" w:rsidP="008842B6">
      <w:pPr>
        <w:pStyle w:val="Rubrik2"/>
        <w:numPr>
          <w:ilvl w:val="1"/>
          <w:numId w:val="4"/>
        </w:numPr>
      </w:pPr>
      <w:bookmarkStart w:id="246" w:name="_Toc474851929"/>
      <w:bookmarkStart w:id="247" w:name="_Toc475356605"/>
      <w:bookmarkStart w:id="248" w:name="_Toc477164742"/>
      <w:bookmarkStart w:id="249" w:name="_Toc477424026"/>
      <w:r w:rsidRPr="00F177FC">
        <w:t>1.1 Ansvariga ministrar</w:t>
      </w:r>
      <w:bookmarkEnd w:id="237"/>
      <w:bookmarkEnd w:id="238"/>
      <w:bookmarkEnd w:id="239"/>
      <w:bookmarkEnd w:id="240"/>
      <w:bookmarkEnd w:id="241"/>
      <w:bookmarkEnd w:id="242"/>
      <w:bookmarkEnd w:id="243"/>
      <w:bookmarkEnd w:id="244"/>
      <w:bookmarkEnd w:id="245"/>
      <w:bookmarkEnd w:id="246"/>
      <w:bookmarkEnd w:id="247"/>
      <w:bookmarkEnd w:id="248"/>
      <w:bookmarkEnd w:id="249"/>
    </w:p>
    <w:p w:rsidR="003472E4" w:rsidRPr="00F177FC" w:rsidRDefault="003472E4" w:rsidP="003472E4">
      <w:r w:rsidRPr="00F177FC">
        <w:t>Under 2016 har Ålands ministerrepresentation i Nordiska ministerrådet v</w:t>
      </w:r>
      <w:r w:rsidRPr="00F177FC">
        <w:t>a</w:t>
      </w:r>
      <w:r w:rsidRPr="00F177FC">
        <w:t>rit följande:</w:t>
      </w:r>
    </w:p>
    <w:p w:rsidR="003472E4" w:rsidRPr="00F177FC" w:rsidRDefault="003472E4" w:rsidP="003472E4"/>
    <w:p w:rsidR="003472E4" w:rsidRPr="00F177FC" w:rsidRDefault="003472E4" w:rsidP="003472E4">
      <w:pPr>
        <w:ind w:firstLine="284"/>
      </w:pPr>
      <w:r w:rsidRPr="00F177FC">
        <w:t xml:space="preserve">• samarbetsministrarna MR-SAM, Nina Fellman </w:t>
      </w:r>
    </w:p>
    <w:p w:rsidR="003472E4" w:rsidRPr="00F177FC" w:rsidRDefault="003472E4" w:rsidP="003472E4">
      <w:pPr>
        <w:ind w:firstLine="284"/>
      </w:pPr>
      <w:r w:rsidRPr="00F177FC">
        <w:t>• arbetsliv MR-A, Camilla Gunell</w:t>
      </w:r>
    </w:p>
    <w:p w:rsidR="003472E4" w:rsidRPr="00F177FC" w:rsidRDefault="003472E4" w:rsidP="003472E4">
      <w:pPr>
        <w:ind w:left="284"/>
      </w:pPr>
      <w:r w:rsidRPr="00F177FC">
        <w:t>• närings-, energi- och regionalpolitik MR-NER, Camilla Gunell</w:t>
      </w:r>
    </w:p>
    <w:p w:rsidR="003472E4" w:rsidRPr="00F177FC" w:rsidRDefault="003472E4" w:rsidP="003472E4">
      <w:pPr>
        <w:ind w:left="284"/>
      </w:pPr>
      <w:r w:rsidRPr="00F177FC">
        <w:t xml:space="preserve">• fiskeri och havsliv, jordbruk, livsmedel och skogsbruk MR-FJLS,      </w:t>
      </w:r>
    </w:p>
    <w:p w:rsidR="003472E4" w:rsidRPr="00F177FC" w:rsidRDefault="003472E4" w:rsidP="003472E4">
      <w:pPr>
        <w:ind w:left="284"/>
      </w:pPr>
      <w:r w:rsidRPr="00F177FC">
        <w:t xml:space="preserve">  Camilla Gunell</w:t>
      </w:r>
    </w:p>
    <w:p w:rsidR="003472E4" w:rsidRPr="00F177FC" w:rsidRDefault="003472E4" w:rsidP="003472E4">
      <w:pPr>
        <w:ind w:firstLine="284"/>
      </w:pPr>
      <w:r w:rsidRPr="00F177FC">
        <w:t>• jämställdhet MR-JÄM, Katrin Sjögren</w:t>
      </w:r>
    </w:p>
    <w:p w:rsidR="003472E4" w:rsidRPr="00F177FC" w:rsidRDefault="003472E4" w:rsidP="003472E4">
      <w:pPr>
        <w:ind w:firstLine="284"/>
      </w:pPr>
      <w:r w:rsidRPr="00F177FC">
        <w:t>• ekonomi- och finanspolitik MR-FINANS, Mats Perämaa</w:t>
      </w:r>
    </w:p>
    <w:p w:rsidR="003472E4" w:rsidRPr="00F177FC" w:rsidRDefault="003472E4" w:rsidP="003472E4">
      <w:pPr>
        <w:ind w:firstLine="284"/>
      </w:pPr>
      <w:r w:rsidRPr="00F177FC">
        <w:t>• kultur MR-K, Tony Asumaa</w:t>
      </w:r>
    </w:p>
    <w:p w:rsidR="003472E4" w:rsidRPr="00F177FC" w:rsidRDefault="003472E4" w:rsidP="003472E4">
      <w:pPr>
        <w:ind w:firstLine="284"/>
      </w:pPr>
      <w:r w:rsidRPr="00F177FC">
        <w:t>• lagstiftning MR-LAG, Katrin Sjögren</w:t>
      </w:r>
    </w:p>
    <w:p w:rsidR="003472E4" w:rsidRPr="00F177FC" w:rsidRDefault="003472E4" w:rsidP="003472E4">
      <w:pPr>
        <w:ind w:firstLine="284"/>
      </w:pPr>
      <w:r w:rsidRPr="00F177FC">
        <w:t>• miljö MR-M, Camilla Gunell</w:t>
      </w:r>
    </w:p>
    <w:p w:rsidR="003472E4" w:rsidRPr="00D04359" w:rsidRDefault="003472E4" w:rsidP="003472E4">
      <w:pPr>
        <w:ind w:firstLine="284"/>
      </w:pPr>
      <w:r w:rsidRPr="00D04359">
        <w:t>• social- och hälsovård MR-S, Wille Valve</w:t>
      </w:r>
    </w:p>
    <w:p w:rsidR="003472E4" w:rsidRPr="00D04359" w:rsidRDefault="003472E4" w:rsidP="003472E4">
      <w:pPr>
        <w:ind w:firstLine="284"/>
      </w:pPr>
      <w:r w:rsidRPr="00D04359">
        <w:t>• utbildning- och forskning MR-U, Tony Asumaa</w:t>
      </w:r>
    </w:p>
    <w:p w:rsidR="00C90E4F" w:rsidRPr="00D04359" w:rsidRDefault="00C90E4F" w:rsidP="004E0D2D">
      <w:pPr>
        <w:pStyle w:val="Rubrik1"/>
        <w:numPr>
          <w:ilvl w:val="0"/>
          <w:numId w:val="0"/>
        </w:numPr>
      </w:pPr>
      <w:bookmarkStart w:id="250" w:name="_Toc410992917"/>
      <w:bookmarkStart w:id="251" w:name="_Toc412443839"/>
      <w:bookmarkStart w:id="252" w:name="_Toc412452757"/>
      <w:bookmarkStart w:id="253" w:name="_Toc442361086"/>
      <w:bookmarkStart w:id="254" w:name="_Toc442442885"/>
      <w:bookmarkStart w:id="255" w:name="_Toc442707723"/>
      <w:bookmarkStart w:id="256" w:name="_Toc443054931"/>
      <w:bookmarkStart w:id="257" w:name="_Toc444255894"/>
      <w:bookmarkStart w:id="258" w:name="_Toc444516715"/>
      <w:bookmarkStart w:id="259" w:name="_Toc474851930"/>
      <w:bookmarkStart w:id="260" w:name="_Toc475356606"/>
      <w:bookmarkStart w:id="261" w:name="_Toc477164743"/>
      <w:bookmarkStart w:id="262" w:name="_Toc477424027"/>
      <w:bookmarkStart w:id="263" w:name="_Toc410992920"/>
      <w:bookmarkStart w:id="264" w:name="_Toc412443842"/>
      <w:bookmarkStart w:id="265" w:name="_Toc412452760"/>
      <w:bookmarkStart w:id="266" w:name="_Toc442361089"/>
      <w:bookmarkStart w:id="267" w:name="_Toc442442888"/>
      <w:bookmarkStart w:id="268" w:name="_Toc442707726"/>
      <w:bookmarkStart w:id="269" w:name="_Toc443054934"/>
      <w:bookmarkStart w:id="270" w:name="_Toc444255897"/>
      <w:bookmarkStart w:id="271" w:name="_Toc444516718"/>
      <w:r w:rsidRPr="00D04359">
        <w:t>2. Verksamheten 20</w:t>
      </w:r>
      <w:bookmarkEnd w:id="250"/>
      <w:bookmarkEnd w:id="251"/>
      <w:bookmarkEnd w:id="252"/>
      <w:r w:rsidRPr="00D04359">
        <w:t>16</w:t>
      </w:r>
      <w:bookmarkEnd w:id="253"/>
      <w:bookmarkEnd w:id="254"/>
      <w:bookmarkEnd w:id="255"/>
      <w:bookmarkEnd w:id="256"/>
      <w:bookmarkEnd w:id="257"/>
      <w:bookmarkEnd w:id="258"/>
      <w:bookmarkEnd w:id="259"/>
      <w:bookmarkEnd w:id="260"/>
      <w:bookmarkEnd w:id="261"/>
      <w:bookmarkEnd w:id="262"/>
    </w:p>
    <w:p w:rsidR="00C90E4F" w:rsidRPr="00D04359" w:rsidRDefault="00C90E4F" w:rsidP="004E0D2D">
      <w:pPr>
        <w:pStyle w:val="Rubrik2"/>
      </w:pPr>
      <w:bookmarkStart w:id="272" w:name="_Toc410992918"/>
      <w:bookmarkStart w:id="273" w:name="_Toc412443840"/>
      <w:bookmarkStart w:id="274" w:name="_Toc412452758"/>
      <w:bookmarkStart w:id="275" w:name="_Toc442361087"/>
      <w:bookmarkStart w:id="276" w:name="_Toc442442886"/>
      <w:bookmarkStart w:id="277" w:name="_Toc442707724"/>
      <w:bookmarkStart w:id="278" w:name="_Toc443054932"/>
      <w:bookmarkStart w:id="279" w:name="_Toc444255895"/>
      <w:bookmarkStart w:id="280" w:name="_Toc444516716"/>
      <w:bookmarkStart w:id="281" w:name="_Toc474851931"/>
      <w:bookmarkStart w:id="282" w:name="_Toc475356607"/>
      <w:bookmarkStart w:id="283" w:name="_Toc477164744"/>
      <w:bookmarkStart w:id="284" w:name="_Toc477424028"/>
      <w:r w:rsidRPr="00D04359">
        <w:t>2.1</w:t>
      </w:r>
      <w:r w:rsidR="00AD1AED" w:rsidRPr="00D04359">
        <w:t xml:space="preserve"> </w:t>
      </w:r>
      <w:r w:rsidRPr="00D04359">
        <w:t>Finlands ordförandeskap</w:t>
      </w:r>
      <w:bookmarkEnd w:id="272"/>
      <w:bookmarkEnd w:id="273"/>
      <w:bookmarkEnd w:id="274"/>
      <w:bookmarkEnd w:id="275"/>
      <w:bookmarkEnd w:id="276"/>
      <w:bookmarkEnd w:id="277"/>
      <w:bookmarkEnd w:id="278"/>
      <w:bookmarkEnd w:id="279"/>
      <w:bookmarkEnd w:id="280"/>
      <w:bookmarkEnd w:id="281"/>
      <w:bookmarkEnd w:id="282"/>
      <w:bookmarkEnd w:id="283"/>
      <w:bookmarkEnd w:id="284"/>
    </w:p>
    <w:p w:rsidR="00C90E4F" w:rsidRPr="00D04359" w:rsidRDefault="004E0D2D" w:rsidP="00C90E4F">
      <w:r w:rsidRPr="00D04359">
        <w:t xml:space="preserve">Under 2016 </w:t>
      </w:r>
      <w:r w:rsidR="00D04359" w:rsidRPr="00D04359">
        <w:t xml:space="preserve">innehade </w:t>
      </w:r>
      <w:r w:rsidRPr="00D04359">
        <w:t>Finland</w:t>
      </w:r>
      <w:r w:rsidR="00C90E4F" w:rsidRPr="00D04359">
        <w:t xml:space="preserve"> ordförandeskapet i Nordiska ministerrådet. Finlands ordförandeprogram </w:t>
      </w:r>
      <w:r w:rsidR="00D04359" w:rsidRPr="00D04359">
        <w:t>utgick</w:t>
      </w:r>
      <w:r w:rsidR="00C90E4F" w:rsidRPr="00D04359">
        <w:t xml:space="preserve"> från tre huvudteman, vatten, natur och människor. Gränshinder och mer nordisk nytta i EU var andra prioriterade områden. Åland</w:t>
      </w:r>
      <w:r w:rsidR="00D04359" w:rsidRPr="00D04359">
        <w:t xml:space="preserve"> inbjöds</w:t>
      </w:r>
      <w:r w:rsidR="00C90E4F" w:rsidRPr="00D04359">
        <w:t xml:space="preserve"> via Ålandskontoret i Helsingfors till planeringsm</w:t>
      </w:r>
      <w:r w:rsidR="00C90E4F" w:rsidRPr="00D04359">
        <w:t>ö</w:t>
      </w:r>
      <w:r w:rsidR="00C90E4F" w:rsidRPr="00D04359">
        <w:t xml:space="preserve">ten men </w:t>
      </w:r>
      <w:r w:rsidR="00D04359" w:rsidRPr="00D04359">
        <w:t xml:space="preserve">deltog </w:t>
      </w:r>
      <w:r w:rsidR="00C90E4F" w:rsidRPr="00D04359">
        <w:t>inte i fackministeriernas möten med Norden</w:t>
      </w:r>
      <w:r w:rsidR="00D04359" w:rsidRPr="00D04359">
        <w:t>-</w:t>
      </w:r>
      <w:r w:rsidR="00C90E4F" w:rsidRPr="00D04359">
        <w:t>gruppen vid u</w:t>
      </w:r>
      <w:r w:rsidR="00C90E4F" w:rsidRPr="00D04359">
        <w:t>t</w:t>
      </w:r>
      <w:r w:rsidR="00C90E4F" w:rsidRPr="00D04359">
        <w:t>rikesministeriet.</w:t>
      </w:r>
    </w:p>
    <w:p w:rsidR="00C90E4F" w:rsidRPr="00D04359" w:rsidRDefault="004E0D2D" w:rsidP="004E0D2D">
      <w:r w:rsidRPr="00D04359">
        <w:tab/>
      </w:r>
      <w:r w:rsidR="00C90E4F" w:rsidRPr="00D04359">
        <w:t xml:space="preserve">I september 2016 hölls de nordiska statsministrarnas sommarmöte på Åland. Ålands lantråd deltog vid en arbetslunch </w:t>
      </w:r>
      <w:r w:rsidR="00D04359" w:rsidRPr="00D04359">
        <w:t>till vilken även</w:t>
      </w:r>
      <w:r w:rsidR="00C90E4F" w:rsidRPr="00D04359">
        <w:t xml:space="preserve"> Färöarnas </w:t>
      </w:r>
      <w:r w:rsidR="00C90E4F" w:rsidRPr="00D04359">
        <w:lastRenderedPageBreak/>
        <w:t xml:space="preserve">och Grönlands regeringschefer </w:t>
      </w:r>
      <w:r w:rsidR="00D04359" w:rsidRPr="00D04359">
        <w:t>inbjudits</w:t>
      </w:r>
      <w:r w:rsidR="00C90E4F" w:rsidRPr="00D04359">
        <w:t>. Grönland deltog dock inte. I sa</w:t>
      </w:r>
      <w:r w:rsidR="00C90E4F" w:rsidRPr="00D04359">
        <w:t>m</w:t>
      </w:r>
      <w:r w:rsidR="00C90E4F" w:rsidRPr="00D04359">
        <w:t xml:space="preserve">band med arbetslunchen presenterades ett initiativ </w:t>
      </w:r>
      <w:r w:rsidR="00D04359" w:rsidRPr="00D04359">
        <w:t xml:space="preserve">på temat </w:t>
      </w:r>
      <w:r w:rsidR="00C90E4F" w:rsidRPr="00D04359">
        <w:rPr>
          <w:i/>
        </w:rPr>
        <w:t>Norden vär</w:t>
      </w:r>
      <w:r w:rsidR="00C90E4F" w:rsidRPr="00D04359">
        <w:rPr>
          <w:i/>
        </w:rPr>
        <w:t>l</w:t>
      </w:r>
      <w:r w:rsidR="00C90E4F" w:rsidRPr="00D04359">
        <w:rPr>
          <w:i/>
        </w:rPr>
        <w:t>dens mest integrerade region</w:t>
      </w:r>
      <w:r w:rsidR="00C90E4F" w:rsidRPr="00D04359">
        <w:t>. Landskapsregeringen deltar i flera av de de</w:t>
      </w:r>
      <w:r w:rsidR="00C90E4F" w:rsidRPr="00D04359">
        <w:t>l</w:t>
      </w:r>
      <w:r w:rsidR="00C90E4F" w:rsidRPr="00D04359">
        <w:t xml:space="preserve">projekt som </w:t>
      </w:r>
      <w:r w:rsidR="00D04359" w:rsidRPr="00D04359">
        <w:t xml:space="preserve">äger rum inom ramen för </w:t>
      </w:r>
      <w:r w:rsidR="00C90E4F" w:rsidRPr="00D04359">
        <w:t>initiativet, bland annat</w:t>
      </w:r>
      <w:r w:rsidR="00D04359" w:rsidRPr="00D04359">
        <w:t xml:space="preserve"> projekt om</w:t>
      </w:r>
      <w:r w:rsidR="00C90E4F" w:rsidRPr="00D04359">
        <w:t xml:space="preserve"> i</w:t>
      </w:r>
      <w:r w:rsidR="00C90E4F" w:rsidRPr="00D04359">
        <w:t>n</w:t>
      </w:r>
      <w:r w:rsidR="00C90E4F" w:rsidRPr="00D04359">
        <w:t xml:space="preserve">tegration, översyn av lagsamarbetet </w:t>
      </w:r>
      <w:r w:rsidR="00D04359" w:rsidRPr="00D04359">
        <w:t>samt</w:t>
      </w:r>
      <w:r w:rsidR="00C90E4F" w:rsidRPr="00D04359">
        <w:t xml:space="preserve"> gränshinderarbete. </w:t>
      </w:r>
    </w:p>
    <w:p w:rsidR="00C90E4F" w:rsidRPr="00D04359" w:rsidRDefault="004E0D2D" w:rsidP="004E0D2D">
      <w:r w:rsidRPr="00D04359">
        <w:tab/>
      </w:r>
      <w:r w:rsidR="00C90E4F" w:rsidRPr="00D04359">
        <w:t>Under år</w:t>
      </w:r>
      <w:r w:rsidR="00D04359" w:rsidRPr="00D04359">
        <w:t xml:space="preserve"> 2016</w:t>
      </w:r>
      <w:r w:rsidR="00C90E4F" w:rsidRPr="00D04359">
        <w:t xml:space="preserve"> </w:t>
      </w:r>
      <w:r w:rsidR="00D04359" w:rsidRPr="00D04359">
        <w:t>ägde f</w:t>
      </w:r>
      <w:r w:rsidR="00C90E4F" w:rsidRPr="00D04359">
        <w:t>yra ämbetsmannakommittémöten och en konf</w:t>
      </w:r>
      <w:r w:rsidR="00C90E4F" w:rsidRPr="00D04359">
        <w:t>e</w:t>
      </w:r>
      <w:r w:rsidR="00D04359" w:rsidRPr="00D04359">
        <w:t xml:space="preserve">rens, </w:t>
      </w:r>
      <w:r w:rsidR="00C90E4F" w:rsidRPr="00D04359">
        <w:rPr>
          <w:i/>
          <w:lang w:val="en-US"/>
        </w:rPr>
        <w:t>Kön och hälsa</w:t>
      </w:r>
      <w:r w:rsidR="00C90E4F" w:rsidRPr="00D04359">
        <w:t xml:space="preserve"> </w:t>
      </w:r>
      <w:r w:rsidR="00D04359" w:rsidRPr="00D04359">
        <w:t xml:space="preserve">rum </w:t>
      </w:r>
      <w:r w:rsidR="00C90E4F" w:rsidRPr="00D04359">
        <w:t>på Åland, dock inga ministerrådsmöten vilka till stor del var lokaliserade till Köpenhamn</w:t>
      </w:r>
      <w:r w:rsidR="00D04359">
        <w:t>.</w:t>
      </w:r>
      <w:r w:rsidR="00C90E4F" w:rsidRPr="00D04359">
        <w:t xml:space="preserve"> </w:t>
      </w:r>
    </w:p>
    <w:p w:rsidR="000044D7" w:rsidRPr="00D04359" w:rsidRDefault="000044D7" w:rsidP="004E0D2D">
      <w:pPr>
        <w:pStyle w:val="Rubrik2"/>
      </w:pPr>
      <w:bookmarkStart w:id="285" w:name="_Toc410992919"/>
      <w:bookmarkStart w:id="286" w:name="_Toc412443841"/>
      <w:bookmarkStart w:id="287" w:name="_Toc412452759"/>
      <w:bookmarkStart w:id="288" w:name="_Toc442361088"/>
      <w:bookmarkStart w:id="289" w:name="_Toc442442887"/>
      <w:bookmarkStart w:id="290" w:name="_Toc442707725"/>
      <w:bookmarkStart w:id="291" w:name="_Toc443054933"/>
      <w:bookmarkStart w:id="292" w:name="_Toc444255896"/>
      <w:bookmarkStart w:id="293" w:name="_Toc444516717"/>
      <w:bookmarkStart w:id="294" w:name="_Toc474851932"/>
      <w:bookmarkStart w:id="295" w:name="_Toc475356608"/>
      <w:bookmarkStart w:id="296" w:name="_Toc477164745"/>
      <w:bookmarkStart w:id="297" w:name="_Toc477424029"/>
      <w:bookmarkStart w:id="298" w:name="_Toc410992921"/>
      <w:bookmarkStart w:id="299" w:name="_Toc412443843"/>
      <w:bookmarkStart w:id="300" w:name="_Toc412452761"/>
      <w:bookmarkStart w:id="301" w:name="_Toc442361090"/>
      <w:bookmarkStart w:id="302" w:name="_Toc442442889"/>
      <w:bookmarkStart w:id="303" w:name="_Toc442707727"/>
      <w:bookmarkStart w:id="304" w:name="_Toc443054935"/>
      <w:bookmarkStart w:id="305" w:name="_Toc444255898"/>
      <w:bookmarkStart w:id="306" w:name="_Toc444516719"/>
      <w:bookmarkEnd w:id="263"/>
      <w:bookmarkEnd w:id="264"/>
      <w:bookmarkEnd w:id="265"/>
      <w:bookmarkEnd w:id="266"/>
      <w:bookmarkEnd w:id="267"/>
      <w:bookmarkEnd w:id="268"/>
      <w:bookmarkEnd w:id="269"/>
      <w:bookmarkEnd w:id="270"/>
      <w:bookmarkEnd w:id="271"/>
      <w:r w:rsidRPr="00D04359">
        <w:t>2.2 Tvärsektoriellt arbete</w:t>
      </w:r>
      <w:bookmarkEnd w:id="285"/>
      <w:bookmarkEnd w:id="286"/>
      <w:bookmarkEnd w:id="287"/>
      <w:bookmarkEnd w:id="288"/>
      <w:bookmarkEnd w:id="289"/>
      <w:bookmarkEnd w:id="290"/>
      <w:bookmarkEnd w:id="291"/>
      <w:bookmarkEnd w:id="292"/>
      <w:bookmarkEnd w:id="293"/>
      <w:bookmarkEnd w:id="294"/>
      <w:bookmarkEnd w:id="295"/>
      <w:bookmarkEnd w:id="296"/>
      <w:bookmarkEnd w:id="297"/>
    </w:p>
    <w:p w:rsidR="009F0251" w:rsidRPr="00D04359" w:rsidRDefault="009F0251" w:rsidP="004E0D2D">
      <w:pPr>
        <w:pStyle w:val="Rubrik3"/>
      </w:pPr>
      <w:bookmarkStart w:id="307" w:name="_Toc474851933"/>
      <w:bookmarkStart w:id="308" w:name="_Toc475356609"/>
      <w:bookmarkStart w:id="309" w:name="_Toc477164746"/>
      <w:bookmarkStart w:id="310" w:name="_Toc477424030"/>
      <w:bookmarkEnd w:id="298"/>
      <w:bookmarkEnd w:id="299"/>
      <w:bookmarkEnd w:id="300"/>
      <w:bookmarkEnd w:id="301"/>
      <w:bookmarkEnd w:id="302"/>
      <w:bookmarkEnd w:id="303"/>
      <w:bookmarkEnd w:id="304"/>
      <w:bookmarkEnd w:id="305"/>
      <w:bookmarkEnd w:id="306"/>
      <w:r w:rsidRPr="00D04359">
        <w:t>2.2.2 Gränshinderarbetet</w:t>
      </w:r>
      <w:bookmarkEnd w:id="307"/>
      <w:bookmarkEnd w:id="308"/>
      <w:bookmarkEnd w:id="309"/>
      <w:bookmarkEnd w:id="310"/>
    </w:p>
    <w:p w:rsidR="009F0251" w:rsidRPr="00D04359" w:rsidRDefault="00D04359" w:rsidP="004E0D2D">
      <w:r w:rsidRPr="00D04359">
        <w:t xml:space="preserve">År </w:t>
      </w:r>
      <w:r w:rsidR="009F0251" w:rsidRPr="00D04359">
        <w:t>2016 var det tredje året som Gränshinderrådet v</w:t>
      </w:r>
      <w:r w:rsidR="004E0D2D" w:rsidRPr="00D04359">
        <w:t xml:space="preserve">erkade i sin nuvarande </w:t>
      </w:r>
      <w:r w:rsidR="009F0251" w:rsidRPr="00D04359">
        <w:t>form. Gränshinderrådets mandat sträcker sig mellan 2014-2017. Gränshi</w:t>
      </w:r>
      <w:r w:rsidR="009F0251" w:rsidRPr="00D04359">
        <w:t>n</w:t>
      </w:r>
      <w:r w:rsidR="009F0251" w:rsidRPr="00D04359">
        <w:t>derrådets medlemmar är de fem länderna plus Färöarna, Grönland och Åland samt Nordiska min</w:t>
      </w:r>
      <w:r w:rsidR="004E0D2D" w:rsidRPr="00D04359">
        <w:t>isterrådets generalsekreterare</w:t>
      </w:r>
      <w:r w:rsidR="002B0797">
        <w:t>; även Nordiska r</w:t>
      </w:r>
      <w:r w:rsidR="002B0797">
        <w:t>å</w:t>
      </w:r>
      <w:r w:rsidR="002B0797">
        <w:t xml:space="preserve">det har en representant i Gränshinderrådet. </w:t>
      </w:r>
      <w:r w:rsidR="009F0251" w:rsidRPr="00D04359">
        <w:t>Gränshinderrådets medlemmar har en nära koppling till den politiska verkställigheten i sina respektive r</w:t>
      </w:r>
      <w:r w:rsidR="009F0251" w:rsidRPr="00D04359">
        <w:t>e</w:t>
      </w:r>
      <w:r w:rsidR="009F0251" w:rsidRPr="00D04359">
        <w:t>geringskanslier.</w:t>
      </w:r>
    </w:p>
    <w:p w:rsidR="009F0251" w:rsidRPr="006E785C" w:rsidRDefault="004E0D2D" w:rsidP="004E0D2D">
      <w:r w:rsidRPr="00D04359">
        <w:tab/>
      </w:r>
      <w:r w:rsidR="009F0251" w:rsidRPr="00D04359">
        <w:t xml:space="preserve">Under 2016 har tolv hinder avklarats varav </w:t>
      </w:r>
      <w:r w:rsidR="002B0797">
        <w:t>sju</w:t>
      </w:r>
      <w:r w:rsidR="009F0251" w:rsidRPr="00D04359">
        <w:t xml:space="preserve"> med positivt resultat. För Ålands del innebar det att frågan om el-tarifferna mot Sverige </w:t>
      </w:r>
      <w:r w:rsidR="002B0797">
        <w:t>togs bort från listan över gränshinder på Sveriges utryckliga begäran.</w:t>
      </w:r>
      <w:r w:rsidR="009F0251" w:rsidRPr="00D04359">
        <w:t xml:space="preserve"> Förhandlingarna fortsätter på bilateral nivå. </w:t>
      </w:r>
      <w:r w:rsidR="002B0797">
        <w:t xml:space="preserve">Se </w:t>
      </w:r>
      <w:r w:rsidR="002B0797" w:rsidRPr="007C1233">
        <w:t xml:space="preserve">närmare kapitel 2.3.8. </w:t>
      </w:r>
      <w:r w:rsidR="009F0251" w:rsidRPr="007C1233">
        <w:t>Ett annat hinder som</w:t>
      </w:r>
      <w:r w:rsidR="009F0251" w:rsidRPr="00D04359">
        <w:t xml:space="preserve"> klarades av med positivt resultat var frågan om </w:t>
      </w:r>
      <w:r w:rsidR="009F0251" w:rsidRPr="002B0797">
        <w:t>studiepenning efter arbete utomlands. Det har funnits ett krav att man under den senaste femårsp</w:t>
      </w:r>
      <w:r w:rsidR="009F0251" w:rsidRPr="002B0797">
        <w:t>e</w:t>
      </w:r>
      <w:r w:rsidR="009F0251" w:rsidRPr="002B0797">
        <w:t xml:space="preserve">rioden ska ha bott minst två år i utbetalarlandet. Finland, Sverige och Åland tog under 2016 bort boendekravet i sin lagstiftning. Andra hinder där Åland har stått som drivande är frågan om </w:t>
      </w:r>
      <w:r w:rsidR="009F0251" w:rsidRPr="006E785C">
        <w:t xml:space="preserve">olika byggregler, </w:t>
      </w:r>
      <w:r w:rsidR="00D04359" w:rsidRPr="006E785C">
        <w:t xml:space="preserve">och </w:t>
      </w:r>
      <w:r w:rsidR="009F0251" w:rsidRPr="006E785C">
        <w:t xml:space="preserve">problem att få närståendepenning då patient och vårdare är skrivna i olika länder. </w:t>
      </w:r>
    </w:p>
    <w:p w:rsidR="009F0251" w:rsidRPr="006E785C" w:rsidRDefault="004E0D2D" w:rsidP="009F0251">
      <w:r w:rsidRPr="006E785C">
        <w:tab/>
        <w:t>U</w:t>
      </w:r>
      <w:r w:rsidR="009F0251" w:rsidRPr="006E785C">
        <w:t xml:space="preserve">nder året knöts Gränshinderrådets åländska representant till </w:t>
      </w:r>
      <w:r w:rsidR="002B0797" w:rsidRPr="006E785C">
        <w:t xml:space="preserve">det av </w:t>
      </w:r>
      <w:r w:rsidR="009F0251" w:rsidRPr="006E785C">
        <w:t>landskapsregeringen</w:t>
      </w:r>
      <w:r w:rsidR="002B0797" w:rsidRPr="006E785C">
        <w:t xml:space="preserve"> tillsatta</w:t>
      </w:r>
      <w:r w:rsidR="009F0251" w:rsidRPr="006E785C">
        <w:t xml:space="preserve"> Regelrådet</w:t>
      </w:r>
      <w:r w:rsidR="002B0797" w:rsidRPr="006E785C">
        <w:t>,</w:t>
      </w:r>
      <w:r w:rsidR="009F0251" w:rsidRPr="006E785C">
        <w:t xml:space="preserve"> som kommer</w:t>
      </w:r>
      <w:r w:rsidR="002B0797" w:rsidRPr="006E785C">
        <w:t xml:space="preserve"> att</w:t>
      </w:r>
      <w:r w:rsidR="009F0251" w:rsidRPr="006E785C">
        <w:t xml:space="preserve"> utgöra kontak</w:t>
      </w:r>
      <w:r w:rsidR="009F0251" w:rsidRPr="006E785C">
        <w:t>t</w:t>
      </w:r>
      <w:r w:rsidR="009F0251" w:rsidRPr="006E785C">
        <w:t>grupp</w:t>
      </w:r>
      <w:r w:rsidR="002B0797" w:rsidRPr="006E785C">
        <w:t xml:space="preserve"> i landskapet för diskussion om relevanta frågor för Gränshinderrådet</w:t>
      </w:r>
      <w:r w:rsidR="009F0251" w:rsidRPr="006E785C">
        <w:t>.</w:t>
      </w:r>
    </w:p>
    <w:p w:rsidR="009F0251" w:rsidRPr="006E785C" w:rsidRDefault="004E0D2D" w:rsidP="009F0251">
      <w:r w:rsidRPr="006E785C">
        <w:tab/>
      </w:r>
      <w:r w:rsidR="009F0251" w:rsidRPr="006E785C">
        <w:t>I januari 2017 valdes nya prioriterade hinder som Gränshinderrådet fö</w:t>
      </w:r>
      <w:r w:rsidR="009F0251" w:rsidRPr="006E785C">
        <w:t>r</w:t>
      </w:r>
      <w:r w:rsidR="009F0251" w:rsidRPr="006E785C">
        <w:t xml:space="preserve">söker lösa det kommande året. </w:t>
      </w:r>
    </w:p>
    <w:p w:rsidR="00065F94" w:rsidRPr="006E785C" w:rsidRDefault="00F30D85" w:rsidP="00065F94">
      <w:pPr>
        <w:rPr>
          <w:lang w:val="sv-FI"/>
        </w:rPr>
      </w:pPr>
      <w:r w:rsidRPr="006E785C">
        <w:rPr>
          <w:lang w:val="sv-FI"/>
        </w:rPr>
        <w:tab/>
      </w:r>
      <w:r w:rsidR="00065F94" w:rsidRPr="006E785C">
        <w:rPr>
          <w:lang w:val="sv-FI"/>
        </w:rPr>
        <w:t>Konkreta gränshinder som landskapsregeringen jobbat aktivt med under år 2016 inkluderar svenska läkares AT-tjänstgöring på Åland, bostadsti</w:t>
      </w:r>
      <w:r w:rsidR="00065F94" w:rsidRPr="006E785C">
        <w:rPr>
          <w:lang w:val="sv-FI"/>
        </w:rPr>
        <w:t>l</w:t>
      </w:r>
      <w:r w:rsidR="00065F94" w:rsidRPr="006E785C">
        <w:rPr>
          <w:lang w:val="sv-FI"/>
        </w:rPr>
        <w:t>lägg för finländska studeranden på Åland samt åländska studerandens mö</w:t>
      </w:r>
      <w:r w:rsidR="00065F94" w:rsidRPr="006E785C">
        <w:rPr>
          <w:lang w:val="sv-FI"/>
        </w:rPr>
        <w:t>j</w:t>
      </w:r>
      <w:r w:rsidR="00065F94" w:rsidRPr="006E785C">
        <w:rPr>
          <w:lang w:val="sv-FI"/>
        </w:rPr>
        <w:t>lighet att ansöka till svenska högskolor.</w:t>
      </w:r>
    </w:p>
    <w:p w:rsidR="00065F94" w:rsidRPr="006E785C" w:rsidRDefault="00065F94" w:rsidP="00065F94">
      <w:pPr>
        <w:rPr>
          <w:lang w:val="sv-FI"/>
        </w:rPr>
      </w:pPr>
      <w:r w:rsidRPr="006E785C">
        <w:rPr>
          <w:lang w:val="sv-FI"/>
        </w:rPr>
        <w:tab/>
      </w:r>
      <w:r w:rsidR="00F30D85" w:rsidRPr="006E785C">
        <w:rPr>
          <w:lang w:val="sv-FI"/>
        </w:rPr>
        <w:t>Vad avser svenska läkares AT-tjänstgöring på Åland uppstod ett grän</w:t>
      </w:r>
      <w:r w:rsidR="00F30D85" w:rsidRPr="006E785C">
        <w:rPr>
          <w:lang w:val="sv-FI"/>
        </w:rPr>
        <w:t>s</w:t>
      </w:r>
      <w:r w:rsidR="00F30D85" w:rsidRPr="006E785C">
        <w:rPr>
          <w:lang w:val="sv-FI"/>
        </w:rPr>
        <w:t xml:space="preserve">hinder då </w:t>
      </w:r>
      <w:r w:rsidRPr="006E785C">
        <w:rPr>
          <w:lang w:val="sv-FI"/>
        </w:rPr>
        <w:t>Socialstyrelsen i Sverige</w:t>
      </w:r>
      <w:r w:rsidR="00F30D85" w:rsidRPr="006E785C">
        <w:rPr>
          <w:lang w:val="sv-FI"/>
        </w:rPr>
        <w:t>,</w:t>
      </w:r>
      <w:r w:rsidRPr="006E785C">
        <w:rPr>
          <w:lang w:val="sv-FI"/>
        </w:rPr>
        <w:t xml:space="preserve"> utgående från en</w:t>
      </w:r>
      <w:r w:rsidRPr="006E785C">
        <w:t xml:space="preserve"> ändring i yrkeskvalif</w:t>
      </w:r>
      <w:r w:rsidRPr="006E785C">
        <w:t>i</w:t>
      </w:r>
      <w:r w:rsidRPr="006E785C">
        <w:t>kationsdirektivet</w:t>
      </w:r>
      <w:r w:rsidR="00F30D85" w:rsidRPr="006E785C">
        <w:t>,</w:t>
      </w:r>
      <w:r w:rsidRPr="006E785C">
        <w:t xml:space="preserve"> </w:t>
      </w:r>
      <w:r w:rsidR="00F30D85" w:rsidRPr="006E785C">
        <w:rPr>
          <w:lang w:val="sv-FI"/>
        </w:rPr>
        <w:t xml:space="preserve">beslöt </w:t>
      </w:r>
      <w:r w:rsidRPr="006E785C">
        <w:t xml:space="preserve">att begränsa den del av yrkespraktiken för läkare som får göras utomlands till nio månader. Detta innebar en halvering av praktiktiden och skulle ha inneburit en rasering </w:t>
      </w:r>
      <w:r w:rsidRPr="006E785C">
        <w:rPr>
          <w:lang w:val="sv-FI"/>
        </w:rPr>
        <w:t>av det specialarrangemang som Åland haft sedan 2000-talet med Uppsala universitet om läkarnas praktiska tjänstgöring på Åland. Som en följd av detta skulle rekryteringen av svenskspråkiga läkare till ÅHS allvarligt ha hotats. Landskapsregeringen löste frågan tillsammans med ÅHS genom politiska och tjänstemannako</w:t>
      </w:r>
      <w:r w:rsidRPr="006E785C">
        <w:rPr>
          <w:lang w:val="sv-FI"/>
        </w:rPr>
        <w:t>n</w:t>
      </w:r>
      <w:r w:rsidRPr="006E785C">
        <w:rPr>
          <w:lang w:val="sv-FI"/>
        </w:rPr>
        <w:t>takter och förhandlingar. Socialstyrelsen omprövade sitt beslut och en lö</w:t>
      </w:r>
      <w:r w:rsidRPr="006E785C">
        <w:rPr>
          <w:lang w:val="sv-FI"/>
        </w:rPr>
        <w:t>s</w:t>
      </w:r>
      <w:r w:rsidRPr="006E785C">
        <w:rPr>
          <w:lang w:val="sv-FI"/>
        </w:rPr>
        <w:t>ning som möjliggör fortsatt AT-tjänstgöring på Åland i huvudsak enligt t</w:t>
      </w:r>
      <w:r w:rsidRPr="006E785C">
        <w:rPr>
          <w:lang w:val="sv-FI"/>
        </w:rPr>
        <w:t>i</w:t>
      </w:r>
      <w:r w:rsidRPr="006E785C">
        <w:rPr>
          <w:lang w:val="sv-FI"/>
        </w:rPr>
        <w:t>digare modell nåddes. Parallellt har landskapsregeringen fortsatt arbetet med att nå en lösning på det hinder för fortsatt AT-tjänstgöring som än</w:t>
      </w:r>
      <w:r w:rsidRPr="006E785C">
        <w:rPr>
          <w:lang w:val="sv-FI"/>
        </w:rPr>
        <w:t>d</w:t>
      </w:r>
      <w:r w:rsidRPr="006E785C">
        <w:rPr>
          <w:lang w:val="sv-FI"/>
        </w:rPr>
        <w:t xml:space="preserve">ringen år 2015 av den på Åland gällande rikslagstiftningen om registrering av yrkesutbildade personer innebär. Kontakter sker på minister- och högsta tjänstemannanivå. </w:t>
      </w:r>
    </w:p>
    <w:p w:rsidR="00065F94" w:rsidRPr="006E785C" w:rsidRDefault="00F30D85" w:rsidP="00065F94">
      <w:r w:rsidRPr="006E785C">
        <w:tab/>
        <w:t>Vad avser bostadstillägg för fastländska studeranden på Åland uppstod ett gränshinder då s</w:t>
      </w:r>
      <w:r w:rsidR="00065F94" w:rsidRPr="006E785C">
        <w:t>töd</w:t>
      </w:r>
      <w:r w:rsidRPr="006E785C">
        <w:t>et</w:t>
      </w:r>
      <w:r w:rsidR="00065F94" w:rsidRPr="006E785C">
        <w:t xml:space="preserve"> för boende för studerande överför</w:t>
      </w:r>
      <w:r w:rsidRPr="006E785C">
        <w:t>de</w:t>
      </w:r>
      <w:r w:rsidR="00065F94" w:rsidRPr="006E785C">
        <w:t xml:space="preserve">s på rikssidan </w:t>
      </w:r>
      <w:r w:rsidR="00065F94" w:rsidRPr="006E785C">
        <w:lastRenderedPageBreak/>
        <w:t>från och med 1.8.2017 från studiestödets bostadstillägg enligt lag</w:t>
      </w:r>
      <w:r w:rsidRPr="006E785C">
        <w:t>en</w:t>
      </w:r>
      <w:r w:rsidR="00065F94" w:rsidRPr="006E785C">
        <w:t xml:space="preserve"> om studiestöd</w:t>
      </w:r>
      <w:r w:rsidRPr="006E785C">
        <w:t xml:space="preserve"> (FFS 1994/65)</w:t>
      </w:r>
      <w:r w:rsidR="00065F94" w:rsidRPr="006E785C">
        <w:t xml:space="preserve">, till det allmänna bostadsbidraget enligt lagen om allmänt bostadsbidrag (FFS 2014/938). Undantagna </w:t>
      </w:r>
      <w:r w:rsidRPr="006E785C">
        <w:t xml:space="preserve">från förändringen </w:t>
      </w:r>
      <w:r w:rsidR="00065F94" w:rsidRPr="006E785C">
        <w:t xml:space="preserve">var studerande som bor utomlands på hyra och de som studerar i Finland på en avgiftsbelagd linje vid folkhögskolor eller idrottsutbildningscenter eller vid Sameområdets utbildningscentral och bor i läroanstaltens elevhem. Dessa ska </w:t>
      </w:r>
      <w:r w:rsidRPr="006E785C">
        <w:t xml:space="preserve">trots lagändringen </w:t>
      </w:r>
      <w:r w:rsidR="00065F94" w:rsidRPr="006E785C">
        <w:t>fortsättningsvis omfattas av bestämmelserna om b</w:t>
      </w:r>
      <w:r w:rsidR="00065F94" w:rsidRPr="006E785C">
        <w:t>o</w:t>
      </w:r>
      <w:r w:rsidR="00065F94" w:rsidRPr="006E785C">
        <w:t xml:space="preserve">stadstillägg i studiestödslagen. </w:t>
      </w:r>
    </w:p>
    <w:p w:rsidR="00065F94" w:rsidRPr="006E785C" w:rsidRDefault="00F30D85" w:rsidP="00065F94">
      <w:r w:rsidRPr="006E785C">
        <w:tab/>
      </w:r>
      <w:r w:rsidR="00065F94" w:rsidRPr="006E785C">
        <w:t>Konsekvensen av rikets ändring av studiestödslagen skulle ha blivit att studerande från fastlandet som studerar på Åland inte skulle ha varit berä</w:t>
      </w:r>
      <w:r w:rsidR="00065F94" w:rsidRPr="006E785C">
        <w:t>t</w:t>
      </w:r>
      <w:r w:rsidR="00065F94" w:rsidRPr="006E785C">
        <w:t>tigade till studiestödets bostadstillägg efter 1.8.2017. Ålands landskapsr</w:t>
      </w:r>
      <w:r w:rsidR="00065F94" w:rsidRPr="006E785C">
        <w:t>e</w:t>
      </w:r>
      <w:r w:rsidR="00065F94" w:rsidRPr="006E785C">
        <w:t>gering påtalade 28.11.2016 i ett brev till riksdagens kulturutskott orimli</w:t>
      </w:r>
      <w:r w:rsidR="00065F94" w:rsidRPr="006E785C">
        <w:t>g</w:t>
      </w:r>
      <w:r w:rsidR="00065F94" w:rsidRPr="006E785C">
        <w:t>heten i detta inför utskottsbehandlingen av lagen om studiestöd. Landskap</w:t>
      </w:r>
      <w:r w:rsidR="00065F94" w:rsidRPr="006E785C">
        <w:t>s</w:t>
      </w:r>
      <w:r w:rsidR="00065F94" w:rsidRPr="006E785C">
        <w:t>regeringen föreslog att ett tillägg skulle göras till 14 § studiestödslagen, där fastländska studerande på Åland skulle jämställas med studerande uto</w:t>
      </w:r>
      <w:r w:rsidR="00065F94" w:rsidRPr="006E785C">
        <w:t>m</w:t>
      </w:r>
      <w:r w:rsidR="00065F94" w:rsidRPr="006E785C">
        <w:t>lands. Utskottet genomförde inte detta tillägg, men ansåg i sitt betänkande (17/2016 rd) att det är viktigt att möjligheten för unga från fastlandet att få stöd för sitt boende när de studerar på Åland säkerställs innan reformen tr</w:t>
      </w:r>
      <w:r w:rsidR="00065F94" w:rsidRPr="006E785C">
        <w:t>ä</w:t>
      </w:r>
      <w:r w:rsidR="00065F94" w:rsidRPr="006E785C">
        <w:t xml:space="preserve">der i kraft. </w:t>
      </w:r>
    </w:p>
    <w:p w:rsidR="00065F94" w:rsidRPr="006E785C" w:rsidRDefault="00F30D85" w:rsidP="00065F94">
      <w:r w:rsidRPr="006E785C">
        <w:tab/>
      </w:r>
      <w:r w:rsidR="00065F94" w:rsidRPr="006E785C">
        <w:t>Social-och hälsovårdsministeriet bad 30.1.2017 landskapsregeringen u</w:t>
      </w:r>
      <w:r w:rsidR="00065F94" w:rsidRPr="006E785C">
        <w:t>t</w:t>
      </w:r>
      <w:r w:rsidR="00065F94" w:rsidRPr="006E785C">
        <w:t>låta sig över två alternativ med hjälp av vilka studerande från fastlandet kan omfattas av rätt till stöd för boende på Åland från och med 1.8.2017 – a</w:t>
      </w:r>
      <w:r w:rsidR="00065F94" w:rsidRPr="006E785C">
        <w:t>n</w:t>
      </w:r>
      <w:r w:rsidR="00065F94" w:rsidRPr="006E785C">
        <w:t>tingen att rätt till allmänt bostadsbidrag bestäms genom blankettlag och att staten finansierar utgifterna, eller att det i finska lagen om studiestöd för</w:t>
      </w:r>
      <w:r w:rsidR="00065F94" w:rsidRPr="006E785C">
        <w:t>e</w:t>
      </w:r>
      <w:r w:rsidR="00065F94" w:rsidRPr="006E785C">
        <w:t>skrivs om rätt till bostadstillägg för studerande från fastlandet som studerar på Åland. Landskapsregeringen svarade 3.2.2017 att landskapsregeringen anser att det i lagen om studiestöd bör förskrivas om rätt till bostadstillägg. Frågan om stöd för boende för fastländska studerande bosatta på Åland, för vilket riket ansvarar, behöver lösas i rikslagstiftningen. Åland kan inte a</w:t>
      </w:r>
      <w:r w:rsidR="00065F94" w:rsidRPr="006E785C">
        <w:t>n</w:t>
      </w:r>
      <w:r w:rsidR="00065F94" w:rsidRPr="006E785C">
        <w:t>vända sin lagstiftningsbehörighet</w:t>
      </w:r>
      <w:r w:rsidR="00065F94" w:rsidRPr="006E785C">
        <w:rPr>
          <w:b/>
          <w:bCs/>
        </w:rPr>
        <w:t xml:space="preserve"> </w:t>
      </w:r>
      <w:r w:rsidR="00065F94" w:rsidRPr="006E785C">
        <w:rPr>
          <w:bCs/>
        </w:rPr>
        <w:t>för att</w:t>
      </w:r>
      <w:r w:rsidR="00065F94" w:rsidRPr="006E785C">
        <w:t xml:space="preserve"> ändra i sin lagstiftning</w:t>
      </w:r>
      <w:r w:rsidR="00065F94" w:rsidRPr="006E785C">
        <w:rPr>
          <w:b/>
          <w:bCs/>
        </w:rPr>
        <w:t xml:space="preserve"> </w:t>
      </w:r>
      <w:r w:rsidR="00065F94" w:rsidRPr="006E785C">
        <w:rPr>
          <w:bCs/>
        </w:rPr>
        <w:t>för att</w:t>
      </w:r>
      <w:r w:rsidR="00065F94" w:rsidRPr="006E785C">
        <w:t xml:space="preserve"> g</w:t>
      </w:r>
      <w:r w:rsidR="00065F94" w:rsidRPr="006E785C">
        <w:t>e</w:t>
      </w:r>
      <w:r w:rsidR="00065F94" w:rsidRPr="006E785C">
        <w:t>nomföra rikets reformer. En promemoria och förslag till ny proposition med önskad utformning lämnades för utlåtande till landskapsregeringen i mars 2017 och förefaller exkludera ett uppkommet gränshinder och därmed säkerställer att studerande från fastlandet kommer att vara berättigade till bostadstillägg enligt studiestödslagen.</w:t>
      </w:r>
    </w:p>
    <w:p w:rsidR="00065F94" w:rsidRPr="006E785C" w:rsidRDefault="00F30D85" w:rsidP="00065F94">
      <w:r w:rsidRPr="006E785C">
        <w:tab/>
        <w:t>Vad avser åländska sökande till studier vid svenska högskolor och un</w:t>
      </w:r>
      <w:r w:rsidRPr="006E785C">
        <w:t>i</w:t>
      </w:r>
      <w:r w:rsidRPr="006E785C">
        <w:t>versitet kan e</w:t>
      </w:r>
      <w:r w:rsidR="00065F94" w:rsidRPr="006E785C">
        <w:t>n ny utmaning bestå i den förändrade meritvärderingen av u</w:t>
      </w:r>
      <w:r w:rsidR="00065F94" w:rsidRPr="006E785C">
        <w:t>t</w:t>
      </w:r>
      <w:r w:rsidR="00065F94" w:rsidRPr="006E785C">
        <w:t>ländska betyg. Hur utfallet slutligen blir klargörs först efter att antagningen till studier som inleds i höst har klarnat. En ändring av meritvärderingen föranleds av att bedömningen av prestationer vid svenska gymnasier än</w:t>
      </w:r>
      <w:r w:rsidR="00065F94" w:rsidRPr="006E785C">
        <w:t>d</w:t>
      </w:r>
      <w:r w:rsidR="00065F94" w:rsidRPr="006E785C">
        <w:t>rats. Landskapsregeringen har i kontakter till Sverige på såväl politisk som tjänstemannanivå påpekat vikten av att åländska studerandens möjligheter till fortsatta studier i Sverige inte försvåras.</w:t>
      </w:r>
      <w:r w:rsidRPr="006E785C">
        <w:t xml:space="preserve"> </w:t>
      </w:r>
    </w:p>
    <w:p w:rsidR="00D04359" w:rsidRPr="006E785C" w:rsidRDefault="00D04359" w:rsidP="004E0D2D">
      <w:r w:rsidRPr="006E785C">
        <w:tab/>
      </w:r>
      <w:r w:rsidR="009F0251" w:rsidRPr="006E785C">
        <w:t>Efter ett</w:t>
      </w:r>
      <w:r w:rsidRPr="006E785C">
        <w:t xml:space="preserve"> initiativ av dåvarande lantråd</w:t>
      </w:r>
      <w:r w:rsidR="009F0251" w:rsidRPr="006E785C">
        <w:t xml:space="preserve"> Camilla Gunell vid statsmini</w:t>
      </w:r>
      <w:r w:rsidR="009F0251" w:rsidRPr="006E785C">
        <w:t>s</w:t>
      </w:r>
      <w:r w:rsidR="009F0251" w:rsidRPr="006E785C">
        <w:t>te</w:t>
      </w:r>
      <w:r w:rsidR="004E0D2D" w:rsidRPr="006E785C">
        <w:t xml:space="preserve">rmötet i oktober 2014 inleddes ett arbete </w:t>
      </w:r>
      <w:r w:rsidR="009F0251" w:rsidRPr="006E785C">
        <w:t>att kartlägga de nordiska avt</w:t>
      </w:r>
      <w:r w:rsidR="009F0251" w:rsidRPr="006E785C">
        <w:t>a</w:t>
      </w:r>
      <w:r w:rsidR="009F0251" w:rsidRPr="006E785C">
        <w:t xml:space="preserve">lens </w:t>
      </w:r>
      <w:r w:rsidRPr="006E785C">
        <w:t>överensstämmelse med</w:t>
      </w:r>
      <w:r w:rsidR="009F0251" w:rsidRPr="006E785C">
        <w:t xml:space="preserve"> kommande och befintliga EU-direktiv. Initiat</w:t>
      </w:r>
      <w:r w:rsidR="009F0251" w:rsidRPr="006E785C">
        <w:t>i</w:t>
      </w:r>
      <w:r w:rsidR="009F0251" w:rsidRPr="006E785C">
        <w:t xml:space="preserve">vet tillkom i skuggan av </w:t>
      </w:r>
      <w:r w:rsidRPr="006E785C">
        <w:t>en</w:t>
      </w:r>
      <w:r w:rsidR="009F0251" w:rsidRPr="006E785C">
        <w:t xml:space="preserve"> diskussion </w:t>
      </w:r>
      <w:r w:rsidRPr="006E785C">
        <w:t xml:space="preserve">år 2014 </w:t>
      </w:r>
      <w:r w:rsidR="009F0251" w:rsidRPr="006E785C">
        <w:t>gällande Arjeplog</w:t>
      </w:r>
      <w:r w:rsidRPr="006E785C">
        <w:t>-</w:t>
      </w:r>
      <w:r w:rsidR="009F0251" w:rsidRPr="006E785C">
        <w:t>avtalet. Översynen av de nordiska avtalen har gjorts av Helsingfors universitetet och avslutades under 2016.</w:t>
      </w:r>
    </w:p>
    <w:p w:rsidR="008842B6" w:rsidRPr="006E785C" w:rsidRDefault="00D04359" w:rsidP="004E0D2D">
      <w:r w:rsidRPr="006E785C">
        <w:tab/>
        <w:t>H</w:t>
      </w:r>
      <w:r w:rsidR="009F0251" w:rsidRPr="006E785C">
        <w:t>allå Norden som nu finns i alla nordiska länder samt Färöarna, Grö</w:t>
      </w:r>
      <w:r w:rsidR="009F0251" w:rsidRPr="006E785C">
        <w:t>n</w:t>
      </w:r>
      <w:r w:rsidR="009F0251" w:rsidRPr="006E785C">
        <w:t>land och Åland, har fortsatt sin centrala roll i gränshinderarbetet. Hallå Nordens uppgift är att besvara inkomna frågor och utgör därigenom en vi</w:t>
      </w:r>
      <w:r w:rsidR="009F0251" w:rsidRPr="006E785C">
        <w:t>k</w:t>
      </w:r>
      <w:r w:rsidR="009F0251" w:rsidRPr="006E785C">
        <w:t>tig resurs för att förebygga att frågeställare råkar ut för gränshinder. Sama</w:t>
      </w:r>
      <w:r w:rsidR="009F0251" w:rsidRPr="006E785C">
        <w:t>r</w:t>
      </w:r>
      <w:r w:rsidR="009F0251" w:rsidRPr="006E785C">
        <w:t>betet mellan Ålands representant i Gränshinderrådet och Hallå Norden-kontoret har varit tätt och regelbundet.</w:t>
      </w:r>
    </w:p>
    <w:p w:rsidR="00BF6955" w:rsidRPr="006E785C" w:rsidRDefault="00BF6955" w:rsidP="004E0D2D">
      <w:pPr>
        <w:pStyle w:val="Rubrik3"/>
      </w:pPr>
      <w:bookmarkStart w:id="311" w:name="_Toc410992922"/>
      <w:bookmarkStart w:id="312" w:name="_Toc412443844"/>
      <w:bookmarkStart w:id="313" w:name="_Toc412452762"/>
      <w:bookmarkStart w:id="314" w:name="_Toc442361091"/>
      <w:bookmarkStart w:id="315" w:name="_Toc442442890"/>
      <w:bookmarkStart w:id="316" w:name="_Toc442707728"/>
      <w:bookmarkStart w:id="317" w:name="_Toc443054936"/>
      <w:bookmarkStart w:id="318" w:name="_Toc444255899"/>
      <w:bookmarkStart w:id="319" w:name="_Toc444516720"/>
      <w:bookmarkStart w:id="320" w:name="_Toc474851934"/>
      <w:bookmarkStart w:id="321" w:name="_Toc475356610"/>
      <w:bookmarkStart w:id="322" w:name="_Toc477164747"/>
      <w:bookmarkStart w:id="323" w:name="_Toc477424031"/>
      <w:bookmarkStart w:id="324" w:name="_Toc410992923"/>
      <w:bookmarkStart w:id="325" w:name="_Toc412443845"/>
      <w:bookmarkStart w:id="326" w:name="_Toc412452763"/>
      <w:bookmarkStart w:id="327" w:name="_Toc442361092"/>
      <w:bookmarkStart w:id="328" w:name="_Toc442442891"/>
      <w:bookmarkStart w:id="329" w:name="_Toc442707729"/>
      <w:bookmarkStart w:id="330" w:name="_Toc443054937"/>
      <w:bookmarkStart w:id="331" w:name="_Toc444255900"/>
      <w:bookmarkStart w:id="332" w:name="_Toc444516721"/>
      <w:r w:rsidRPr="006E785C">
        <w:lastRenderedPageBreak/>
        <w:t>2.2.3 Nordiska rådets session</w:t>
      </w:r>
      <w:bookmarkEnd w:id="311"/>
      <w:bookmarkEnd w:id="312"/>
      <w:bookmarkEnd w:id="313"/>
      <w:bookmarkEnd w:id="314"/>
      <w:bookmarkEnd w:id="315"/>
      <w:bookmarkEnd w:id="316"/>
      <w:bookmarkEnd w:id="317"/>
      <w:bookmarkEnd w:id="318"/>
      <w:bookmarkEnd w:id="319"/>
      <w:bookmarkEnd w:id="320"/>
      <w:bookmarkEnd w:id="321"/>
      <w:bookmarkEnd w:id="322"/>
      <w:bookmarkEnd w:id="323"/>
    </w:p>
    <w:p w:rsidR="00BF6955" w:rsidRPr="00C47C4F" w:rsidDel="006B5C45" w:rsidRDefault="00BF6955" w:rsidP="004E0D2D">
      <w:r w:rsidRPr="00D04359">
        <w:t>Nordiska rådets 68:e session ägde rum den 1-3 november i Köpenhamn.  Från landskapsregeringen deltog lantrådet Katrin Sjögren, vicelantrådet Camilla Gunell, nordiska samarbetsministern Nina Fellman och utbil</w:t>
      </w:r>
      <w:r w:rsidRPr="00D04359">
        <w:t>d</w:t>
      </w:r>
      <w:r w:rsidRPr="00D04359">
        <w:t>nings- och kulturminister Tony Asumaa. Lantrådet talade under regering</w:t>
      </w:r>
      <w:r w:rsidRPr="00D04359">
        <w:t>s</w:t>
      </w:r>
      <w:r w:rsidRPr="00D04359">
        <w:t xml:space="preserve">chefernas toppmöte </w:t>
      </w:r>
      <w:r w:rsidR="00D04359" w:rsidRPr="00D04359">
        <w:t xml:space="preserve">på temat </w:t>
      </w:r>
      <w:r w:rsidRPr="00D04359">
        <w:rPr>
          <w:i/>
        </w:rPr>
        <w:t xml:space="preserve">Hur kan Norden bidra med att genomföra världsmålen i </w:t>
      </w:r>
      <w:r w:rsidRPr="00C47C4F">
        <w:rPr>
          <w:i/>
        </w:rPr>
        <w:t>Norden</w:t>
      </w:r>
      <w:r w:rsidRPr="00C47C4F">
        <w:t xml:space="preserve">. Lantrådet </w:t>
      </w:r>
      <w:r w:rsidR="00D04359" w:rsidRPr="00C47C4F">
        <w:t>redogjorde för</w:t>
      </w:r>
      <w:r w:rsidRPr="00C47C4F">
        <w:t xml:space="preserve"> Utvecklings- och hållba</w:t>
      </w:r>
      <w:r w:rsidRPr="00C47C4F">
        <w:t>r</w:t>
      </w:r>
      <w:r w:rsidRPr="00C47C4F">
        <w:t>hetsagenda</w:t>
      </w:r>
      <w:r w:rsidR="00D04359" w:rsidRPr="00C47C4F">
        <w:t>n</w:t>
      </w:r>
      <w:r w:rsidRPr="00C47C4F">
        <w:t xml:space="preserve"> för Åland</w:t>
      </w:r>
      <w:r w:rsidR="00D04359" w:rsidRPr="00C47C4F">
        <w:t>,</w:t>
      </w:r>
      <w:r w:rsidRPr="00C47C4F">
        <w:t xml:space="preserve"> vilket väckte uppmärksamhet i salen. Nordiska samarbetsministern Nina Fellman redogjorde för ministerrådets arbete med integration och vicelantrådet Camilla Gunell var en av två ministrar som svarade på arbetsmarknadsfrågor under frågetimmen. </w:t>
      </w:r>
    </w:p>
    <w:p w:rsidR="00A34F18" w:rsidRPr="00C47C4F" w:rsidRDefault="00A34F18" w:rsidP="004E0D2D">
      <w:pPr>
        <w:pStyle w:val="Rubrik3"/>
      </w:pPr>
      <w:bookmarkStart w:id="333" w:name="_Toc474851935"/>
      <w:bookmarkStart w:id="334" w:name="_Toc475356611"/>
      <w:bookmarkStart w:id="335" w:name="_Toc477164748"/>
      <w:bookmarkStart w:id="336" w:name="_Toc477424032"/>
      <w:bookmarkStart w:id="337" w:name="_Toc410992924"/>
      <w:bookmarkStart w:id="338" w:name="_Toc412443846"/>
      <w:bookmarkStart w:id="339" w:name="_Toc412452764"/>
      <w:bookmarkStart w:id="340" w:name="_Toc442361093"/>
      <w:bookmarkStart w:id="341" w:name="_Toc442442892"/>
      <w:bookmarkStart w:id="342" w:name="_Toc442707730"/>
      <w:bookmarkStart w:id="343" w:name="_Toc443054938"/>
      <w:bookmarkStart w:id="344" w:name="_Toc444255901"/>
      <w:bookmarkStart w:id="345" w:name="_Toc444516722"/>
      <w:bookmarkEnd w:id="324"/>
      <w:bookmarkEnd w:id="325"/>
      <w:bookmarkEnd w:id="326"/>
      <w:bookmarkEnd w:id="327"/>
      <w:bookmarkEnd w:id="328"/>
      <w:bookmarkEnd w:id="329"/>
      <w:bookmarkEnd w:id="330"/>
      <w:bookmarkEnd w:id="331"/>
      <w:bookmarkEnd w:id="332"/>
      <w:r w:rsidRPr="00C47C4F">
        <w:t>2.2.4 Minisessionen</w:t>
      </w:r>
      <w:bookmarkEnd w:id="333"/>
      <w:bookmarkEnd w:id="334"/>
      <w:bookmarkEnd w:id="335"/>
      <w:bookmarkEnd w:id="336"/>
    </w:p>
    <w:p w:rsidR="00A34F18" w:rsidRPr="00C47C4F" w:rsidRDefault="00C47C4F" w:rsidP="004E0D2D">
      <w:r w:rsidRPr="00C47C4F">
        <w:t xml:space="preserve">Den </w:t>
      </w:r>
      <w:r w:rsidR="004E0D2D" w:rsidRPr="00C47C4F">
        <w:t xml:space="preserve">19 april </w:t>
      </w:r>
      <w:r w:rsidR="00A34F18" w:rsidRPr="00C47C4F">
        <w:t>arrangerades Nordiska rådets minisession i Oslo. Ingen m</w:t>
      </w:r>
      <w:r w:rsidR="00A34F18" w:rsidRPr="00C47C4F">
        <w:t>i</w:t>
      </w:r>
      <w:r w:rsidR="00A34F18" w:rsidRPr="00C47C4F">
        <w:t xml:space="preserve">nister från landskapsregeringen deltog. </w:t>
      </w:r>
    </w:p>
    <w:p w:rsidR="00AA328D" w:rsidRPr="00C47C4F" w:rsidRDefault="00AA328D" w:rsidP="004E0D2D">
      <w:pPr>
        <w:pStyle w:val="Rubrik3"/>
      </w:pPr>
      <w:bookmarkStart w:id="346" w:name="_Toc474851936"/>
      <w:bookmarkStart w:id="347" w:name="_Toc475356612"/>
      <w:bookmarkStart w:id="348" w:name="_Toc477164749"/>
      <w:bookmarkStart w:id="349" w:name="_Toc477424033"/>
      <w:bookmarkStart w:id="350" w:name="_Toc410992925"/>
      <w:bookmarkStart w:id="351" w:name="_Toc412443847"/>
      <w:bookmarkStart w:id="352" w:name="_Toc412452765"/>
      <w:bookmarkStart w:id="353" w:name="_Toc442361094"/>
      <w:bookmarkStart w:id="354" w:name="_Toc442442893"/>
      <w:bookmarkStart w:id="355" w:name="_Toc442707731"/>
      <w:bookmarkStart w:id="356" w:name="_Toc443054939"/>
      <w:bookmarkStart w:id="357" w:name="_Toc444255902"/>
      <w:bookmarkStart w:id="358" w:name="_Toc444516723"/>
      <w:bookmarkEnd w:id="337"/>
      <w:bookmarkEnd w:id="338"/>
      <w:bookmarkEnd w:id="339"/>
      <w:bookmarkEnd w:id="340"/>
      <w:bookmarkEnd w:id="341"/>
      <w:bookmarkEnd w:id="342"/>
      <w:bookmarkEnd w:id="343"/>
      <w:bookmarkEnd w:id="344"/>
      <w:bookmarkEnd w:id="345"/>
      <w:r w:rsidRPr="00C47C4F">
        <w:t>2.2.5 Politikerveckan i Almedalen</w:t>
      </w:r>
      <w:bookmarkEnd w:id="346"/>
      <w:bookmarkEnd w:id="347"/>
      <w:bookmarkEnd w:id="348"/>
      <w:bookmarkEnd w:id="349"/>
    </w:p>
    <w:p w:rsidR="00AA328D" w:rsidRPr="00C47C4F" w:rsidRDefault="00AA328D" w:rsidP="004E0D2D">
      <w:pPr>
        <w:rPr>
          <w:rFonts w:cs="Arial"/>
          <w:bCs/>
          <w:sz w:val="26"/>
          <w:szCs w:val="26"/>
        </w:rPr>
      </w:pPr>
      <w:r w:rsidRPr="00C47C4F">
        <w:t>Inom ramen för politikerveckan i Almedalen på Gotland i början av</w:t>
      </w:r>
      <w:r w:rsidR="004E0D2D" w:rsidRPr="00C47C4F">
        <w:t xml:space="preserve"> </w:t>
      </w:r>
      <w:r w:rsidRPr="00C47C4F">
        <w:t xml:space="preserve">juli </w:t>
      </w:r>
      <w:r w:rsidR="00C47C4F" w:rsidRPr="00C47C4F">
        <w:t xml:space="preserve">2016 </w:t>
      </w:r>
      <w:r w:rsidRPr="00C47C4F">
        <w:t>deltog</w:t>
      </w:r>
      <w:r w:rsidR="004E0D2D" w:rsidRPr="00C47C4F">
        <w:t xml:space="preserve"> Åland </w:t>
      </w:r>
      <w:r w:rsidR="00C47C4F" w:rsidRPr="00C47C4F">
        <w:t>under</w:t>
      </w:r>
      <w:r w:rsidR="004E0D2D" w:rsidRPr="00C47C4F">
        <w:t xml:space="preserve"> tre dagar. Den 5 juli </w:t>
      </w:r>
      <w:r w:rsidRPr="00C47C4F">
        <w:t>var det Nordens dag där no</w:t>
      </w:r>
      <w:r w:rsidRPr="00C47C4F">
        <w:t>r</w:t>
      </w:r>
      <w:r w:rsidRPr="00C47C4F">
        <w:t>diska samarbetsministern Nina Fellman deltog i ett seminarium med na</w:t>
      </w:r>
      <w:r w:rsidRPr="00C47C4F">
        <w:t>m</w:t>
      </w:r>
      <w:r w:rsidRPr="00C47C4F">
        <w:t xml:space="preserve">net </w:t>
      </w:r>
      <w:r w:rsidRPr="00C47C4F">
        <w:rPr>
          <w:i/>
        </w:rPr>
        <w:t>När Medelhavet kom till Norden – vad händer med nordiska samarbetet efter flyktingkrisen</w:t>
      </w:r>
      <w:r w:rsidRPr="00C47C4F">
        <w:t xml:space="preserve">. </w:t>
      </w:r>
    </w:p>
    <w:p w:rsidR="002042A6" w:rsidRPr="00C47C4F" w:rsidRDefault="002042A6" w:rsidP="004E0D2D">
      <w:pPr>
        <w:pStyle w:val="Rubrik3"/>
      </w:pPr>
      <w:bookmarkStart w:id="359" w:name="_Toc474851937"/>
      <w:bookmarkStart w:id="360" w:name="_Toc475356613"/>
      <w:bookmarkStart w:id="361" w:name="_Toc477164750"/>
      <w:bookmarkStart w:id="362" w:name="_Toc477424034"/>
      <w:bookmarkStart w:id="363" w:name="_Toc410992926"/>
      <w:bookmarkStart w:id="364" w:name="_Toc412443848"/>
      <w:bookmarkStart w:id="365" w:name="_Toc412452766"/>
      <w:bookmarkStart w:id="366" w:name="_Toc442361095"/>
      <w:bookmarkStart w:id="367" w:name="_Toc442442894"/>
      <w:bookmarkStart w:id="368" w:name="_Toc442707732"/>
      <w:bookmarkStart w:id="369" w:name="_Toc443054940"/>
      <w:bookmarkStart w:id="370" w:name="_Toc444255903"/>
      <w:bookmarkStart w:id="371" w:name="_Toc444516724"/>
      <w:bookmarkEnd w:id="350"/>
      <w:bookmarkEnd w:id="351"/>
      <w:bookmarkEnd w:id="352"/>
      <w:bookmarkEnd w:id="353"/>
      <w:bookmarkEnd w:id="354"/>
      <w:bookmarkEnd w:id="355"/>
      <w:bookmarkEnd w:id="356"/>
      <w:bookmarkEnd w:id="357"/>
      <w:bookmarkEnd w:id="358"/>
      <w:r w:rsidRPr="00C47C4F">
        <w:t>2.2.6 Samarbetet med Färöarna och Grönland och Färöarnas a</w:t>
      </w:r>
      <w:r w:rsidRPr="00C47C4F">
        <w:t>n</w:t>
      </w:r>
      <w:r w:rsidRPr="00C47C4F">
        <w:t>sökan om fullvärdigt medlemskap</w:t>
      </w:r>
      <w:bookmarkEnd w:id="359"/>
      <w:bookmarkEnd w:id="360"/>
      <w:bookmarkEnd w:id="361"/>
      <w:bookmarkEnd w:id="362"/>
    </w:p>
    <w:p w:rsidR="002042A6" w:rsidRPr="00C47C4F" w:rsidRDefault="002042A6" w:rsidP="004E0D2D">
      <w:r w:rsidRPr="00C47C4F">
        <w:t>Samarbetet mellan Färöarna, Grönland och Åland har under året fungerat väl. Inför ministermöten och möten i ämbetsmannakommittéerna görs en avstämning</w:t>
      </w:r>
      <w:r w:rsidR="00C47C4F" w:rsidRPr="00C47C4F">
        <w:t xml:space="preserve"> av</w:t>
      </w:r>
      <w:r w:rsidRPr="00C47C4F">
        <w:t xml:space="preserve"> i vilka ärenden man behöver understöd. </w:t>
      </w:r>
    </w:p>
    <w:p w:rsidR="002042A6" w:rsidRPr="00C47C4F" w:rsidRDefault="004E0D2D" w:rsidP="004E0D2D">
      <w:r w:rsidRPr="00C47C4F">
        <w:tab/>
      </w:r>
      <w:r w:rsidR="002042A6" w:rsidRPr="00C47C4F">
        <w:t>Den största frågan under 2016 var Färöarnas ansökan om fullvärdigt medlemskap i Nordiska rådet och Nordiska ministerrådet. Ansökan lämn</w:t>
      </w:r>
      <w:r w:rsidR="002042A6" w:rsidRPr="00C47C4F">
        <w:t>a</w:t>
      </w:r>
      <w:r w:rsidR="002042A6" w:rsidRPr="00C47C4F">
        <w:t>des i samband med Nordiska rådets session i början av november och b</w:t>
      </w:r>
      <w:r w:rsidR="002042A6" w:rsidRPr="00C47C4F">
        <w:t>e</w:t>
      </w:r>
      <w:r w:rsidR="002042A6" w:rsidRPr="00C47C4F">
        <w:t xml:space="preserve">handlades vid samarbetsministrarnas möte den 31 oktober. Ansökan fick avslag med enbart Grönland och Åland som uttalade sitt stöd för Färöarna. Beslutet blev att Färöarna i samarbete med Danmark ska utarbeta ett förslag hur man kan </w:t>
      </w:r>
      <w:r w:rsidR="002042A6" w:rsidRPr="002B0797">
        <w:t>stärka Färöarnas roll i Nordiska</w:t>
      </w:r>
      <w:r w:rsidR="002042A6" w:rsidRPr="00C47C4F">
        <w:t xml:space="preserve"> samarbetet inom ramen för Helsingforsavtalet. Förslaget ska överlämnas under våren 2017. </w:t>
      </w:r>
    </w:p>
    <w:p w:rsidR="002042A6" w:rsidRPr="00D10A06" w:rsidRDefault="004E0D2D" w:rsidP="004E0D2D">
      <w:r w:rsidRPr="00A17E3A">
        <w:rPr>
          <w:color w:val="00B050"/>
        </w:rPr>
        <w:tab/>
      </w:r>
      <w:r w:rsidR="002042A6" w:rsidRPr="00D10A06">
        <w:t>Angående villkoren för en eventuell åländska ansökan om fullvärdigt medlemskap så sände landskapsregeringen ett meddelande till Ålands la</w:t>
      </w:r>
      <w:r w:rsidR="002042A6" w:rsidRPr="00D10A06">
        <w:t>g</w:t>
      </w:r>
      <w:r w:rsidR="002042A6" w:rsidRPr="00D10A06">
        <w:t>ting som var uppe i plenum i november 2016 för att därefter behandlas i lag- och kulturutskottet. Meddelandet redogjorde för politiska, ekonomiska och juridiska konsekvenser om Åland skulle följa Färöarnas väg och a</w:t>
      </w:r>
      <w:r w:rsidR="002042A6" w:rsidRPr="00D10A06">
        <w:t>n</w:t>
      </w:r>
      <w:r w:rsidR="002042A6" w:rsidRPr="00D10A06">
        <w:t>söka om fullvärdigt medlemskap. Landskapsregeringens slutsats bl</w:t>
      </w:r>
      <w:r w:rsidR="00CC0BC6" w:rsidRPr="00D10A06">
        <w:t>ev</w:t>
      </w:r>
      <w:r w:rsidR="002042A6" w:rsidRPr="00D10A06">
        <w:t xml:space="preserve"> dock att det saknas både ekonomiska och personella resurser för ett sådant åt</w:t>
      </w:r>
      <w:r w:rsidR="002042A6" w:rsidRPr="00D10A06">
        <w:t>a</w:t>
      </w:r>
      <w:r w:rsidR="002042A6" w:rsidRPr="00D10A06">
        <w:t>gande. Meddelandet delades ut på nämnda samarbetsministermöte då Fär</w:t>
      </w:r>
      <w:r w:rsidR="002042A6" w:rsidRPr="00D10A06">
        <w:t>ö</w:t>
      </w:r>
      <w:r w:rsidR="002042A6" w:rsidRPr="00D10A06">
        <w:t>arnas ansökan behandlades.</w:t>
      </w:r>
    </w:p>
    <w:p w:rsidR="00DB09EB" w:rsidRPr="00D10A06" w:rsidRDefault="00DB09EB" w:rsidP="004E0D2D">
      <w:pPr>
        <w:pStyle w:val="Rubrik3"/>
      </w:pPr>
      <w:bookmarkStart w:id="372" w:name="_Toc474851938"/>
      <w:bookmarkStart w:id="373" w:name="_Toc475356614"/>
      <w:bookmarkStart w:id="374" w:name="_Toc477164751"/>
      <w:bookmarkStart w:id="375" w:name="_Toc477424035"/>
      <w:bookmarkStart w:id="376" w:name="_Toc410992927"/>
      <w:bookmarkStart w:id="377" w:name="_Toc412443849"/>
      <w:bookmarkStart w:id="378" w:name="_Toc412452767"/>
      <w:bookmarkStart w:id="379" w:name="_Toc442361096"/>
      <w:bookmarkStart w:id="380" w:name="_Toc442442895"/>
      <w:bookmarkStart w:id="381" w:name="_Toc442707733"/>
      <w:bookmarkStart w:id="382" w:name="_Toc443054941"/>
      <w:bookmarkStart w:id="383" w:name="_Toc444255904"/>
      <w:bookmarkStart w:id="384" w:name="_Toc444516725"/>
      <w:bookmarkEnd w:id="363"/>
      <w:bookmarkEnd w:id="364"/>
      <w:bookmarkEnd w:id="365"/>
      <w:bookmarkEnd w:id="366"/>
      <w:bookmarkEnd w:id="367"/>
      <w:bookmarkEnd w:id="368"/>
      <w:bookmarkEnd w:id="369"/>
      <w:bookmarkEnd w:id="370"/>
      <w:bookmarkEnd w:id="371"/>
      <w:r w:rsidRPr="00D10A06">
        <w:t>2.2.7 Besök</w:t>
      </w:r>
      <w:bookmarkEnd w:id="372"/>
      <w:bookmarkEnd w:id="373"/>
      <w:bookmarkEnd w:id="374"/>
      <w:bookmarkEnd w:id="375"/>
    </w:p>
    <w:p w:rsidR="00DB09EB" w:rsidRPr="00D10A06" w:rsidRDefault="00DB09EB" w:rsidP="004E0D2D">
      <w:r w:rsidRPr="00D10A06">
        <w:t>På inbjudan av det grönländska landsstyret deltog nordiska samarbetsm</w:t>
      </w:r>
      <w:r w:rsidRPr="00D10A06">
        <w:t>i</w:t>
      </w:r>
      <w:r w:rsidRPr="00D10A06">
        <w:t>nistern Nina Fellman och Ålands NSK-ledamot i ett gränshindersem</w:t>
      </w:r>
      <w:r w:rsidRPr="00D10A06">
        <w:t>i</w:t>
      </w:r>
      <w:r w:rsidRPr="00D10A06">
        <w:t>narium i grönländska Nuuk i början av februari. I anslutning till besöket ägde flera möten rum med både Färöarnas och Grönlands samarbetsm</w:t>
      </w:r>
      <w:r w:rsidRPr="00D10A06">
        <w:t>i</w:t>
      </w:r>
      <w:r w:rsidR="00D10A06" w:rsidRPr="00D10A06">
        <w:t>nistrar</w:t>
      </w:r>
      <w:r w:rsidRPr="00D10A06">
        <w:t xml:space="preserve">. </w:t>
      </w:r>
    </w:p>
    <w:p w:rsidR="00DB09EB" w:rsidRPr="00D10A06" w:rsidRDefault="004E0D2D" w:rsidP="004E0D2D">
      <w:r w:rsidRPr="00D10A06">
        <w:tab/>
      </w:r>
      <w:r w:rsidR="00DB09EB" w:rsidRPr="00D10A06">
        <w:t>Den 2 mars besöktes Åland av en representant från Finlands utrikesm</w:t>
      </w:r>
      <w:r w:rsidR="00DB09EB" w:rsidRPr="00D10A06">
        <w:t>i</w:t>
      </w:r>
      <w:r w:rsidR="00DB09EB" w:rsidRPr="00D10A06">
        <w:t xml:space="preserve">nisterium som redogjorde för det finska ordförandeskapsprogrammet för 2016 vid ett öppet möte. </w:t>
      </w:r>
    </w:p>
    <w:p w:rsidR="00DB09EB" w:rsidRPr="00D10A06" w:rsidRDefault="004E0D2D" w:rsidP="004E0D2D">
      <w:r w:rsidRPr="00D10A06">
        <w:lastRenderedPageBreak/>
        <w:tab/>
      </w:r>
      <w:r w:rsidR="00DB09EB" w:rsidRPr="00D10A06">
        <w:t>Från november 2015 till september 2016 har Åland vid fyra tillfällen besökts av planeringsgruppen från finska statsrådet inför statsministermötet i september</w:t>
      </w:r>
      <w:r w:rsidR="00D10A06" w:rsidRPr="00D10A06">
        <w:t xml:space="preserve"> 2016</w:t>
      </w:r>
      <w:r w:rsidR="00DB09EB" w:rsidRPr="00D10A06">
        <w:t xml:space="preserve">. </w:t>
      </w:r>
    </w:p>
    <w:p w:rsidR="00022925" w:rsidRPr="00D10A06" w:rsidRDefault="00022925" w:rsidP="004E0D2D">
      <w:pPr>
        <w:pStyle w:val="Rubrik2"/>
      </w:pPr>
      <w:bookmarkStart w:id="385" w:name="_Toc474851939"/>
      <w:bookmarkStart w:id="386" w:name="_Toc475356615"/>
      <w:bookmarkStart w:id="387" w:name="_Toc477164752"/>
      <w:bookmarkStart w:id="388" w:name="_Toc477424036"/>
      <w:bookmarkStart w:id="389" w:name="_Toc410992929"/>
      <w:bookmarkStart w:id="390" w:name="_Toc412443851"/>
      <w:bookmarkStart w:id="391" w:name="_Toc412452769"/>
      <w:bookmarkStart w:id="392" w:name="_Toc442361098"/>
      <w:bookmarkStart w:id="393" w:name="_Toc442442897"/>
      <w:bookmarkStart w:id="394" w:name="_Toc442707735"/>
      <w:bookmarkStart w:id="395" w:name="_Toc443054943"/>
      <w:bookmarkStart w:id="396" w:name="_Toc444255906"/>
      <w:bookmarkStart w:id="397" w:name="_Toc444516727"/>
      <w:bookmarkEnd w:id="376"/>
      <w:bookmarkEnd w:id="377"/>
      <w:bookmarkEnd w:id="378"/>
      <w:bookmarkEnd w:id="379"/>
      <w:bookmarkEnd w:id="380"/>
      <w:bookmarkEnd w:id="381"/>
      <w:bookmarkEnd w:id="382"/>
      <w:bookmarkEnd w:id="383"/>
      <w:bookmarkEnd w:id="384"/>
      <w:r w:rsidRPr="00D10A06">
        <w:t>2.3 Sektoriellt arbete</w:t>
      </w:r>
      <w:bookmarkEnd w:id="385"/>
      <w:bookmarkEnd w:id="386"/>
      <w:bookmarkEnd w:id="387"/>
      <w:bookmarkEnd w:id="388"/>
    </w:p>
    <w:p w:rsidR="00022925" w:rsidRPr="00D10A06" w:rsidRDefault="00022925" w:rsidP="004E0D2D">
      <w:pPr>
        <w:pStyle w:val="Rubrik3"/>
      </w:pPr>
      <w:bookmarkStart w:id="398" w:name="_Toc410992928"/>
      <w:bookmarkStart w:id="399" w:name="_Toc412443850"/>
      <w:bookmarkStart w:id="400" w:name="_Toc412452768"/>
      <w:bookmarkStart w:id="401" w:name="_Toc442361097"/>
      <w:bookmarkStart w:id="402" w:name="_Toc442442896"/>
      <w:bookmarkStart w:id="403" w:name="_Toc442707734"/>
      <w:bookmarkStart w:id="404" w:name="_Toc443054942"/>
      <w:bookmarkStart w:id="405" w:name="_Toc444255905"/>
      <w:bookmarkStart w:id="406" w:name="_Toc444516726"/>
      <w:bookmarkStart w:id="407" w:name="_Toc474851940"/>
      <w:bookmarkStart w:id="408" w:name="_Toc475356616"/>
      <w:bookmarkStart w:id="409" w:name="_Toc477164753"/>
      <w:bookmarkStart w:id="410" w:name="_Toc477424037"/>
      <w:r w:rsidRPr="00D10A06">
        <w:t>2.3.1 Samarbetsministrarna (MR-SAM)</w:t>
      </w:r>
      <w:bookmarkEnd w:id="398"/>
      <w:bookmarkEnd w:id="399"/>
      <w:bookmarkEnd w:id="400"/>
      <w:bookmarkEnd w:id="401"/>
      <w:bookmarkEnd w:id="402"/>
      <w:bookmarkEnd w:id="403"/>
      <w:bookmarkEnd w:id="404"/>
      <w:bookmarkEnd w:id="405"/>
      <w:bookmarkEnd w:id="406"/>
      <w:bookmarkEnd w:id="407"/>
      <w:bookmarkEnd w:id="408"/>
      <w:bookmarkEnd w:id="409"/>
      <w:bookmarkEnd w:id="410"/>
      <w:r w:rsidRPr="00D10A06">
        <w:t xml:space="preserve"> </w:t>
      </w:r>
    </w:p>
    <w:p w:rsidR="00022925" w:rsidRPr="00D10A06" w:rsidRDefault="00022925" w:rsidP="004E0D2D">
      <w:r w:rsidRPr="00D10A06">
        <w:t>MR-SAM är det ministerråd som har det samordnande ansvaret i Nordiska ministerrådet. Samarbetsministrarna har under året haft möten där nordiska samarbetsministern Nina Fellman deltog vid fyra varav ett temamöte om integration via videolänk.</w:t>
      </w:r>
      <w:r w:rsidR="00D10A06" w:rsidRPr="00D10A06">
        <w:t xml:space="preserve"> </w:t>
      </w:r>
      <w:r w:rsidRPr="00D10A06">
        <w:t>De nordiska samarbetsministrarna biträds av tjänstemännen i Nordiska samarbetskommittén NSK som samtidigt fung</w:t>
      </w:r>
      <w:r w:rsidRPr="00D10A06">
        <w:t>e</w:t>
      </w:r>
      <w:r w:rsidRPr="00D10A06">
        <w:t>rar som styrelse för sekretariatet i Köpenhamn. Nordiska samarbetskommi</w:t>
      </w:r>
      <w:r w:rsidRPr="00D10A06">
        <w:t>t</w:t>
      </w:r>
      <w:r w:rsidRPr="00D10A06">
        <w:t>tén möttes vid sex tillfällen</w:t>
      </w:r>
      <w:r w:rsidR="00D10A06" w:rsidRPr="00D10A06">
        <w:t xml:space="preserve"> under år 2016, varav fyra gånger </w:t>
      </w:r>
      <w:r w:rsidR="004E0D2D" w:rsidRPr="00D10A06">
        <w:t xml:space="preserve">i anslutning till </w:t>
      </w:r>
      <w:r w:rsidRPr="00D10A06">
        <w:t xml:space="preserve">samarbetsministrarnas möten. </w:t>
      </w:r>
    </w:p>
    <w:p w:rsidR="00022925" w:rsidRPr="00D10A06" w:rsidRDefault="00022925" w:rsidP="004E0D2D">
      <w:r w:rsidRPr="00D10A06">
        <w:tab/>
      </w:r>
      <w:r w:rsidR="00FD251F">
        <w:t xml:space="preserve">Samarbetsministrarna beslutar om </w:t>
      </w:r>
      <w:r w:rsidRPr="00D10A06">
        <w:t xml:space="preserve">Nordiska ministerrådets budget </w:t>
      </w:r>
      <w:r w:rsidR="00FD251F">
        <w:t>som</w:t>
      </w:r>
      <w:r w:rsidRPr="00D10A06">
        <w:t xml:space="preserve"> 2016 uppgic</w:t>
      </w:r>
      <w:r w:rsidR="004E0D2D" w:rsidRPr="00D10A06">
        <w:t xml:space="preserve">k till 124 </w:t>
      </w:r>
      <w:r w:rsidRPr="00D10A06">
        <w:t>miljoner euro. Under året har samarbetsministrarna bland annat gått vidare med Nyt Norden 2.0 – nästa fas av reformarbetet, enats om ett samarbete om integration av flyktingar och invandrare, tagit initiativ om ett nordiskt samarbete om digitalisering, antagit en strategi för barn och unga i Norden, haft temadis</w:t>
      </w:r>
      <w:r w:rsidR="00D10A06" w:rsidRPr="00D10A06">
        <w:t>kussion om EU med anledning av B</w:t>
      </w:r>
      <w:r w:rsidRPr="00D10A06">
        <w:t>rexit och enats om ett starkare samarbete gällande EU-frågor. Andra fr</w:t>
      </w:r>
      <w:r w:rsidRPr="00D10A06">
        <w:t>å</w:t>
      </w:r>
      <w:r w:rsidRPr="00D10A06">
        <w:t xml:space="preserve">gor som behandlats är samarbetsprogram för Arktis och </w:t>
      </w:r>
      <w:r w:rsidR="00D10A06" w:rsidRPr="00D10A06">
        <w:t>V</w:t>
      </w:r>
      <w:r w:rsidRPr="00D10A06">
        <w:t>ästnorden samt en avveckling av Nordiska ministerrådets åtaganden i European Humanity University i Vilnius.</w:t>
      </w:r>
    </w:p>
    <w:p w:rsidR="008842B6" w:rsidRPr="00D10A06" w:rsidRDefault="008842B6" w:rsidP="004E0D2D">
      <w:pPr>
        <w:pStyle w:val="Rubrik3"/>
      </w:pPr>
      <w:bookmarkStart w:id="411" w:name="_Toc474851941"/>
      <w:bookmarkStart w:id="412" w:name="_Toc475356617"/>
      <w:bookmarkStart w:id="413" w:name="_Toc477164754"/>
      <w:bookmarkStart w:id="414" w:name="_Toc477424038"/>
      <w:r w:rsidRPr="00D10A06">
        <w:t>2.3.2 Arbetsliv</w:t>
      </w:r>
      <w:bookmarkEnd w:id="389"/>
      <w:bookmarkEnd w:id="390"/>
      <w:bookmarkEnd w:id="391"/>
      <w:bookmarkEnd w:id="392"/>
      <w:r w:rsidR="00193ECA" w:rsidRPr="00D10A06">
        <w:t xml:space="preserve"> (MR-A)</w:t>
      </w:r>
      <w:bookmarkEnd w:id="393"/>
      <w:bookmarkEnd w:id="394"/>
      <w:bookmarkEnd w:id="395"/>
      <w:bookmarkEnd w:id="396"/>
      <w:bookmarkEnd w:id="397"/>
      <w:bookmarkEnd w:id="411"/>
      <w:bookmarkEnd w:id="412"/>
      <w:bookmarkEnd w:id="413"/>
      <w:bookmarkEnd w:id="414"/>
      <w:r w:rsidRPr="00D10A06">
        <w:tab/>
      </w:r>
    </w:p>
    <w:p w:rsidR="00B96018" w:rsidRPr="00D10A06" w:rsidRDefault="00B96018" w:rsidP="004E0D2D">
      <w:pPr>
        <w:rPr>
          <w:lang w:val="sv-FI" w:eastAsia="sv-FI"/>
        </w:rPr>
      </w:pPr>
      <w:bookmarkStart w:id="415" w:name="_Toc410992930"/>
      <w:bookmarkStart w:id="416" w:name="_Toc412443852"/>
      <w:bookmarkStart w:id="417" w:name="_Toc412452770"/>
      <w:bookmarkStart w:id="418" w:name="_Toc442361099"/>
      <w:bookmarkStart w:id="419" w:name="_Toc442442898"/>
      <w:bookmarkStart w:id="420" w:name="_Toc442707736"/>
      <w:bookmarkStart w:id="421" w:name="_Toc443054944"/>
      <w:bookmarkStart w:id="422" w:name="_Toc444255907"/>
      <w:bookmarkStart w:id="423" w:name="_Toc444516728"/>
      <w:r w:rsidRPr="00D10A06">
        <w:rPr>
          <w:lang w:eastAsia="sv-FI"/>
        </w:rPr>
        <w:t xml:space="preserve">Arbetsmarknadsministrarna </w:t>
      </w:r>
      <w:r w:rsidRPr="00D10A06">
        <w:rPr>
          <w:lang w:val="sv-FI" w:eastAsia="sv-FI"/>
        </w:rPr>
        <w:t xml:space="preserve">möttes i Helsingfors den 29 november. Åland var representerat vid mötet av en tjänsteman från AMS. På agendan fanns </w:t>
      </w:r>
      <w:r w:rsidR="00D10A06" w:rsidRPr="00D10A06">
        <w:rPr>
          <w:lang w:val="sv-FI" w:eastAsia="sv-FI"/>
        </w:rPr>
        <w:t xml:space="preserve">dels ärenden för minsterrådet, </w:t>
      </w:r>
      <w:r w:rsidRPr="00D10A06">
        <w:rPr>
          <w:lang w:val="sv-FI" w:eastAsia="sv-FI"/>
        </w:rPr>
        <w:t xml:space="preserve">dels temadiskussionen </w:t>
      </w:r>
      <w:r w:rsidRPr="00D10A06">
        <w:rPr>
          <w:i/>
          <w:lang w:val="sv-FI" w:eastAsia="sv-FI"/>
        </w:rPr>
        <w:t>Den strategiska g</w:t>
      </w:r>
      <w:r w:rsidRPr="00D10A06">
        <w:rPr>
          <w:i/>
          <w:lang w:val="sv-FI" w:eastAsia="sv-FI"/>
        </w:rPr>
        <w:t>e</w:t>
      </w:r>
      <w:r w:rsidRPr="00D10A06">
        <w:rPr>
          <w:i/>
          <w:lang w:val="sv-FI" w:eastAsia="sv-FI"/>
        </w:rPr>
        <w:t>nomlysningen av det nordiska arbetslivssamarbetet: Arbejdsliv i Norden – Udfodringer og forslag</w:t>
      </w:r>
      <w:r w:rsidRPr="00D10A06">
        <w:rPr>
          <w:lang w:val="sv-FI" w:eastAsia="sv-FI"/>
        </w:rPr>
        <w:t xml:space="preserve">, en rapport </w:t>
      </w:r>
      <w:r w:rsidR="00D10A06" w:rsidRPr="00D10A06">
        <w:rPr>
          <w:lang w:val="sv-FI" w:eastAsia="sv-FI"/>
        </w:rPr>
        <w:t>skriven</w:t>
      </w:r>
      <w:r w:rsidRPr="00D10A06">
        <w:rPr>
          <w:lang w:val="sv-FI" w:eastAsia="sv-FI"/>
        </w:rPr>
        <w:t xml:space="preserve"> av Poul Nielson, tidigare dansk mi</w:t>
      </w:r>
      <w:r w:rsidR="00D10A06" w:rsidRPr="00D10A06">
        <w:rPr>
          <w:lang w:val="sv-FI" w:eastAsia="sv-FI"/>
        </w:rPr>
        <w:t>nister och EU-kommissionär</w:t>
      </w:r>
      <w:r w:rsidRPr="00D10A06">
        <w:rPr>
          <w:lang w:val="sv-FI" w:eastAsia="sv-FI"/>
        </w:rPr>
        <w:t>.</w:t>
      </w:r>
    </w:p>
    <w:p w:rsidR="00B96018" w:rsidRPr="00D10A06" w:rsidRDefault="00B96018" w:rsidP="004E0D2D">
      <w:pPr>
        <w:rPr>
          <w:lang w:val="sv-FI" w:eastAsia="sv-FI"/>
        </w:rPr>
      </w:pPr>
      <w:r w:rsidRPr="00D10A06">
        <w:rPr>
          <w:lang w:val="sv-FI" w:eastAsia="sv-FI"/>
        </w:rPr>
        <w:tab/>
        <w:t>I ämbetsmannakommittén för arbetsliv och i kommitténs arbetsmar</w:t>
      </w:r>
      <w:r w:rsidRPr="00D10A06">
        <w:rPr>
          <w:lang w:val="sv-FI" w:eastAsia="sv-FI"/>
        </w:rPr>
        <w:t>k</w:t>
      </w:r>
      <w:r w:rsidRPr="00D10A06">
        <w:rPr>
          <w:lang w:val="sv-FI" w:eastAsia="sv-FI"/>
        </w:rPr>
        <w:t>nadsutskott representeras Åland av myndighetschefen för AMS. Båda o</w:t>
      </w:r>
      <w:r w:rsidRPr="00D10A06">
        <w:rPr>
          <w:lang w:val="sv-FI" w:eastAsia="sv-FI"/>
        </w:rPr>
        <w:t>r</w:t>
      </w:r>
      <w:r w:rsidRPr="00D10A06">
        <w:rPr>
          <w:lang w:val="sv-FI" w:eastAsia="sv-FI"/>
        </w:rPr>
        <w:t>ganen har hållit två möten under året. Åland var representerat vid tre av dessa fyra möten. Vid mötena bereds och bearbetas ärenden från ministe</w:t>
      </w:r>
      <w:r w:rsidRPr="00D10A06">
        <w:rPr>
          <w:lang w:val="sv-FI" w:eastAsia="sv-FI"/>
        </w:rPr>
        <w:t>r</w:t>
      </w:r>
      <w:r w:rsidRPr="00D10A06">
        <w:rPr>
          <w:lang w:val="sv-FI" w:eastAsia="sv-FI"/>
        </w:rPr>
        <w:t>rådet, samt behandlas ansökningar om nordiska projektmedel inom arbet</w:t>
      </w:r>
      <w:r w:rsidRPr="00D10A06">
        <w:rPr>
          <w:lang w:val="sv-FI" w:eastAsia="sv-FI"/>
        </w:rPr>
        <w:t>s</w:t>
      </w:r>
      <w:r w:rsidRPr="00D10A06">
        <w:rPr>
          <w:lang w:val="sv-FI" w:eastAsia="sv-FI"/>
        </w:rPr>
        <w:t>livsområdet. Vid mötena presenteras även aktuella arbetsmarknadsfrågor i respektive land samt inom EU.</w:t>
      </w:r>
    </w:p>
    <w:p w:rsidR="008842B6" w:rsidRPr="00D10A06" w:rsidRDefault="008842B6" w:rsidP="004E0D2D">
      <w:pPr>
        <w:pStyle w:val="Rubrik3"/>
      </w:pPr>
      <w:bookmarkStart w:id="424" w:name="_Toc474851942"/>
      <w:bookmarkStart w:id="425" w:name="_Toc475356618"/>
      <w:bookmarkStart w:id="426" w:name="_Toc477164755"/>
      <w:bookmarkStart w:id="427" w:name="_Toc477424039"/>
      <w:r w:rsidRPr="00D10A06">
        <w:t>2.3.3 Fiskeri och havsliv, jordbruk, livsmedel och skogsbruk (MR-FJLS)</w:t>
      </w:r>
      <w:bookmarkEnd w:id="415"/>
      <w:bookmarkEnd w:id="416"/>
      <w:bookmarkEnd w:id="417"/>
      <w:bookmarkEnd w:id="418"/>
      <w:bookmarkEnd w:id="419"/>
      <w:bookmarkEnd w:id="420"/>
      <w:bookmarkEnd w:id="421"/>
      <w:bookmarkEnd w:id="422"/>
      <w:bookmarkEnd w:id="423"/>
      <w:bookmarkEnd w:id="424"/>
      <w:bookmarkEnd w:id="425"/>
      <w:bookmarkEnd w:id="426"/>
      <w:bookmarkEnd w:id="427"/>
    </w:p>
    <w:p w:rsidR="00760186" w:rsidRPr="00D10A06" w:rsidRDefault="00760186" w:rsidP="004E0D2D">
      <w:bookmarkStart w:id="428" w:name="_Toc410992931"/>
      <w:bookmarkStart w:id="429" w:name="_Toc412443853"/>
      <w:bookmarkStart w:id="430" w:name="_Toc412452771"/>
      <w:bookmarkStart w:id="431" w:name="_Toc442361100"/>
      <w:bookmarkStart w:id="432" w:name="_Toc442442899"/>
      <w:bookmarkStart w:id="433" w:name="_Toc442707737"/>
      <w:bookmarkStart w:id="434" w:name="_Toc443054945"/>
      <w:bookmarkStart w:id="435" w:name="_Toc444255908"/>
      <w:bookmarkStart w:id="436" w:name="_Toc444516729"/>
      <w:r w:rsidRPr="00D10A06">
        <w:t>MR-</w:t>
      </w:r>
      <w:r w:rsidR="00D10A06" w:rsidRPr="00D10A06">
        <w:t>FJLS höll sitt sommarmöte i Åbo</w:t>
      </w:r>
      <w:r w:rsidRPr="00D10A06">
        <w:t xml:space="preserve"> den 28-29 juni 2016 med </w:t>
      </w:r>
      <w:r w:rsidR="00D10A06" w:rsidRPr="00D10A06">
        <w:t>N</w:t>
      </w:r>
      <w:r w:rsidRPr="00D10A06">
        <w:t>ordens roll inom bioekonomin som genomgående tema. Vid mötet godkändes en vägkart</w:t>
      </w:r>
      <w:r w:rsidR="00D10A06" w:rsidRPr="00D10A06">
        <w:t xml:space="preserve">a för den blå bioekonomin samt </w:t>
      </w:r>
      <w:r w:rsidR="00D10A06" w:rsidRPr="00D10A06">
        <w:rPr>
          <w:i/>
        </w:rPr>
        <w:t>N</w:t>
      </w:r>
      <w:r w:rsidRPr="00D10A06">
        <w:rPr>
          <w:i/>
        </w:rPr>
        <w:t>ordic Forest Solutions</w:t>
      </w:r>
      <w:r w:rsidRPr="00D10A06">
        <w:t>, en fär</w:t>
      </w:r>
      <w:r w:rsidRPr="00D10A06">
        <w:t>d</w:t>
      </w:r>
      <w:r w:rsidRPr="00D10A06">
        <w:t>plan för det framtida nordiska skogssamarbetet för att främja skogens roll i den gröna bioekonomin, den ekonomiska, ekologiska och sociala hållba</w:t>
      </w:r>
      <w:r w:rsidRPr="00D10A06">
        <w:t>r</w:t>
      </w:r>
      <w:r w:rsidRPr="00D10A06">
        <w:t>heten och för att stärka den nordiska rösten på regional, europeisk och gl</w:t>
      </w:r>
      <w:r w:rsidRPr="00D10A06">
        <w:t>o</w:t>
      </w:r>
      <w:r w:rsidRPr="00D10A06">
        <w:t>bal nivå. Landskapsregeringen representerades på mötet av vicelantrådet, skogsbruksbyrån och jordbruksbyrån.</w:t>
      </w:r>
    </w:p>
    <w:p w:rsidR="00760186" w:rsidRPr="00D10A06" w:rsidRDefault="004E0D2D" w:rsidP="004E0D2D">
      <w:r w:rsidRPr="00D10A06">
        <w:tab/>
      </w:r>
      <w:r w:rsidR="00760186" w:rsidRPr="00D10A06">
        <w:t xml:space="preserve">I anslutning till mötet ordnades även två workshops gällande </w:t>
      </w:r>
      <w:r w:rsidR="00760186" w:rsidRPr="00D10A06">
        <w:rPr>
          <w:i/>
        </w:rPr>
        <w:t>Sustainable criteria for solid biomass</w:t>
      </w:r>
      <w:r w:rsidR="00760186" w:rsidRPr="00D10A06">
        <w:t xml:space="preserve"> och </w:t>
      </w:r>
      <w:r w:rsidR="00760186" w:rsidRPr="00D10A06">
        <w:rPr>
          <w:i/>
        </w:rPr>
        <w:t>Nordic Agriculture facing Cl</w:t>
      </w:r>
      <w:r w:rsidR="00760186" w:rsidRPr="00D10A06">
        <w:rPr>
          <w:i/>
        </w:rPr>
        <w:t>i</w:t>
      </w:r>
      <w:r w:rsidR="00760186" w:rsidRPr="00D10A06">
        <w:rPr>
          <w:i/>
        </w:rPr>
        <w:t>mate Change</w:t>
      </w:r>
      <w:r w:rsidR="00760186" w:rsidRPr="00D10A06">
        <w:t xml:space="preserve">, vilka presenterades under ministermötet. Vidare fördes en politisk diskussion om </w:t>
      </w:r>
      <w:r w:rsidR="00760186" w:rsidRPr="00D10A06">
        <w:rPr>
          <w:i/>
        </w:rPr>
        <w:t>Nordiskt mervärde i livsmedelsexport</w:t>
      </w:r>
      <w:r w:rsidR="00760186" w:rsidRPr="00D10A06">
        <w:t>.</w:t>
      </w:r>
    </w:p>
    <w:p w:rsidR="00760186" w:rsidRPr="00D10A06" w:rsidRDefault="004E0D2D" w:rsidP="004E0D2D">
      <w:r w:rsidRPr="00D10A06">
        <w:lastRenderedPageBreak/>
        <w:tab/>
      </w:r>
      <w:r w:rsidR="00760186" w:rsidRPr="00D10A06">
        <w:t>Inom skogssamarbetet har landskapsregeringen även deltagit vid Samnordisk skogsforsknings (SNS) styrelsemöten i Alnarp den 23-24 maj och i Stockholm den 3 november 2016. Vid mötet i Alnarp diskuterades bl a förslaget till verksamhetsplan för 2017, innehållet i en ny SNS</w:t>
      </w:r>
      <w:r w:rsidR="00D10A06" w:rsidRPr="00D10A06">
        <w:t>-</w:t>
      </w:r>
      <w:r w:rsidR="00760186" w:rsidRPr="00D10A06">
        <w:t>strategi för åren 2018-2022 samt behovet av en separat kommunikationsstrategi för SNS. Vidare presenterades ett förslag till gemensam SNS/NKJ workshop gällande markanvändning för biomassaproduktion samt nyheter från for</w:t>
      </w:r>
      <w:r w:rsidR="00760186" w:rsidRPr="00D10A06">
        <w:t>s</w:t>
      </w:r>
      <w:r w:rsidR="00760186" w:rsidRPr="00D10A06">
        <w:t>karnätverk, vetenskapliga tidskrifter och EFINORD. Vid mötet i Stockholm stod åter verksamhetsplanen för 2017 och förslaget till strategi för åren 2018-2021 på agendan. Dessutom diskuterades utformningen och plac</w:t>
      </w:r>
      <w:r w:rsidR="00760186" w:rsidRPr="00D10A06">
        <w:t>e</w:t>
      </w:r>
      <w:r w:rsidR="00760186" w:rsidRPr="00D10A06">
        <w:t>ringen av sekretariatsfunktionen från år 2018 och närvarosituationen vid styrelsemötena. Vidare beviljades bidrag för ansökta nätverksaktiviteter.</w:t>
      </w:r>
    </w:p>
    <w:p w:rsidR="008842B6" w:rsidRPr="001068DA" w:rsidRDefault="008842B6" w:rsidP="004E0D2D">
      <w:pPr>
        <w:pStyle w:val="Rubrik3"/>
      </w:pPr>
      <w:bookmarkStart w:id="437" w:name="_Toc474851943"/>
      <w:bookmarkStart w:id="438" w:name="_Toc475356619"/>
      <w:bookmarkStart w:id="439" w:name="_Toc477164756"/>
      <w:bookmarkStart w:id="440" w:name="_Toc477424040"/>
      <w:r w:rsidRPr="001068DA">
        <w:t>2.3.4 Jämställdhet (MR-JÄM)</w:t>
      </w:r>
      <w:bookmarkEnd w:id="428"/>
      <w:bookmarkEnd w:id="429"/>
      <w:bookmarkEnd w:id="430"/>
      <w:bookmarkEnd w:id="431"/>
      <w:bookmarkEnd w:id="432"/>
      <w:bookmarkEnd w:id="433"/>
      <w:bookmarkEnd w:id="434"/>
      <w:bookmarkEnd w:id="435"/>
      <w:bookmarkEnd w:id="436"/>
      <w:bookmarkEnd w:id="437"/>
      <w:bookmarkEnd w:id="438"/>
      <w:bookmarkEnd w:id="439"/>
      <w:bookmarkEnd w:id="440"/>
    </w:p>
    <w:p w:rsidR="005B4382" w:rsidRPr="001068DA" w:rsidRDefault="005B4382" w:rsidP="005B4382">
      <w:bookmarkStart w:id="441" w:name="_Toc410992932"/>
      <w:bookmarkStart w:id="442" w:name="_Toc412443854"/>
      <w:bookmarkStart w:id="443" w:name="_Toc412452772"/>
      <w:bookmarkStart w:id="444" w:name="_Toc442361101"/>
      <w:bookmarkStart w:id="445" w:name="_Toc442442900"/>
      <w:bookmarkStart w:id="446" w:name="_Toc442707738"/>
      <w:bookmarkStart w:id="447" w:name="_Toc443054946"/>
      <w:bookmarkStart w:id="448" w:name="_Toc444255909"/>
      <w:bookmarkStart w:id="449" w:name="_Toc444516730"/>
      <w:bookmarkStart w:id="450" w:name="_Toc474851944"/>
      <w:bookmarkStart w:id="451" w:name="_Toc475356620"/>
      <w:r w:rsidRPr="001068DA">
        <w:t>Regeringarna i de nordiska länderna och självstyrande områdena samarb</w:t>
      </w:r>
      <w:r w:rsidRPr="001068DA">
        <w:t>e</w:t>
      </w:r>
      <w:r w:rsidRPr="001068DA">
        <w:t>tar på jämställdhetsområdet under ledning av de nordiska jämställdhetsm</w:t>
      </w:r>
      <w:r w:rsidRPr="001068DA">
        <w:t>i</w:t>
      </w:r>
      <w:r w:rsidRPr="001068DA">
        <w:t>nistrarna som tillsammans bildar ministerrådet för jämställdhet (MR-JÄM). Utgångspunkten för ministerrådet för jämställdhet är att det nordiska sa</w:t>
      </w:r>
      <w:r w:rsidRPr="001068DA">
        <w:t>m</w:t>
      </w:r>
      <w:r w:rsidRPr="001068DA">
        <w:t>arbetet på jämställdhetsområdet ska leda till nordisk nytta genom att man tillvaratar och delar med sig av kunskap, kompetens och erfarenheter på jämställdhetsområdet. Det nordiska jämställdhetsarbetet ska också ge a</w:t>
      </w:r>
      <w:r w:rsidRPr="001068DA">
        <w:t>v</w:t>
      </w:r>
      <w:r w:rsidRPr="001068DA">
        <w:t>tryck i globala sammanhang.</w:t>
      </w:r>
    </w:p>
    <w:p w:rsidR="005B4382" w:rsidRPr="001068DA" w:rsidRDefault="005B4382" w:rsidP="005B4382">
      <w:r w:rsidRPr="001068DA">
        <w:tab/>
        <w:t>Ålands representant i ämbetsmannakommittén för jämställdhet tar in</w:t>
      </w:r>
      <w:r w:rsidRPr="001068DA">
        <w:t>i</w:t>
      </w:r>
      <w:r w:rsidRPr="001068DA">
        <w:t>tiativ gällande åländska intressen i jämställdhetssamarbetet, bevakar, u</w:t>
      </w:r>
      <w:r w:rsidRPr="001068DA">
        <w:t>t</w:t>
      </w:r>
      <w:r w:rsidRPr="001068DA">
        <w:t>vecklar och följer upp frågor som är relevanta för landskapet. Under 2016 deltog lantrådet i det nordiska jämställdhetsminister- och det nordiskt-baltiska ministermötena i Helsingfors.</w:t>
      </w:r>
      <w:r w:rsidR="0063379B">
        <w:t xml:space="preserve"> </w:t>
      </w:r>
      <w:r w:rsidRPr="001068DA">
        <w:t>Intressanta diskussioner fördes med anledning av forskare Outi Lepolas presentation av rapporten ”Jämställ</w:t>
      </w:r>
      <w:r w:rsidRPr="001068DA">
        <w:t>d</w:t>
      </w:r>
      <w:r w:rsidRPr="001068DA">
        <w:t>hetsperspektiv på asylprocessen i Norden</w:t>
      </w:r>
      <w:r w:rsidR="00F74211">
        <w:t>”.</w:t>
      </w:r>
      <w:r w:rsidRPr="001068DA">
        <w:t xml:space="preserve"> Under det baltiskt-nordiska jämställdhetsministermötet fanns ”Män och jämställdhet” samt ”Sexism och näthat</w:t>
      </w:r>
      <w:r w:rsidR="00F74211">
        <w:t>”</w:t>
      </w:r>
      <w:r w:rsidRPr="001068DA">
        <w:t xml:space="preserve"> på agendan”.</w:t>
      </w:r>
    </w:p>
    <w:p w:rsidR="008842B6" w:rsidRPr="00D10A06" w:rsidRDefault="008842B6" w:rsidP="004E0D2D">
      <w:pPr>
        <w:pStyle w:val="Rubrik3"/>
      </w:pPr>
      <w:bookmarkStart w:id="452" w:name="_Toc477164757"/>
      <w:bookmarkStart w:id="453" w:name="_Toc477424041"/>
      <w:r w:rsidRPr="00D10A06">
        <w:t>2.3.5 Kultur (MR-K)</w:t>
      </w:r>
      <w:bookmarkEnd w:id="441"/>
      <w:bookmarkEnd w:id="442"/>
      <w:bookmarkEnd w:id="443"/>
      <w:bookmarkEnd w:id="444"/>
      <w:bookmarkEnd w:id="445"/>
      <w:bookmarkEnd w:id="446"/>
      <w:bookmarkEnd w:id="447"/>
      <w:bookmarkEnd w:id="448"/>
      <w:bookmarkEnd w:id="449"/>
      <w:bookmarkEnd w:id="450"/>
      <w:bookmarkEnd w:id="451"/>
      <w:bookmarkEnd w:id="452"/>
      <w:bookmarkEnd w:id="453"/>
    </w:p>
    <w:p w:rsidR="00520809" w:rsidRPr="00D10A06" w:rsidRDefault="00520809" w:rsidP="004E0D2D">
      <w:pPr>
        <w:rPr>
          <w:lang w:val="sv-FI"/>
        </w:rPr>
      </w:pPr>
      <w:bookmarkStart w:id="454" w:name="_Toc410992933"/>
      <w:bookmarkStart w:id="455" w:name="_Toc412443855"/>
      <w:bookmarkStart w:id="456" w:name="_Toc412452773"/>
      <w:bookmarkStart w:id="457" w:name="_Toc442361102"/>
      <w:bookmarkStart w:id="458" w:name="_Toc442442901"/>
      <w:bookmarkStart w:id="459" w:name="_Toc442707739"/>
      <w:bookmarkStart w:id="460" w:name="_Toc443054947"/>
      <w:bookmarkStart w:id="461" w:name="_Toc444255910"/>
      <w:bookmarkStart w:id="462" w:name="_Toc444516731"/>
      <w:r w:rsidRPr="00D10A06">
        <w:rPr>
          <w:lang w:val="sv-FI"/>
        </w:rPr>
        <w:t>De nordiska kulturministrarna har mötts två gånger under året, i Helsin</w:t>
      </w:r>
      <w:r w:rsidRPr="00D10A06">
        <w:rPr>
          <w:lang w:val="sv-FI"/>
        </w:rPr>
        <w:t>g</w:t>
      </w:r>
      <w:r w:rsidRPr="00D10A06">
        <w:rPr>
          <w:lang w:val="sv-FI"/>
        </w:rPr>
        <w:t>fors i maj och i Köpenhamn i november.</w:t>
      </w:r>
      <w:r w:rsidRPr="00D10A06">
        <w:rPr>
          <w:i/>
          <w:lang w:val="sv-FI"/>
        </w:rPr>
        <w:t xml:space="preserve"> </w:t>
      </w:r>
      <w:r w:rsidRPr="00D10A06">
        <w:rPr>
          <w:lang w:val="sv-FI"/>
        </w:rPr>
        <w:t>Ämbetsmannakommittén för ku</w:t>
      </w:r>
      <w:r w:rsidRPr="00D10A06">
        <w:rPr>
          <w:lang w:val="sv-FI"/>
        </w:rPr>
        <w:t>l</w:t>
      </w:r>
      <w:r w:rsidRPr="00D10A06">
        <w:rPr>
          <w:lang w:val="sv-FI"/>
        </w:rPr>
        <w:t>tur (ÄK-K), som har ett övergripande ansvar för kultursamarbetet i Norden, bland annat fördelningen av tillgängliga ansla</w:t>
      </w:r>
      <w:r w:rsidR="00D10A06" w:rsidRPr="00D10A06">
        <w:rPr>
          <w:lang w:val="sv-FI"/>
        </w:rPr>
        <w:t>g</w:t>
      </w:r>
      <w:r w:rsidRPr="00D10A06">
        <w:rPr>
          <w:lang w:val="sv-FI"/>
        </w:rPr>
        <w:t>, har under året förberett och följt upp ministerrådets ärenden. På kulturministrarnas och ämbetsmann</w:t>
      </w:r>
      <w:r w:rsidRPr="00D10A06">
        <w:rPr>
          <w:lang w:val="sv-FI"/>
        </w:rPr>
        <w:t>a</w:t>
      </w:r>
      <w:r w:rsidRPr="00D10A06">
        <w:rPr>
          <w:lang w:val="sv-FI"/>
        </w:rPr>
        <w:t xml:space="preserve">kommitténs agendor har bland annat funnits följande punkter </w:t>
      </w:r>
      <w:r w:rsidRPr="00D10A06">
        <w:t>som ur lan</w:t>
      </w:r>
      <w:r w:rsidRPr="00D10A06">
        <w:t>d</w:t>
      </w:r>
      <w:r w:rsidRPr="00D10A06">
        <w:t>skapsregeringens synvinkel haft väsentlig betydelse</w:t>
      </w:r>
      <w:r w:rsidRPr="00D10A06">
        <w:rPr>
          <w:lang w:val="sv-FI"/>
        </w:rPr>
        <w:t>:</w:t>
      </w:r>
    </w:p>
    <w:p w:rsidR="00520809" w:rsidRPr="00D10A06" w:rsidRDefault="00520809" w:rsidP="00AD1AED">
      <w:pPr>
        <w:numPr>
          <w:ilvl w:val="0"/>
          <w:numId w:val="43"/>
        </w:numPr>
        <w:ind w:left="567" w:hanging="207"/>
        <w:rPr>
          <w:lang w:val="sv-FI"/>
        </w:rPr>
      </w:pPr>
      <w:r w:rsidRPr="00D10A06">
        <w:rPr>
          <w:lang w:val="sv-FI"/>
        </w:rPr>
        <w:t>Godkännande av reviderade stadgar för de nordiska husen och inst</w:t>
      </w:r>
      <w:r w:rsidRPr="00D10A06">
        <w:rPr>
          <w:lang w:val="sv-FI"/>
        </w:rPr>
        <w:t>i</w:t>
      </w:r>
      <w:r w:rsidRPr="00D10A06">
        <w:rPr>
          <w:lang w:val="sv-FI"/>
        </w:rPr>
        <w:t>tuten.</w:t>
      </w:r>
    </w:p>
    <w:p w:rsidR="00520809" w:rsidRPr="00D10A06" w:rsidRDefault="00520809" w:rsidP="00AD1AED">
      <w:pPr>
        <w:numPr>
          <w:ilvl w:val="0"/>
          <w:numId w:val="43"/>
        </w:numPr>
        <w:ind w:left="567" w:hanging="207"/>
        <w:rPr>
          <w:lang w:val="sv-FI"/>
        </w:rPr>
      </w:pPr>
      <w:r w:rsidRPr="00D10A06">
        <w:rPr>
          <w:lang w:val="sv-FI"/>
        </w:rPr>
        <w:t>Godkännande av reviderade stadgar för Nordiska rådets pris inom film, musik, litteratur och barnlitteratur samt miljöinsatser.</w:t>
      </w:r>
    </w:p>
    <w:p w:rsidR="00520809" w:rsidRPr="00D10A06" w:rsidRDefault="00520809" w:rsidP="00AD1AED">
      <w:pPr>
        <w:numPr>
          <w:ilvl w:val="0"/>
          <w:numId w:val="43"/>
        </w:numPr>
        <w:ind w:left="567" w:hanging="207"/>
        <w:rPr>
          <w:lang w:val="sv-FI"/>
        </w:rPr>
      </w:pPr>
      <w:r w:rsidRPr="00D10A06">
        <w:rPr>
          <w:lang w:val="sv-FI"/>
        </w:rPr>
        <w:t xml:space="preserve">Planeringen av kultursatsningen Nordic Matters 2017 i London med kulturcentret Southbank som samarbetspartner. </w:t>
      </w:r>
    </w:p>
    <w:p w:rsidR="004E0D2D" w:rsidRPr="00D10A06" w:rsidRDefault="00520809" w:rsidP="00AD1AED">
      <w:pPr>
        <w:numPr>
          <w:ilvl w:val="0"/>
          <w:numId w:val="43"/>
        </w:numPr>
        <w:ind w:left="567" w:hanging="207"/>
        <w:rPr>
          <w:lang w:val="sv-FI"/>
        </w:rPr>
      </w:pPr>
      <w:r w:rsidRPr="00D10A06">
        <w:rPr>
          <w:lang w:val="sv-FI"/>
        </w:rPr>
        <w:t>Beslut om förenkling av de nordiska styrdokumenten.</w:t>
      </w:r>
    </w:p>
    <w:p w:rsidR="004E0D2D" w:rsidRPr="00D10A06" w:rsidRDefault="004E0D2D" w:rsidP="004E0D2D">
      <w:pPr>
        <w:rPr>
          <w:lang w:val="sv-FI"/>
        </w:rPr>
      </w:pPr>
    </w:p>
    <w:p w:rsidR="00520809" w:rsidRPr="00D10A06" w:rsidRDefault="00520809" w:rsidP="004E0D2D">
      <w:pPr>
        <w:rPr>
          <w:lang w:val="sv-FI"/>
        </w:rPr>
      </w:pPr>
      <w:r w:rsidRPr="00D10A06">
        <w:rPr>
          <w:lang w:val="sv-FI"/>
        </w:rPr>
        <w:t>De senaste årens nedskärningar för de nordiska husen och instituten i den nordiska kulturbudgeten har bromsats så att bland annat Nordens institut på Åland (NIPÅ) inte utsattes för ytterligare nedskärningar.</w:t>
      </w:r>
      <w:r w:rsidRPr="00D10A06">
        <w:rPr>
          <w:iCs/>
          <w:lang w:val="sv-FI"/>
        </w:rPr>
        <w:t xml:space="preserve"> </w:t>
      </w:r>
    </w:p>
    <w:p w:rsidR="008842B6" w:rsidRPr="00D10A06" w:rsidRDefault="008842B6" w:rsidP="004E0D2D">
      <w:pPr>
        <w:pStyle w:val="Rubrik3"/>
      </w:pPr>
      <w:bookmarkStart w:id="463" w:name="_Toc474851945"/>
      <w:bookmarkStart w:id="464" w:name="_Toc475356621"/>
      <w:bookmarkStart w:id="465" w:name="_Toc477164758"/>
      <w:bookmarkStart w:id="466" w:name="_Toc477424042"/>
      <w:r w:rsidRPr="00D10A06">
        <w:t>2.3.6 Lagsamarbetet (MR-LAG)</w:t>
      </w:r>
      <w:bookmarkEnd w:id="454"/>
      <w:bookmarkEnd w:id="455"/>
      <w:bookmarkEnd w:id="456"/>
      <w:bookmarkEnd w:id="457"/>
      <w:bookmarkEnd w:id="458"/>
      <w:bookmarkEnd w:id="459"/>
      <w:bookmarkEnd w:id="460"/>
      <w:bookmarkEnd w:id="461"/>
      <w:bookmarkEnd w:id="462"/>
      <w:bookmarkEnd w:id="463"/>
      <w:bookmarkEnd w:id="464"/>
      <w:bookmarkEnd w:id="465"/>
      <w:bookmarkEnd w:id="466"/>
    </w:p>
    <w:p w:rsidR="008842B6" w:rsidRPr="00D10A06" w:rsidRDefault="008842B6" w:rsidP="004E0D2D">
      <w:r w:rsidRPr="00D10A06">
        <w:t>Eftersom arbetet i MR-LAG främst rör frågor utanför Ålands lagstiftning</w:t>
      </w:r>
      <w:r w:rsidRPr="00D10A06">
        <w:t>s</w:t>
      </w:r>
      <w:r w:rsidRPr="00D10A06">
        <w:t>behörighet har landskapsregeringen inte deltagit i arbetet under året.</w:t>
      </w:r>
    </w:p>
    <w:p w:rsidR="008842B6" w:rsidRPr="00D10A06" w:rsidRDefault="008842B6" w:rsidP="004E0D2D">
      <w:pPr>
        <w:pStyle w:val="Rubrik3"/>
      </w:pPr>
      <w:bookmarkStart w:id="467" w:name="_Toc410992934"/>
      <w:bookmarkStart w:id="468" w:name="_Toc412443856"/>
      <w:bookmarkStart w:id="469" w:name="_Toc412452774"/>
      <w:bookmarkStart w:id="470" w:name="_Toc442361103"/>
      <w:bookmarkStart w:id="471" w:name="_Toc442442902"/>
      <w:bookmarkStart w:id="472" w:name="_Toc442707740"/>
      <w:bookmarkStart w:id="473" w:name="_Toc443054948"/>
      <w:bookmarkStart w:id="474" w:name="_Toc444255911"/>
      <w:bookmarkStart w:id="475" w:name="_Toc444516732"/>
      <w:bookmarkStart w:id="476" w:name="_Toc474851946"/>
      <w:bookmarkStart w:id="477" w:name="_Toc475356622"/>
      <w:bookmarkStart w:id="478" w:name="_Toc477164759"/>
      <w:bookmarkStart w:id="479" w:name="_Toc477424043"/>
      <w:r w:rsidRPr="00D10A06">
        <w:lastRenderedPageBreak/>
        <w:t>2.3.7 Miljö (MR-M)</w:t>
      </w:r>
      <w:bookmarkEnd w:id="467"/>
      <w:bookmarkEnd w:id="468"/>
      <w:bookmarkEnd w:id="469"/>
      <w:bookmarkEnd w:id="470"/>
      <w:bookmarkEnd w:id="471"/>
      <w:bookmarkEnd w:id="472"/>
      <w:bookmarkEnd w:id="473"/>
      <w:bookmarkEnd w:id="474"/>
      <w:bookmarkEnd w:id="475"/>
      <w:bookmarkEnd w:id="476"/>
      <w:bookmarkEnd w:id="477"/>
      <w:bookmarkEnd w:id="478"/>
      <w:bookmarkEnd w:id="479"/>
    </w:p>
    <w:p w:rsidR="005E2D93" w:rsidRPr="000A2E6B" w:rsidRDefault="005E2D93" w:rsidP="004E0D2D">
      <w:bookmarkStart w:id="480" w:name="_Toc410992935"/>
      <w:bookmarkStart w:id="481" w:name="_Toc412443857"/>
      <w:bookmarkStart w:id="482" w:name="_Toc412452775"/>
      <w:bookmarkStart w:id="483" w:name="_Toc442361104"/>
      <w:bookmarkStart w:id="484" w:name="_Toc442442903"/>
      <w:bookmarkStart w:id="485" w:name="_Toc442707741"/>
      <w:bookmarkStart w:id="486" w:name="_Toc443054949"/>
      <w:bookmarkStart w:id="487" w:name="_Toc444255912"/>
      <w:bookmarkStart w:id="488" w:name="_Toc444516733"/>
      <w:r w:rsidRPr="00D10A06">
        <w:t xml:space="preserve">Miljöministrarna </w:t>
      </w:r>
      <w:r w:rsidRPr="000A2E6B">
        <w:t>höll två möten under 2016. Vicelantrådet Camilla Gunell deltog i båda mötena. Vid mötet den 27 april i Borgå diskuterades bland annat uppföljningen av klimatmötet i Paris i december 2015 och geme</w:t>
      </w:r>
      <w:r w:rsidRPr="000A2E6B">
        <w:t>n</w:t>
      </w:r>
      <w:r w:rsidRPr="000A2E6B">
        <w:t>samma insatser vid följande klimatmöte, även ett ministeruttalande om m</w:t>
      </w:r>
      <w:r w:rsidRPr="000A2E6B">
        <w:t>a</w:t>
      </w:r>
      <w:r w:rsidRPr="000A2E6B">
        <w:t xml:space="preserve">rint plastavfall och mikroplaster var på agendan. Det andra mötet hölls i samband med Nordiska rådets session i Köpenhamn den 2 november och då diskuterades bland annat mötet i december </w:t>
      </w:r>
      <w:r w:rsidR="00D10A06" w:rsidRPr="000A2E6B">
        <w:t>om</w:t>
      </w:r>
      <w:r w:rsidRPr="000A2E6B">
        <w:t xml:space="preserve"> biodiversitetskonventio</w:t>
      </w:r>
      <w:r w:rsidRPr="000A2E6B">
        <w:t>n</w:t>
      </w:r>
      <w:r w:rsidRPr="000A2E6B">
        <w:t>en, ett brev till EU-kommissionen om skadliga kemikalier i textiler och förberedelser för klimatmötet i Marrakesh.</w:t>
      </w:r>
    </w:p>
    <w:p w:rsidR="005E2D93" w:rsidRPr="000A2E6B" w:rsidRDefault="004E0D2D" w:rsidP="004E0D2D">
      <w:r w:rsidRPr="000A2E6B">
        <w:tab/>
      </w:r>
      <w:r w:rsidR="005E2D93" w:rsidRPr="000A2E6B">
        <w:t>Landskapsregeringen deltog i två av tre möten som hållits i ämbetsma</w:t>
      </w:r>
      <w:r w:rsidR="005E2D93" w:rsidRPr="000A2E6B">
        <w:t>n</w:t>
      </w:r>
      <w:r w:rsidR="005E2D93" w:rsidRPr="000A2E6B">
        <w:t>nakommittén för miljö. Vid mötena har bland annat arbetsgruppernas år</w:t>
      </w:r>
      <w:r w:rsidR="005E2D93" w:rsidRPr="000A2E6B">
        <w:t>s</w:t>
      </w:r>
      <w:r w:rsidR="005E2D93" w:rsidRPr="000A2E6B">
        <w:t>rapporter för 2015 och arbetsprogram för 2017 diskuterats och godkänts, diskuterades en rapport om miljömärket Svanen och arbetet med ett pr</w:t>
      </w:r>
      <w:r w:rsidR="005E2D93" w:rsidRPr="000A2E6B">
        <w:t>o</w:t>
      </w:r>
      <w:r w:rsidR="005E2D93" w:rsidRPr="000A2E6B">
        <w:t>gram om plastavfall. Vid mötena diskuterades också förberedelser för och uppföljning av miljöministermöten.</w:t>
      </w:r>
    </w:p>
    <w:p w:rsidR="005E2D93" w:rsidRPr="000A2E6B" w:rsidRDefault="004E0D2D" w:rsidP="004E0D2D">
      <w:r w:rsidRPr="000A2E6B">
        <w:tab/>
      </w:r>
      <w:r w:rsidR="005E2D93" w:rsidRPr="000A2E6B">
        <w:t>För att stöda genomförandet av det nordiska miljöhandlingsprogrammet 2013-2018 finns åtta arbetsgrupper. Landskapsregeringen har deltagit i e</w:t>
      </w:r>
      <w:r w:rsidR="005E2D93" w:rsidRPr="000A2E6B">
        <w:t>x</w:t>
      </w:r>
      <w:r w:rsidR="005E2D93" w:rsidRPr="000A2E6B">
        <w:t>pertgruppen för hållbar konsumtion och produktion samt deltagit i ett möte och följt arbetet i nordiska avfallsgruppen. Landskapsregeringen har också följt arbetet i nordiska havgruppen, men inte deltagit i något möte under året.</w:t>
      </w:r>
    </w:p>
    <w:p w:rsidR="008842B6" w:rsidRPr="000A2E6B" w:rsidRDefault="008842B6" w:rsidP="004E0D2D">
      <w:pPr>
        <w:pStyle w:val="Rubrik3"/>
      </w:pPr>
      <w:bookmarkStart w:id="489" w:name="_Toc474851947"/>
      <w:bookmarkStart w:id="490" w:name="_Toc475356623"/>
      <w:bookmarkStart w:id="491" w:name="_Toc477164760"/>
      <w:bookmarkStart w:id="492" w:name="_Toc477424044"/>
      <w:r w:rsidRPr="000A2E6B">
        <w:t>2.3.8 Näringsliv, energi och regionalpolitik (MR-NER)</w:t>
      </w:r>
      <w:bookmarkEnd w:id="480"/>
      <w:bookmarkEnd w:id="481"/>
      <w:bookmarkEnd w:id="482"/>
      <w:bookmarkEnd w:id="483"/>
      <w:bookmarkEnd w:id="484"/>
      <w:bookmarkEnd w:id="485"/>
      <w:bookmarkEnd w:id="486"/>
      <w:bookmarkEnd w:id="487"/>
      <w:bookmarkEnd w:id="488"/>
      <w:bookmarkEnd w:id="489"/>
      <w:bookmarkEnd w:id="490"/>
      <w:bookmarkEnd w:id="491"/>
      <w:bookmarkEnd w:id="492"/>
    </w:p>
    <w:p w:rsidR="00FD6614" w:rsidRDefault="00FD6614" w:rsidP="004E0D2D">
      <w:bookmarkStart w:id="493" w:name="_Toc410992936"/>
      <w:bookmarkStart w:id="494" w:name="_Toc412443858"/>
      <w:bookmarkStart w:id="495" w:name="_Toc412452776"/>
      <w:bookmarkStart w:id="496" w:name="_Toc442361105"/>
      <w:bookmarkStart w:id="497" w:name="_Toc442442904"/>
      <w:bookmarkStart w:id="498" w:name="_Toc442707742"/>
      <w:bookmarkStart w:id="499" w:name="_Toc443054950"/>
      <w:bookmarkStart w:id="500" w:name="_Toc444255913"/>
      <w:bookmarkStart w:id="501" w:name="_Toc444516734"/>
      <w:r w:rsidRPr="000A2E6B">
        <w:t>De nordiska ministrarna med ansvar för närings- och regionalpolitik har under året träffats och behandlat vilka insatser som ska göras för att öka d</w:t>
      </w:r>
      <w:r w:rsidRPr="000A2E6B">
        <w:t>i</w:t>
      </w:r>
      <w:r w:rsidRPr="000A2E6B">
        <w:t>gitaliseringen</w:t>
      </w:r>
      <w:r w:rsidRPr="009958F6">
        <w:t xml:space="preserve"> och automationen i nordiska små och medelstora industrif</w:t>
      </w:r>
      <w:r w:rsidRPr="009958F6">
        <w:t>ö</w:t>
      </w:r>
      <w:r w:rsidRPr="009958F6">
        <w:t>retag. Bland insatserna finns utbildning av företagsrådgivare, samarbete mellan nordiska demonstrations- och testcentrum samt ökad tillgång till finansiering.</w:t>
      </w:r>
      <w:r>
        <w:t xml:space="preserve"> </w:t>
      </w:r>
      <w:r w:rsidRPr="009958F6">
        <w:t xml:space="preserve">Ministrarna </w:t>
      </w:r>
      <w:r>
        <w:t>beslöt även</w:t>
      </w:r>
      <w:r w:rsidRPr="009958F6">
        <w:t xml:space="preserve"> vilka arbetsområden som bör ingå i det nya samarbetsprogrammet för näringsliv och innovation 2018-2021. De preliminära temaområdena är </w:t>
      </w:r>
      <w:r w:rsidRPr="000A2E6B">
        <w:rPr>
          <w:i/>
        </w:rPr>
        <w:t>Nya marknader och globala värdekedjor</w:t>
      </w:r>
      <w:r w:rsidRPr="009958F6">
        <w:t xml:space="preserve">, </w:t>
      </w:r>
      <w:r w:rsidRPr="000A2E6B">
        <w:rPr>
          <w:i/>
        </w:rPr>
        <w:t>Snabb omställning</w:t>
      </w:r>
      <w:r w:rsidRPr="009958F6">
        <w:t xml:space="preserve"> och </w:t>
      </w:r>
      <w:r w:rsidRPr="000A2E6B">
        <w:rPr>
          <w:i/>
        </w:rPr>
        <w:t>Ramvillkor för bättre konkurrensförmåga</w:t>
      </w:r>
      <w:r w:rsidRPr="009958F6">
        <w:t xml:space="preserve">. </w:t>
      </w:r>
      <w:r>
        <w:t>Åland</w:t>
      </w:r>
      <w:r w:rsidRPr="009958F6">
        <w:t xml:space="preserve"> betonade att samarbetsprogrammet vid sidan av de nationella hållbarhets</w:t>
      </w:r>
      <w:r w:rsidRPr="009958F6">
        <w:t>a</w:t>
      </w:r>
      <w:r w:rsidRPr="009958F6">
        <w:t xml:space="preserve">gendorna ska bidra till att </w:t>
      </w:r>
      <w:r w:rsidR="000A2E6B">
        <w:t>N</w:t>
      </w:r>
      <w:r w:rsidRPr="009958F6">
        <w:t>orden uppnår de av FN uppställda hållbarhet</w:t>
      </w:r>
      <w:r w:rsidRPr="009958F6">
        <w:t>s</w:t>
      </w:r>
      <w:r w:rsidRPr="009958F6">
        <w:t>målen.</w:t>
      </w:r>
      <w:r>
        <w:t xml:space="preserve"> </w:t>
      </w:r>
      <w:r w:rsidRPr="009958F6">
        <w:t xml:space="preserve">Kommunal- och regionalreformer är aktuella i alla nordiska länder och självstyrande områden. Ministrarna </w:t>
      </w:r>
      <w:r>
        <w:t>har utbytt</w:t>
      </w:r>
      <w:r w:rsidRPr="009958F6">
        <w:t xml:space="preserve"> erfarenheter om geno</w:t>
      </w:r>
      <w:r w:rsidRPr="009958F6">
        <w:t>m</w:t>
      </w:r>
      <w:r>
        <w:t>förda eller planerade reformer. Dessutom har</w:t>
      </w:r>
      <w:r w:rsidRPr="009958F6">
        <w:t xml:space="preserve"> integrationen i Norden</w:t>
      </w:r>
      <w:r>
        <w:t xml:space="preserve"> b</w:t>
      </w:r>
      <w:r>
        <w:t>e</w:t>
      </w:r>
      <w:r>
        <w:t>handlats och hur</w:t>
      </w:r>
      <w:r w:rsidRPr="009958F6">
        <w:t xml:space="preserve"> inflyttare kan bidra till regional tillväxt.</w:t>
      </w:r>
      <w:r>
        <w:t xml:space="preserve"> </w:t>
      </w:r>
      <w:r w:rsidRPr="005D73F1">
        <w:t>Generella utveck</w:t>
      </w:r>
      <w:r w:rsidRPr="005D73F1">
        <w:t>l</w:t>
      </w:r>
      <w:r w:rsidRPr="005D73F1">
        <w:t>ingstendenser i Norden är att befolkningen är åldrande och blir friskare, det sker en fortsatt koncentration av befolkningen till större städer och regio</w:t>
      </w:r>
      <w:r w:rsidRPr="005D73F1">
        <w:t>n</w:t>
      </w:r>
      <w:r w:rsidRPr="005D73F1">
        <w:t xml:space="preserve">ala centra, </w:t>
      </w:r>
      <w:r w:rsidR="000A2E6B">
        <w:t xml:space="preserve">och </w:t>
      </w:r>
      <w:r w:rsidRPr="005D73F1">
        <w:t>det finns en positiv internationell migration i nästan alla kommuner. Demografin påverkar i stort sett alla politikområden och sätter ramarna för hur framtiden utformas. Det lokala och regionala perspektivet är viktigt eftersom möjligheter och utmaningar ser olika ut på olika ställen.</w:t>
      </w:r>
    </w:p>
    <w:p w:rsidR="00B42D7B" w:rsidRPr="00065961" w:rsidRDefault="004E0D2D" w:rsidP="004E0D2D">
      <w:pPr>
        <w:rPr>
          <w:bCs/>
          <w:lang w:eastAsia="sv-FI"/>
        </w:rPr>
      </w:pPr>
      <w:r>
        <w:rPr>
          <w:lang w:eastAsia="sv-FI"/>
        </w:rPr>
        <w:tab/>
      </w:r>
      <w:r w:rsidR="00B42D7B" w:rsidRPr="00637A9B">
        <w:rPr>
          <w:lang w:eastAsia="sv-FI"/>
        </w:rPr>
        <w:t>Ett antal möten har hållits inom ramen för ämbetsmannakommittén för energi (Ä</w:t>
      </w:r>
      <w:r w:rsidR="000A2E6B">
        <w:rPr>
          <w:lang w:eastAsia="sv-FI"/>
        </w:rPr>
        <w:t>K</w:t>
      </w:r>
      <w:r w:rsidR="00B42D7B" w:rsidRPr="00637A9B">
        <w:rPr>
          <w:lang w:eastAsia="sv-FI"/>
        </w:rPr>
        <w:t xml:space="preserve">-E) och Nordiskt ministerrådsmöte hölls den 24 november 2016 i Helsingfors. </w:t>
      </w:r>
      <w:r w:rsidR="000A2E6B">
        <w:rPr>
          <w:lang w:eastAsia="sv-FI"/>
        </w:rPr>
        <w:t>Vicelantråd</w:t>
      </w:r>
      <w:r w:rsidR="00B42D7B" w:rsidRPr="00637A9B">
        <w:rPr>
          <w:lang w:eastAsia="sv-FI"/>
        </w:rPr>
        <w:t xml:space="preserve"> Camilla Gunell deltog tillsammans med sina ko</w:t>
      </w:r>
      <w:r w:rsidR="00B42D7B" w:rsidRPr="00637A9B">
        <w:rPr>
          <w:lang w:eastAsia="sv-FI"/>
        </w:rPr>
        <w:t>l</w:t>
      </w:r>
      <w:r w:rsidR="00B42D7B" w:rsidRPr="00637A9B">
        <w:rPr>
          <w:lang w:eastAsia="sv-FI"/>
        </w:rPr>
        <w:t>legor i de nordiska länder</w:t>
      </w:r>
      <w:r w:rsidR="000A2E6B">
        <w:rPr>
          <w:lang w:eastAsia="sv-FI"/>
        </w:rPr>
        <w:t xml:space="preserve">na och självstyrande områdena. </w:t>
      </w:r>
      <w:r w:rsidR="00B42D7B" w:rsidRPr="00637A9B">
        <w:rPr>
          <w:bCs/>
          <w:lang w:eastAsia="sv-FI"/>
        </w:rPr>
        <w:t>Det konstaterades att under 2016 firas 20-års jubileum för världens mest avancerade gräns</w:t>
      </w:r>
      <w:r w:rsidR="00B42D7B" w:rsidRPr="00637A9B">
        <w:rPr>
          <w:bCs/>
          <w:lang w:eastAsia="sv-FI"/>
        </w:rPr>
        <w:t>ö</w:t>
      </w:r>
      <w:r w:rsidR="00B42D7B" w:rsidRPr="00637A9B">
        <w:rPr>
          <w:bCs/>
          <w:lang w:eastAsia="sv-FI"/>
        </w:rPr>
        <w:t>verskridande elmarknad, den gemensamma nordiska elmarknaden.</w:t>
      </w:r>
      <w:r>
        <w:rPr>
          <w:bCs/>
          <w:lang w:eastAsia="sv-FI"/>
        </w:rPr>
        <w:tab/>
      </w:r>
      <w:r w:rsidR="00B42D7B" w:rsidRPr="00637A9B">
        <w:rPr>
          <w:bCs/>
          <w:lang w:eastAsia="sv-FI"/>
        </w:rPr>
        <w:t>På m</w:t>
      </w:r>
      <w:r w:rsidR="00B42D7B" w:rsidRPr="00637A9B">
        <w:rPr>
          <w:bCs/>
          <w:lang w:eastAsia="sv-FI"/>
        </w:rPr>
        <w:t>ö</w:t>
      </w:r>
      <w:r w:rsidR="00B42D7B" w:rsidRPr="00637A9B">
        <w:rPr>
          <w:bCs/>
          <w:lang w:eastAsia="sv-FI"/>
        </w:rPr>
        <w:t>tet diskuterades också utmaningarna på elmarknaden som följer av en snabbt ökande andel intermittent kraftproduktion samt nedläggning av kärnkraft och annan termisk kraft. Den handlingsplan som system- och transmissionsföretagen arbetar med och som färdigställs år 2017 är ett centralt och konkret insl</w:t>
      </w:r>
      <w:r w:rsidR="000A2E6B">
        <w:rPr>
          <w:bCs/>
          <w:lang w:eastAsia="sv-FI"/>
        </w:rPr>
        <w:t>ag i utvecklingen av marknaden. Vicelantråd</w:t>
      </w:r>
      <w:r w:rsidR="00B42D7B" w:rsidRPr="00637A9B">
        <w:rPr>
          <w:lang w:eastAsia="sv-FI"/>
        </w:rPr>
        <w:t xml:space="preserve"> C</w:t>
      </w:r>
      <w:r w:rsidR="00B42D7B" w:rsidRPr="00637A9B">
        <w:rPr>
          <w:lang w:eastAsia="sv-FI"/>
        </w:rPr>
        <w:t>a</w:t>
      </w:r>
      <w:r w:rsidR="00B42D7B" w:rsidRPr="00637A9B">
        <w:rPr>
          <w:lang w:eastAsia="sv-FI"/>
        </w:rPr>
        <w:lastRenderedPageBreak/>
        <w:t>milla Gunell välkomnade en fortsatt politisk dialog gällande energimar</w:t>
      </w:r>
      <w:r w:rsidR="00B42D7B" w:rsidRPr="00637A9B">
        <w:rPr>
          <w:lang w:eastAsia="sv-FI"/>
        </w:rPr>
        <w:t>k</w:t>
      </w:r>
      <w:r w:rsidR="00B42D7B" w:rsidRPr="00637A9B">
        <w:rPr>
          <w:lang w:eastAsia="sv-FI"/>
        </w:rPr>
        <w:t>naderna och klimatmålen. Dessutom efterlystes ett klargörande gällande förväntningarna på de autonoma områdena. Minister Camilla Gunell förkl</w:t>
      </w:r>
      <w:r w:rsidR="00B42D7B" w:rsidRPr="00637A9B">
        <w:rPr>
          <w:lang w:eastAsia="sv-FI"/>
        </w:rPr>
        <w:t>a</w:t>
      </w:r>
      <w:r w:rsidR="00B42D7B" w:rsidRPr="00637A9B">
        <w:rPr>
          <w:lang w:eastAsia="sv-FI"/>
        </w:rPr>
        <w:t>rade att Åland har ambitiösa målsättningar inom klimatområdet och</w:t>
      </w:r>
      <w:r w:rsidR="000A2E6B">
        <w:rPr>
          <w:lang w:eastAsia="sv-FI"/>
        </w:rPr>
        <w:t xml:space="preserve"> vore intresserad av att </w:t>
      </w:r>
      <w:r w:rsidR="00B42D7B" w:rsidRPr="00637A9B">
        <w:rPr>
          <w:lang w:eastAsia="sv-FI"/>
        </w:rPr>
        <w:t xml:space="preserve">de autonoma områdena i större utstäckning </w:t>
      </w:r>
      <w:r w:rsidR="000A2E6B">
        <w:rPr>
          <w:lang w:eastAsia="sv-FI"/>
        </w:rPr>
        <w:t xml:space="preserve">skulle </w:t>
      </w:r>
      <w:r w:rsidR="00B42D7B" w:rsidRPr="00637A9B">
        <w:rPr>
          <w:lang w:eastAsia="sv-FI"/>
        </w:rPr>
        <w:t xml:space="preserve">utses </w:t>
      </w:r>
      <w:r w:rsidR="000A2E6B">
        <w:rPr>
          <w:lang w:eastAsia="sv-FI"/>
        </w:rPr>
        <w:t>till</w:t>
      </w:r>
      <w:r w:rsidR="00B42D7B" w:rsidRPr="00637A9B">
        <w:rPr>
          <w:lang w:eastAsia="sv-FI"/>
        </w:rPr>
        <w:t xml:space="preserve"> testområden för ny teknik. Dessutom påpekade </w:t>
      </w:r>
      <w:r w:rsidR="000A2E6B">
        <w:rPr>
          <w:lang w:eastAsia="sv-FI"/>
        </w:rPr>
        <w:t>vicelantråd</w:t>
      </w:r>
      <w:r w:rsidR="00B42D7B" w:rsidRPr="00637A9B">
        <w:rPr>
          <w:lang w:eastAsia="sv-FI"/>
        </w:rPr>
        <w:t xml:space="preserve"> Camilla G</w:t>
      </w:r>
      <w:r w:rsidR="00B42D7B" w:rsidRPr="00637A9B">
        <w:rPr>
          <w:lang w:eastAsia="sv-FI"/>
        </w:rPr>
        <w:t>u</w:t>
      </w:r>
      <w:r w:rsidR="00B42D7B" w:rsidRPr="00637A9B">
        <w:rPr>
          <w:lang w:eastAsia="sv-FI"/>
        </w:rPr>
        <w:t>nell att Åland är ett eget el-land med egen TSO och välkomnade en fortsatt bilateral dialog inom N</w:t>
      </w:r>
      <w:r w:rsidR="000A2E6B">
        <w:rPr>
          <w:lang w:eastAsia="sv-FI"/>
        </w:rPr>
        <w:t xml:space="preserve">ordiska ministerrådet </w:t>
      </w:r>
      <w:r w:rsidR="00B42D7B" w:rsidRPr="00637A9B">
        <w:rPr>
          <w:lang w:eastAsia="sv-FI"/>
        </w:rPr>
        <w:t xml:space="preserve">gällande avskaffandet av gränshinder. I detta fall gäller hindret den regionnätsavgift uppgående till ca 1,2 miljoner/år Vattenfall Ab uppbär för elkabelförbindelsen mellan Sverige och Åland. </w:t>
      </w:r>
      <w:r w:rsidR="00B42D7B" w:rsidRPr="00065961">
        <w:rPr>
          <w:lang w:eastAsia="sv-FI"/>
        </w:rPr>
        <w:t>Regionnätsavgiften är även ett hinder gällande el-transitering mellan Sverige och Finland.</w:t>
      </w:r>
    </w:p>
    <w:p w:rsidR="008842B6" w:rsidRPr="00065961" w:rsidRDefault="008842B6" w:rsidP="004E0D2D">
      <w:pPr>
        <w:pStyle w:val="Rubrik3"/>
      </w:pPr>
      <w:bookmarkStart w:id="502" w:name="_Toc474851948"/>
      <w:bookmarkStart w:id="503" w:name="_Toc475356624"/>
      <w:bookmarkStart w:id="504" w:name="_Toc477164761"/>
      <w:bookmarkStart w:id="505" w:name="_Toc477424045"/>
      <w:r w:rsidRPr="00065961">
        <w:t>2.3.9 Social och hälsopolitik (MR-S)</w:t>
      </w:r>
      <w:bookmarkEnd w:id="493"/>
      <w:bookmarkEnd w:id="494"/>
      <w:bookmarkEnd w:id="495"/>
      <w:bookmarkEnd w:id="496"/>
      <w:bookmarkEnd w:id="497"/>
      <w:bookmarkEnd w:id="498"/>
      <w:bookmarkEnd w:id="499"/>
      <w:bookmarkEnd w:id="500"/>
      <w:bookmarkEnd w:id="501"/>
      <w:bookmarkEnd w:id="502"/>
      <w:bookmarkEnd w:id="503"/>
      <w:bookmarkEnd w:id="504"/>
      <w:bookmarkEnd w:id="505"/>
    </w:p>
    <w:p w:rsidR="000E24D2" w:rsidRPr="00065961" w:rsidRDefault="000E24D2" w:rsidP="004E0D2D">
      <w:bookmarkStart w:id="506" w:name="_Toc410992937"/>
      <w:bookmarkStart w:id="507" w:name="_Toc412443859"/>
      <w:bookmarkStart w:id="508" w:name="_Toc412452777"/>
      <w:bookmarkStart w:id="509" w:name="_Toc442361106"/>
      <w:bookmarkStart w:id="510" w:name="_Toc442442905"/>
      <w:bookmarkStart w:id="511" w:name="_Toc442707743"/>
      <w:bookmarkStart w:id="512" w:name="_Toc443054951"/>
      <w:bookmarkStart w:id="513" w:name="_Toc444255914"/>
      <w:bookmarkStart w:id="514" w:name="_Toc444516735"/>
      <w:r w:rsidRPr="00065961">
        <w:t xml:space="preserve">Vid mötet i Helsingfors, vid vilket social- och hälsovårdminister </w:t>
      </w:r>
      <w:r w:rsidR="00065961" w:rsidRPr="00065961">
        <w:t xml:space="preserve">Wille </w:t>
      </w:r>
      <w:r w:rsidRPr="00065961">
        <w:t>Valve deltog, informerades ministrarna bland annat om Finlands social- och hälsovårdsreform. De nordiska social- och hälsoministrarna har fortsatt arbetet utgående från Könberg</w:t>
      </w:r>
      <w:r w:rsidR="00065961" w:rsidRPr="00065961">
        <w:t>-</w:t>
      </w:r>
      <w:r w:rsidRPr="00065961">
        <w:t>rapporten om det framtida nordiska häls</w:t>
      </w:r>
      <w:r w:rsidRPr="00065961">
        <w:t>o</w:t>
      </w:r>
      <w:r w:rsidRPr="00065961">
        <w:t>samarbetet. Ministrarna antog en nordisk deklaration om folkhälsa och fö</w:t>
      </w:r>
      <w:r w:rsidRPr="00065961">
        <w:t>r</w:t>
      </w:r>
      <w:r w:rsidRPr="00065961">
        <w:t>stärkte folkhälsoarbetet genom att ge tjänstemannakommittén i social- och hälsopolitik i uppdrag att etablera en nordisk arena för folkhälsosamarbete. Mandatet för den nordiska hälsoberedskapsgruppen</w:t>
      </w:r>
      <w:r w:rsidR="00065961" w:rsidRPr="00065961">
        <w:t>,</w:t>
      </w:r>
      <w:r w:rsidRPr="00065961">
        <w:t xml:space="preserve"> den så kallade Sva</w:t>
      </w:r>
      <w:r w:rsidRPr="00065961">
        <w:t>l</w:t>
      </w:r>
      <w:r w:rsidRPr="00065961">
        <w:t>bardgruppen</w:t>
      </w:r>
      <w:r w:rsidR="00065961" w:rsidRPr="00065961">
        <w:t>,</w:t>
      </w:r>
      <w:r w:rsidRPr="00065961">
        <w:t xml:space="preserve"> utvidgades till att omfatta även det sociala området. Vid Helsingforsmötet hölls även en temadiskussion om social- och hälsovård</w:t>
      </w:r>
      <w:r w:rsidRPr="00065961">
        <w:t>s</w:t>
      </w:r>
      <w:r w:rsidRPr="00065961">
        <w:t xml:space="preserve">tjänster för asylsökanden och invandrare. </w:t>
      </w:r>
    </w:p>
    <w:p w:rsidR="008842B6" w:rsidRPr="00065961" w:rsidRDefault="008842B6" w:rsidP="004E0D2D">
      <w:pPr>
        <w:pStyle w:val="Rubrik3"/>
      </w:pPr>
      <w:bookmarkStart w:id="515" w:name="_Toc474851949"/>
      <w:bookmarkStart w:id="516" w:name="_Toc475356625"/>
      <w:bookmarkStart w:id="517" w:name="_Toc477164762"/>
      <w:bookmarkStart w:id="518" w:name="_Toc477424046"/>
      <w:r w:rsidRPr="00065961">
        <w:t>2.3.10 Utbildning och forskning (MR-U)</w:t>
      </w:r>
      <w:bookmarkEnd w:id="506"/>
      <w:bookmarkEnd w:id="507"/>
      <w:bookmarkEnd w:id="508"/>
      <w:bookmarkEnd w:id="509"/>
      <w:bookmarkEnd w:id="510"/>
      <w:bookmarkEnd w:id="511"/>
      <w:bookmarkEnd w:id="512"/>
      <w:bookmarkEnd w:id="513"/>
      <w:bookmarkEnd w:id="514"/>
      <w:bookmarkEnd w:id="515"/>
      <w:bookmarkEnd w:id="516"/>
      <w:bookmarkEnd w:id="517"/>
      <w:bookmarkEnd w:id="518"/>
    </w:p>
    <w:p w:rsidR="00DD7692" w:rsidRPr="00065961" w:rsidRDefault="00DD7692" w:rsidP="004E0D2D">
      <w:pPr>
        <w:rPr>
          <w:b/>
          <w:lang w:val="sv-FI"/>
        </w:rPr>
      </w:pPr>
      <w:bookmarkStart w:id="519" w:name="_Toc410992938"/>
      <w:bookmarkStart w:id="520" w:name="_Toc412443860"/>
      <w:bookmarkStart w:id="521" w:name="_Toc412452778"/>
      <w:bookmarkStart w:id="522" w:name="_Toc442361107"/>
      <w:bookmarkStart w:id="523" w:name="_Toc442442906"/>
      <w:bookmarkStart w:id="524" w:name="_Toc442707744"/>
      <w:bookmarkStart w:id="525" w:name="_Toc443054952"/>
      <w:bookmarkStart w:id="526" w:name="_Toc444255915"/>
      <w:bookmarkStart w:id="527" w:name="_Toc444516736"/>
      <w:r w:rsidRPr="00065961">
        <w:rPr>
          <w:lang w:val="sv-FI"/>
        </w:rPr>
        <w:t xml:space="preserve">De nordiska utbildnings- och forskningsministrarna har mötts </w:t>
      </w:r>
      <w:r w:rsidR="00FD6E35">
        <w:rPr>
          <w:lang w:val="sv-FI"/>
        </w:rPr>
        <w:t>två</w:t>
      </w:r>
      <w:r w:rsidRPr="00065961">
        <w:rPr>
          <w:lang w:val="sv-FI"/>
        </w:rPr>
        <w:t xml:space="preserve"> gång</w:t>
      </w:r>
      <w:r w:rsidR="00FD6E35">
        <w:rPr>
          <w:lang w:val="sv-FI"/>
        </w:rPr>
        <w:t>er</w:t>
      </w:r>
      <w:r w:rsidRPr="00065961">
        <w:rPr>
          <w:lang w:val="sv-FI"/>
        </w:rPr>
        <w:t xml:space="preserve"> under året</w:t>
      </w:r>
      <w:r w:rsidR="00613508">
        <w:rPr>
          <w:lang w:val="sv-FI"/>
        </w:rPr>
        <w:t>, i april i Helsingfors och i juni i Köpenhamn</w:t>
      </w:r>
      <w:r w:rsidR="00FD6E35">
        <w:rPr>
          <w:lang w:val="sv-FI"/>
        </w:rPr>
        <w:t>.</w:t>
      </w:r>
      <w:r w:rsidRPr="00065961">
        <w:rPr>
          <w:lang w:val="sv-FI"/>
        </w:rPr>
        <w:t xml:space="preserve"> </w:t>
      </w:r>
      <w:r w:rsidRPr="00065961">
        <w:t>Ämbetsmann</w:t>
      </w:r>
      <w:r w:rsidRPr="00065961">
        <w:t>a</w:t>
      </w:r>
      <w:r w:rsidRPr="00065961">
        <w:t xml:space="preserve">kommittén för utbildning och forskning (ÄK-U), som </w:t>
      </w:r>
      <w:r w:rsidRPr="00065961">
        <w:rPr>
          <w:lang w:val="sv-FI"/>
        </w:rPr>
        <w:t>som har ett övergr</w:t>
      </w:r>
      <w:r w:rsidRPr="00065961">
        <w:rPr>
          <w:lang w:val="sv-FI"/>
        </w:rPr>
        <w:t>i</w:t>
      </w:r>
      <w:r w:rsidRPr="00065961">
        <w:rPr>
          <w:lang w:val="sv-FI"/>
        </w:rPr>
        <w:t xml:space="preserve">pande ansvar för utbildningssektorn i Norden, bland annat fördelningen av tillgängliga anslag inom området, </w:t>
      </w:r>
      <w:r w:rsidRPr="00065961">
        <w:t>har under året förberett och följt upp m</w:t>
      </w:r>
      <w:r w:rsidRPr="00065961">
        <w:t>i</w:t>
      </w:r>
      <w:r w:rsidRPr="00065961">
        <w:t xml:space="preserve">nisterrådets ärenden. </w:t>
      </w:r>
      <w:r w:rsidRPr="00065961">
        <w:rPr>
          <w:lang w:val="sv-FI"/>
        </w:rPr>
        <w:t>På utbildningsministrarnas och ämbetsmannakommi</w:t>
      </w:r>
      <w:r w:rsidRPr="00065961">
        <w:rPr>
          <w:lang w:val="sv-FI"/>
        </w:rPr>
        <w:t>t</w:t>
      </w:r>
      <w:r w:rsidRPr="00065961">
        <w:rPr>
          <w:lang w:val="sv-FI"/>
        </w:rPr>
        <w:t xml:space="preserve">téns agendor har bland annat funnits följande punkter </w:t>
      </w:r>
      <w:r w:rsidRPr="00065961">
        <w:t>som ur landskapsr</w:t>
      </w:r>
      <w:r w:rsidRPr="00065961">
        <w:t>e</w:t>
      </w:r>
      <w:r w:rsidRPr="00065961">
        <w:t>geringens synvinkel haft väsentlig betydelse</w:t>
      </w:r>
      <w:r w:rsidRPr="00065961">
        <w:rPr>
          <w:lang w:val="sv-FI"/>
        </w:rPr>
        <w:t>:</w:t>
      </w:r>
    </w:p>
    <w:p w:rsidR="00DD7692" w:rsidRPr="00065961" w:rsidRDefault="00DD7692" w:rsidP="00AD1AED">
      <w:pPr>
        <w:numPr>
          <w:ilvl w:val="0"/>
          <w:numId w:val="28"/>
        </w:numPr>
        <w:ind w:left="567"/>
        <w:jc w:val="both"/>
      </w:pPr>
      <w:r w:rsidRPr="00065961">
        <w:t xml:space="preserve">Färöarnas, Grönlands och Ålands ställning i det nordiska samarbetet. </w:t>
      </w:r>
    </w:p>
    <w:p w:rsidR="00DD7692" w:rsidRPr="00065961" w:rsidRDefault="00DD7692" w:rsidP="00AD1AED">
      <w:pPr>
        <w:numPr>
          <w:ilvl w:val="0"/>
          <w:numId w:val="28"/>
        </w:numPr>
        <w:ind w:left="567"/>
        <w:jc w:val="both"/>
        <w:rPr>
          <w:lang w:val="sv-FI"/>
        </w:rPr>
      </w:pPr>
      <w:r w:rsidRPr="00065961">
        <w:t>Gränsöverskridande utbildningsmöjligheter i högskolor och univers</w:t>
      </w:r>
      <w:r w:rsidRPr="00065961">
        <w:t>i</w:t>
      </w:r>
      <w:r w:rsidRPr="00065961">
        <w:t>tet i de nordiska länderna.</w:t>
      </w:r>
    </w:p>
    <w:p w:rsidR="00DD7692" w:rsidRPr="00065961" w:rsidRDefault="004E0D2D" w:rsidP="00AD1AED">
      <w:pPr>
        <w:numPr>
          <w:ilvl w:val="0"/>
          <w:numId w:val="28"/>
        </w:numPr>
        <w:ind w:left="567"/>
        <w:jc w:val="both"/>
        <w:rPr>
          <w:lang w:val="sv-FI"/>
        </w:rPr>
      </w:pPr>
      <w:r w:rsidRPr="00065961">
        <w:t>Jämställdhetsintegreringen</w:t>
      </w:r>
      <w:r w:rsidR="00DD7692" w:rsidRPr="00065961">
        <w:t xml:space="preserve"> inom utbildnings- och forskningssektorn.</w:t>
      </w:r>
    </w:p>
    <w:p w:rsidR="004E0D2D" w:rsidRPr="00065961" w:rsidRDefault="004E0D2D" w:rsidP="004E0D2D">
      <w:pPr>
        <w:ind w:left="720"/>
        <w:jc w:val="both"/>
        <w:rPr>
          <w:lang w:val="sv-FI"/>
        </w:rPr>
      </w:pPr>
    </w:p>
    <w:p w:rsidR="00DD7692" w:rsidRPr="00065961" w:rsidRDefault="00DD7692" w:rsidP="004E0D2D">
      <w:r w:rsidRPr="00065961">
        <w:t xml:space="preserve">Från de självstyrda områdena har de åländska representanterna fört fram vikten av fullvärdig representation i olika underorganisationer- och grupper på likvärdiga grunder som länderna. </w:t>
      </w:r>
      <w:r w:rsidR="00EE446B">
        <w:t>Frågan kom upp på bordet</w:t>
      </w:r>
      <w:r w:rsidRPr="00065961">
        <w:t xml:space="preserve"> nyligen då stadgarna för organisationen </w:t>
      </w:r>
      <w:r w:rsidRPr="00065961">
        <w:rPr>
          <w:iCs/>
        </w:rPr>
        <w:t>med ansvar för samarbetet inom forskning och forskarutbildning (</w:t>
      </w:r>
      <w:r w:rsidRPr="00065961">
        <w:t>NordForsk) reviderades och representationen i dess st</w:t>
      </w:r>
      <w:r w:rsidRPr="00065961">
        <w:t>y</w:t>
      </w:r>
      <w:r w:rsidRPr="00065961">
        <w:t>relse klargjordes. Från ett mellan de självstyrda områdena tidigare överen</w:t>
      </w:r>
      <w:r w:rsidRPr="00065961">
        <w:t>s</w:t>
      </w:r>
      <w:r w:rsidRPr="00065961">
        <w:t xml:space="preserve">kommet upplägg om ett roterande fullvärdigt medlemskap i styrelsen </w:t>
      </w:r>
      <w:r w:rsidRPr="00065961">
        <w:rPr>
          <w:iCs/>
          <w:lang w:val="sv-FI"/>
        </w:rPr>
        <w:t xml:space="preserve">för NordForsk </w:t>
      </w:r>
      <w:r w:rsidRPr="00065961">
        <w:t>återgick man till att de självstyrda områdena ska inneha ofö</w:t>
      </w:r>
      <w:r w:rsidRPr="00065961">
        <w:t>r</w:t>
      </w:r>
      <w:r w:rsidRPr="00065961">
        <w:t>ändrad status i styrelsen, dvs. observatörsroller. En liknande diskussion uppkom i samband med tillsättandet av en ny programkommitté för stö</w:t>
      </w:r>
      <w:r w:rsidRPr="00065961">
        <w:t>d</w:t>
      </w:r>
      <w:r w:rsidRPr="00065961">
        <w:t>programmet Nordplus inför kommande programperiod (2017-2021). De självstyrda områdena inlämnade var för sig ansökan om fullvärdigt me</w:t>
      </w:r>
      <w:r w:rsidRPr="00065961">
        <w:t>d</w:t>
      </w:r>
      <w:r w:rsidRPr="00065961">
        <w:t xml:space="preserve">lemskap. </w:t>
      </w:r>
      <w:r w:rsidRPr="00065EC6">
        <w:t>Saken fördes till sin spets</w:t>
      </w:r>
      <w:r w:rsidRPr="00065961">
        <w:t xml:space="preserve"> under ministerrådets möte i samband med Nordiska rådets session i Köpenhamn i november 2016 då ärendet skulle avgöras av de nordiska ministrarna. Under det finländska ordföra</w:t>
      </w:r>
      <w:r w:rsidRPr="00065961">
        <w:t>n</w:t>
      </w:r>
      <w:r w:rsidRPr="00065961">
        <w:t xml:space="preserve">deskapet debatterades frågan livligt. Danmark förordade sina självstyrande </w:t>
      </w:r>
      <w:r w:rsidRPr="00065961">
        <w:lastRenderedPageBreak/>
        <w:t xml:space="preserve">områdens ansökningar. Island talade varmt för den nordiska familjen och understödde Färöarnas, Grönlands och Ålands strävanden. </w:t>
      </w:r>
      <w:r w:rsidR="00065961" w:rsidRPr="00065961">
        <w:t>T</w:t>
      </w:r>
      <w:r w:rsidRPr="00065961">
        <w:t xml:space="preserve">yvärr gick det inte att komma längre i frågan utan konsensus. </w:t>
      </w:r>
    </w:p>
    <w:p w:rsidR="00DD7692" w:rsidRPr="00065961" w:rsidRDefault="004E0D2D" w:rsidP="004E0D2D">
      <w:r w:rsidRPr="00065961">
        <w:rPr>
          <w:lang w:val="sv-FI"/>
        </w:rPr>
        <w:tab/>
      </w:r>
      <w:r w:rsidR="00DD7692" w:rsidRPr="00065961">
        <w:rPr>
          <w:lang w:val="sv-FI"/>
        </w:rPr>
        <w:t>Rektor</w:t>
      </w:r>
      <w:r w:rsidR="00065961" w:rsidRPr="00065961">
        <w:rPr>
          <w:lang w:val="sv-FI"/>
        </w:rPr>
        <w:t>n</w:t>
      </w:r>
      <w:r w:rsidR="00DD7692" w:rsidRPr="00065961">
        <w:rPr>
          <w:lang w:val="sv-FI"/>
        </w:rPr>
        <w:t xml:space="preserve"> vid </w:t>
      </w:r>
      <w:r w:rsidR="00DD7692" w:rsidRPr="00065961">
        <w:t>Högskolan på Åland har fungerat som l</w:t>
      </w:r>
      <w:r w:rsidR="00DD7692" w:rsidRPr="00065961">
        <w:rPr>
          <w:lang w:val="sv-FI"/>
        </w:rPr>
        <w:t xml:space="preserve">andskapsregeringens representant/observatör i styrelsen för NordForsk. De </w:t>
      </w:r>
      <w:r w:rsidR="00DD7692" w:rsidRPr="00065961">
        <w:t>nordiska kontakterna har stärkt intentionerna i landskapsregeringens forskningspolitiska pr</w:t>
      </w:r>
      <w:r w:rsidR="00DD7692" w:rsidRPr="00065961">
        <w:t>o</w:t>
      </w:r>
      <w:r w:rsidR="00DD7692" w:rsidRPr="00065961">
        <w:t>gram. Högskolan har i sin undervisning och verksamhet lyckats utveckla samverkansmodeller med andra högskolor och tillämpade forsknings- och utvecklingsprojekt som gagnat det åländska närings- och arbetslivet. Pr</w:t>
      </w:r>
      <w:r w:rsidR="00DD7692" w:rsidRPr="00065961">
        <w:t>o</w:t>
      </w:r>
      <w:r w:rsidR="00DD7692" w:rsidRPr="00065961">
        <w:t>jekten har i innovativt syfte kunnat utveckla nya företag, produkter, tjän</w:t>
      </w:r>
      <w:r w:rsidR="00DD7692" w:rsidRPr="00065961">
        <w:t>s</w:t>
      </w:r>
      <w:r w:rsidR="00DD7692" w:rsidRPr="00065961">
        <w:t xml:space="preserve">ter, arbetssätt och strukturer som är till nytta för samhällsutvecklingen och den ekonomiska tillväxten på Åland. </w:t>
      </w:r>
    </w:p>
    <w:p w:rsidR="00DD7692" w:rsidRPr="00065961" w:rsidRDefault="004E0D2D" w:rsidP="004E0D2D">
      <w:r w:rsidRPr="00065961">
        <w:tab/>
      </w:r>
      <w:r w:rsidR="00DD7692" w:rsidRPr="00065961">
        <w:t xml:space="preserve">Under året har </w:t>
      </w:r>
      <w:r w:rsidR="00DE0452" w:rsidRPr="00065961">
        <w:t>Källbo skola, Strandnäs skola, Ålands lyceum, Ålands yrkesgymnasium, Ålands musikinstitut, Högskolan på Åland och Förenin</w:t>
      </w:r>
      <w:r w:rsidR="00DE0452" w:rsidRPr="00065961">
        <w:t>g</w:t>
      </w:r>
      <w:r w:rsidR="00DE0452" w:rsidRPr="00065961">
        <w:t xml:space="preserve">en Norden </w:t>
      </w:r>
      <w:r w:rsidR="00DD7692" w:rsidRPr="00065961">
        <w:t xml:space="preserve">deltagit i aktiviteter i Nordplus-programmet, huvudsakligen i form av olika elev-, klass- och lärarutbyten. </w:t>
      </w:r>
    </w:p>
    <w:p w:rsidR="00DD7692" w:rsidRPr="00065961" w:rsidRDefault="004E0D2D" w:rsidP="004E0D2D">
      <w:r w:rsidRPr="00065961">
        <w:tab/>
      </w:r>
      <w:r w:rsidR="00DD7692" w:rsidRPr="00065961">
        <w:t>Från och med år 2013 har Åland haft sakkunniga representanter i de olika nätverksgrupperna för vuxnas lärande (NVL) d.v.s. i grupperna med uppgift att utveckla vägledning, distansstudier och validering.  Utbildnings- och kulturavdelningen arrangerade i september 2016 ett seminarium om vägledning tillsammans med Nordiskt nätverk för vuxnas lärande (NVL) med t</w:t>
      </w:r>
      <w:r w:rsidR="00065961" w:rsidRPr="00065961">
        <w:t xml:space="preserve">emat </w:t>
      </w:r>
      <w:r w:rsidR="00065961" w:rsidRPr="00065961">
        <w:rPr>
          <w:i/>
        </w:rPr>
        <w:t>Nya vindar för vägledning – k</w:t>
      </w:r>
      <w:r w:rsidR="00DD7692" w:rsidRPr="00065961">
        <w:rPr>
          <w:i/>
        </w:rPr>
        <w:t>arriärvägledning, samordning av vägledning och e-vägledning</w:t>
      </w:r>
      <w:r w:rsidR="00DD7692" w:rsidRPr="00065961">
        <w:t>. Representanter från alla nordiska länder och självstyrande områden deltog i seminariet. Det nordiska nätverket för vä</w:t>
      </w:r>
      <w:r w:rsidR="00DD7692" w:rsidRPr="00065961">
        <w:t>g</w:t>
      </w:r>
      <w:r w:rsidR="00DD7692" w:rsidRPr="00065961">
        <w:t xml:space="preserve">ledning deltog i seminariet. Nätverket har under 2016 utarbetat en rapport om samordning av vägledningen i Norden som presenterades på seminariet. Deltog gjorde också NVL:s arbetsgrupp för </w:t>
      </w:r>
      <w:r w:rsidR="00DD7692" w:rsidRPr="00065961">
        <w:rPr>
          <w:i/>
        </w:rPr>
        <w:t>IKT och vägledning</w:t>
      </w:r>
      <w:r w:rsidR="00DD7692" w:rsidRPr="00065961">
        <w:t>, som ett led i gruppens arbete att undersöka möjligheter och mervärde av att a</w:t>
      </w:r>
      <w:r w:rsidR="00DD7692" w:rsidRPr="00065961">
        <w:t>n</w:t>
      </w:r>
      <w:r w:rsidR="00DD7692" w:rsidRPr="00065961">
        <w:t xml:space="preserve">vända nya metoder såsom e-vägledning på Färöarna, Grönland och Åland. Gruppens arbete ska bidra till implementering av MR-U:s program </w:t>
      </w:r>
      <w:r w:rsidR="00DD7692" w:rsidRPr="00065961">
        <w:rPr>
          <w:i/>
        </w:rPr>
        <w:t>Kvalitet og relevans i uddannelse og forskning</w:t>
      </w:r>
      <w:r w:rsidR="00DD7692" w:rsidRPr="00065961">
        <w:t xml:space="preserve"> och är ett samarbete mellan NVL:s vägledningsnätverk och distansnätverk.  Seminariet fungerade också som startseminarium i Nordplus Horizontal</w:t>
      </w:r>
      <w:r w:rsidR="00065961" w:rsidRPr="00065961">
        <w:t>-</w:t>
      </w:r>
      <w:r w:rsidR="00DD7692" w:rsidRPr="00065961">
        <w:t xml:space="preserve">projektet </w:t>
      </w:r>
      <w:r w:rsidR="00DD7692" w:rsidRPr="00065961">
        <w:rPr>
          <w:i/>
        </w:rPr>
        <w:t>Vägledare i samverkan</w:t>
      </w:r>
      <w:r w:rsidR="00DD7692" w:rsidRPr="00065961">
        <w:t>, där fokus ligger på kompetensutveckling och utbyte av erfarenheter bland annat när det gäller digitaliserade vägledningstjänster.</w:t>
      </w:r>
    </w:p>
    <w:p w:rsidR="008842B6" w:rsidRPr="00065961" w:rsidRDefault="008842B6" w:rsidP="004E0D2D">
      <w:pPr>
        <w:pStyle w:val="Rubrik3"/>
      </w:pPr>
      <w:bookmarkStart w:id="528" w:name="_Toc474851950"/>
      <w:bookmarkStart w:id="529" w:name="_Toc475356626"/>
      <w:bookmarkStart w:id="530" w:name="_Toc477164763"/>
      <w:bookmarkStart w:id="531" w:name="_Toc477424047"/>
      <w:r w:rsidRPr="00065961">
        <w:t>2.3.11 Ekonomi och finanspolitik (MR-FINANS)</w:t>
      </w:r>
      <w:bookmarkEnd w:id="519"/>
      <w:bookmarkEnd w:id="520"/>
      <w:bookmarkEnd w:id="521"/>
      <w:bookmarkEnd w:id="522"/>
      <w:bookmarkEnd w:id="523"/>
      <w:bookmarkEnd w:id="524"/>
      <w:bookmarkEnd w:id="525"/>
      <w:bookmarkEnd w:id="526"/>
      <w:bookmarkEnd w:id="527"/>
      <w:bookmarkEnd w:id="528"/>
      <w:bookmarkEnd w:id="529"/>
      <w:bookmarkEnd w:id="530"/>
      <w:bookmarkEnd w:id="531"/>
    </w:p>
    <w:p w:rsidR="009771C8" w:rsidRPr="00065961" w:rsidRDefault="009771C8" w:rsidP="004E0D2D">
      <w:pPr>
        <w:rPr>
          <w:lang w:val="sv-FI"/>
        </w:rPr>
      </w:pPr>
      <w:r w:rsidRPr="00065961">
        <w:rPr>
          <w:lang w:val="sv-FI"/>
        </w:rPr>
        <w:t>De nordiska finans- och ekonomiministrarna träffades under året, den 28 oktober i Helsingfors. Under mötet diskuterades ämnen som Brexit och i</w:t>
      </w:r>
      <w:r w:rsidRPr="00065961">
        <w:rPr>
          <w:lang w:val="sv-FI"/>
        </w:rPr>
        <w:t>n</w:t>
      </w:r>
      <w:r w:rsidRPr="00065961">
        <w:rPr>
          <w:lang w:val="sv-FI"/>
        </w:rPr>
        <w:t xml:space="preserve">tegration av nyanlända. </w:t>
      </w:r>
    </w:p>
    <w:p w:rsidR="00F06A48" w:rsidRPr="00065961" w:rsidRDefault="004E0D2D" w:rsidP="004E0D2D">
      <w:pPr>
        <w:pStyle w:val="Rubrik3"/>
      </w:pPr>
      <w:bookmarkStart w:id="532" w:name="_Toc474851951"/>
      <w:bookmarkStart w:id="533" w:name="_Toc475356627"/>
      <w:bookmarkStart w:id="534" w:name="_Toc477164764"/>
      <w:bookmarkStart w:id="535" w:name="_Toc477424048"/>
      <w:r w:rsidRPr="00065961">
        <w:t xml:space="preserve">2.3.12 </w:t>
      </w:r>
      <w:r w:rsidR="00F06A48" w:rsidRPr="00065961">
        <w:t>Nordiskt samarbete om integration</w:t>
      </w:r>
      <w:bookmarkEnd w:id="532"/>
      <w:bookmarkEnd w:id="533"/>
      <w:bookmarkEnd w:id="534"/>
      <w:bookmarkEnd w:id="535"/>
      <w:r w:rsidR="00F06A48" w:rsidRPr="00065961">
        <w:t xml:space="preserve"> </w:t>
      </w:r>
    </w:p>
    <w:p w:rsidR="00F06A48" w:rsidRPr="00065961" w:rsidRDefault="00F06A48" w:rsidP="004E0D2D">
      <w:r w:rsidRPr="00065961">
        <w:t>Det nordiska sama</w:t>
      </w:r>
      <w:r w:rsidR="00065961" w:rsidRPr="00065961">
        <w:t xml:space="preserve">rbetsprogrammet om integration </w:t>
      </w:r>
      <w:r w:rsidRPr="00065961">
        <w:t xml:space="preserve">initierades och antogs 2016. Målsättningen är att stödja ländernas integrationsarbete genom utbyte av erfarenheter och skapande av ny kunskap. Nordens välfärdscenter i Stockholm har fått </w:t>
      </w:r>
      <w:r w:rsidR="00065961" w:rsidRPr="00065961">
        <w:t xml:space="preserve">i </w:t>
      </w:r>
      <w:r w:rsidRPr="00065961">
        <w:t>uppdrag att upprätta en idébank i samarbete med Nordregio. Sekretariatet i Köpenhamn har anställt en rådgivare som inleder sitt arbete i januari 2017.</w:t>
      </w:r>
    </w:p>
    <w:p w:rsidR="00F06A48" w:rsidRPr="00065961" w:rsidRDefault="004E0D2D" w:rsidP="004E0D2D">
      <w:r w:rsidRPr="00065961">
        <w:tab/>
      </w:r>
      <w:r w:rsidR="00F06A48" w:rsidRPr="00065961">
        <w:t>Ett första informellt möte för de nordiska ministrarna med ansvar för i</w:t>
      </w:r>
      <w:r w:rsidR="00F06A48" w:rsidRPr="00065961">
        <w:t>n</w:t>
      </w:r>
      <w:r w:rsidR="00F06A48" w:rsidRPr="00065961">
        <w:t>tegration hölls i Köpenhamn i november 2016. Därutöver behandlades i</w:t>
      </w:r>
      <w:r w:rsidR="00F06A48" w:rsidRPr="00065961">
        <w:t>n</w:t>
      </w:r>
      <w:r w:rsidR="00F06A48" w:rsidRPr="00065961">
        <w:t xml:space="preserve">tegrationsrelaterade frågor inom ramen för det sektoriella samarbetet. </w:t>
      </w:r>
    </w:p>
    <w:p w:rsidR="00F06A48" w:rsidRPr="00065961" w:rsidRDefault="004E0D2D" w:rsidP="004E0D2D">
      <w:r w:rsidRPr="00065961">
        <w:tab/>
      </w:r>
      <w:r w:rsidR="00F06A48" w:rsidRPr="00065961">
        <w:t>På Åland ordnades inom ramen för ö-nätverket inom Nordiskt nätverk för vuxnas lärande (NVL) ett integrationsseminarium under hösten.  Lan</w:t>
      </w:r>
      <w:r w:rsidR="00F06A48" w:rsidRPr="00065961">
        <w:t>d</w:t>
      </w:r>
      <w:r w:rsidR="00F06A48" w:rsidRPr="00065961">
        <w:t xml:space="preserve">skapsregeringen deltar i ett två-årigt nordiskt projekt på tema hur man kan förhindra människohandel för tvångsarbete. Att </w:t>
      </w:r>
      <w:r w:rsidR="00065961" w:rsidRPr="00065961">
        <w:t>uppmärksammas på</w:t>
      </w:r>
      <w:r w:rsidR="00F06A48" w:rsidRPr="00065961">
        <w:t xml:space="preserve"> hur man kan säkerställa schyssta arbetsvillkor för inflyttad och utländsk arbet</w:t>
      </w:r>
      <w:r w:rsidR="00F06A48" w:rsidRPr="00065961">
        <w:t>s</w:t>
      </w:r>
      <w:r w:rsidR="00F06A48" w:rsidRPr="00065961">
        <w:lastRenderedPageBreak/>
        <w:t>kraft är en fråga som är viktig med tanke på Ålands förhållandevis stora a</w:t>
      </w:r>
      <w:r w:rsidR="00F06A48" w:rsidRPr="00065961">
        <w:t>r</w:t>
      </w:r>
      <w:r w:rsidR="00F06A48" w:rsidRPr="00065961">
        <w:t xml:space="preserve">betskraftsinvandring. Projektet inleddes i september 2016 och beräknas pågå under två år. </w:t>
      </w:r>
    </w:p>
    <w:sectPr w:rsidR="00F06A48" w:rsidRPr="00065961" w:rsidSect="00E560B4">
      <w:headerReference w:type="even" r:id="rId18"/>
      <w:headerReference w:type="default" r:id="rId19"/>
      <w:footerReference w:type="default" r:id="rId20"/>
      <w:type w:val="continuous"/>
      <w:pgSz w:w="11906" w:h="16838" w:code="9"/>
      <w:pgMar w:top="1134" w:right="3175" w:bottom="1247" w:left="2041" w:header="737" w:footer="737" w:gutter="0"/>
      <w:cols w:space="720"/>
      <w:formProt w:val="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B12" w:rsidRDefault="00E32B12">
      <w:r>
        <w:separator/>
      </w:r>
    </w:p>
  </w:endnote>
  <w:endnote w:type="continuationSeparator" w:id="0">
    <w:p w:rsidR="00E32B12" w:rsidRDefault="00E32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T188t00">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B12" w:rsidRDefault="00E32B12">
    <w:pPr>
      <w:pStyle w:val="Sidfot"/>
      <w:tabs>
        <w:tab w:val="clear" w:pos="816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B12" w:rsidRPr="00511A58" w:rsidRDefault="00E32B12">
    <w:pPr>
      <w:pStyle w:val="Sidfot"/>
      <w:rPr>
        <w:rFonts w:cs="Times New Roman"/>
      </w:rPr>
    </w:pPr>
    <w:r w:rsidRPr="00511A58">
      <w:rPr>
        <w:rFonts w:cs="Times New Roman"/>
        <w:szCs w:val="14"/>
      </w:rPr>
      <w:t>M0320162017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B12" w:rsidRDefault="00E32B12">
    <w:pPr>
      <w:pStyle w:val="Sidfot"/>
      <w:tabs>
        <w:tab w:val="clear" w:pos="8165"/>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B12" w:rsidRDefault="00E32B12">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B12" w:rsidRDefault="00E32B12">
      <w:r>
        <w:separator/>
      </w:r>
    </w:p>
  </w:footnote>
  <w:footnote w:type="continuationSeparator" w:id="0">
    <w:p w:rsidR="00E32B12" w:rsidRDefault="00E32B12">
      <w:r>
        <w:continuationSeparator/>
      </w:r>
    </w:p>
  </w:footnote>
  <w:footnote w:id="1">
    <w:p w:rsidR="00E32B12" w:rsidRDefault="00E32B12">
      <w:pPr>
        <w:pStyle w:val="Fotnotstext"/>
      </w:pPr>
      <w:r>
        <w:rPr>
          <w:rStyle w:val="Fotnotsreferens"/>
        </w:rPr>
        <w:footnoteRef/>
      </w:r>
      <w:r>
        <w:t xml:space="preserve"> Se </w:t>
      </w:r>
      <w:r w:rsidRPr="00613508">
        <w:t xml:space="preserve">närmare </w:t>
      </w:r>
      <w:r w:rsidRPr="00613508">
        <w:rPr>
          <w:lang w:val="sv-FI"/>
        </w:rPr>
        <w:t>Gränshinderrådets årsrapport med regeringarnas kommentarer över Gränshinderrådets uppdrag, mål, medlemmar och arbetet 2016: http://norden.diva-portal.org/smash/get/diva2:1070203/FULLTEXT01.pdf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B12" w:rsidRDefault="00E32B12" w:rsidP="00FA3832">
    <w:pPr>
      <w:pStyle w:val="Sidhuvud"/>
      <w:ind w:left="-1843"/>
    </w:pPr>
    <w:r>
      <w:fldChar w:fldCharType="begin"/>
    </w:r>
    <w:r>
      <w:instrText>PAGE   \* MERGEFORMAT</w:instrText>
    </w:r>
    <w:r>
      <w:fldChar w:fldCharType="separate"/>
    </w:r>
    <w:r w:rsidR="0038228F">
      <w:rPr>
        <w:noProof/>
      </w:rPr>
      <w:t>2</w:t>
    </w:r>
    <w:r>
      <w:fldChar w:fldCharType="end"/>
    </w:r>
  </w:p>
  <w:p w:rsidR="00E32B12" w:rsidRDefault="00E32B12">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B12" w:rsidRDefault="00E32B12">
    <w:pPr>
      <w:pStyle w:val="Sidhuvud"/>
    </w:pPr>
    <w:r>
      <w:tab/>
    </w:r>
    <w:r>
      <w:fldChar w:fldCharType="begin"/>
    </w:r>
    <w:r>
      <w:instrText>PAGE   \* MERGEFORMAT</w:instrText>
    </w:r>
    <w:r>
      <w:fldChar w:fldCharType="separate"/>
    </w:r>
    <w:r w:rsidR="0038228F">
      <w:rPr>
        <w:noProof/>
      </w:rPr>
      <w:t>43</w:t>
    </w:r>
    <w:r>
      <w:fldChar w:fldCharType="end"/>
    </w:r>
  </w:p>
  <w:p w:rsidR="00E32B12" w:rsidRPr="00FA3832" w:rsidRDefault="00E32B12" w:rsidP="00FA3832">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B12" w:rsidRDefault="00E32B12">
    <w:pPr>
      <w:pStyle w:val="Sidhuvud"/>
      <w:jc w:val="center"/>
    </w:pPr>
  </w:p>
  <w:p w:rsidR="00E32B12" w:rsidRDefault="00E32B12">
    <w:pPr>
      <w:pStyle w:val="Sidhuvu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B12" w:rsidRDefault="00E32B12">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38228F">
      <w:rPr>
        <w:rStyle w:val="Sidnummer"/>
        <w:noProof/>
      </w:rPr>
      <w:t>52</w:t>
    </w:r>
    <w:r>
      <w:rPr>
        <w:rStyle w:val="Sidnummer"/>
      </w:rPr>
      <w:fldChar w:fldCharType="end"/>
    </w:r>
  </w:p>
  <w:p w:rsidR="00E32B12" w:rsidRDefault="00E32B12">
    <w:pPr>
      <w:pStyle w:val="Sidhuvud"/>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B12" w:rsidRDefault="00E32B12">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sidR="0038228F">
      <w:rPr>
        <w:rStyle w:val="Sidnummer"/>
        <w:noProof/>
      </w:rPr>
      <w:t>53</w:t>
    </w:r>
    <w:r>
      <w:rPr>
        <w:rStyle w:val="Sidnumm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1">
    <w:nsid w:val="001318D7"/>
    <w:multiLevelType w:val="hybridMultilevel"/>
    <w:tmpl w:val="59547A56"/>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
    <w:nsid w:val="00CE14B8"/>
    <w:multiLevelType w:val="multilevel"/>
    <w:tmpl w:val="152A53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1350842"/>
    <w:multiLevelType w:val="hybridMultilevel"/>
    <w:tmpl w:val="07AA6384"/>
    <w:lvl w:ilvl="0" w:tplc="041D0001">
      <w:start w:val="1"/>
      <w:numFmt w:val="bullet"/>
      <w:lvlText w:val=""/>
      <w:lvlJc w:val="left"/>
      <w:pPr>
        <w:ind w:left="720" w:hanging="360"/>
      </w:pPr>
      <w:rPr>
        <w:rFonts w:ascii="Symbol" w:hAnsi="Symbol" w:hint="default"/>
      </w:rPr>
    </w:lvl>
    <w:lvl w:ilvl="1" w:tplc="041D0001">
      <w:start w:val="1"/>
      <w:numFmt w:val="bullet"/>
      <w:lvlText w:val=""/>
      <w:lvlJc w:val="left"/>
      <w:pPr>
        <w:ind w:left="1440" w:hanging="360"/>
      </w:pPr>
      <w:rPr>
        <w:rFonts w:ascii="Symbol" w:hAnsi="Symbo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07167DA4"/>
    <w:multiLevelType w:val="hybridMultilevel"/>
    <w:tmpl w:val="AF1A0560"/>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5">
    <w:nsid w:val="0D9E1CF5"/>
    <w:multiLevelType w:val="hybridMultilevel"/>
    <w:tmpl w:val="13200658"/>
    <w:lvl w:ilvl="0" w:tplc="041D0001">
      <w:start w:val="1"/>
      <w:numFmt w:val="bullet"/>
      <w:lvlText w:val=""/>
      <w:lvlJc w:val="left"/>
      <w:pPr>
        <w:ind w:left="720" w:hanging="360"/>
      </w:pPr>
      <w:rPr>
        <w:rFonts w:ascii="Symbol" w:hAnsi="Symbol" w:hint="default"/>
      </w:rPr>
    </w:lvl>
    <w:lvl w:ilvl="1" w:tplc="041D0001">
      <w:start w:val="1"/>
      <w:numFmt w:val="bullet"/>
      <w:lvlText w:val=""/>
      <w:lvlJc w:val="left"/>
      <w:pPr>
        <w:ind w:left="1440" w:hanging="360"/>
      </w:pPr>
      <w:rPr>
        <w:rFonts w:ascii="Symbol" w:hAnsi="Symbo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0F7123A4"/>
    <w:multiLevelType w:val="hybridMultilevel"/>
    <w:tmpl w:val="18D03C1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113F59D9"/>
    <w:multiLevelType w:val="hybridMultilevel"/>
    <w:tmpl w:val="35928030"/>
    <w:lvl w:ilvl="0" w:tplc="081D000F">
      <w:start w:val="1"/>
      <w:numFmt w:val="decimal"/>
      <w:lvlText w:val="%1."/>
      <w:lvlJc w:val="left"/>
      <w:pPr>
        <w:ind w:left="720" w:hanging="360"/>
      </w:pPr>
    </w:lvl>
    <w:lvl w:ilvl="1" w:tplc="081D0019">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8">
    <w:nsid w:val="18C20EDC"/>
    <w:multiLevelType w:val="hybridMultilevel"/>
    <w:tmpl w:val="6D584B04"/>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9">
    <w:nsid w:val="1F826CD7"/>
    <w:multiLevelType w:val="hybridMultilevel"/>
    <w:tmpl w:val="77F8E65C"/>
    <w:lvl w:ilvl="0" w:tplc="1C3464C8">
      <w:start w:val="1"/>
      <w:numFmt w:val="bullet"/>
      <w:lvlRestart w:val="0"/>
      <w:pStyle w:val="Punktlista"/>
      <w:lvlText w:val=""/>
      <w:lvlJc w:val="left"/>
      <w:pPr>
        <w:tabs>
          <w:tab w:val="num" w:pos="283"/>
        </w:tabs>
        <w:ind w:left="283" w:hanging="283"/>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nsid w:val="275F302A"/>
    <w:multiLevelType w:val="hybridMultilevel"/>
    <w:tmpl w:val="FC2234F4"/>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28AC0221"/>
    <w:multiLevelType w:val="hybridMultilevel"/>
    <w:tmpl w:val="47B8DCEE"/>
    <w:lvl w:ilvl="0" w:tplc="1A5CA902">
      <w:start w:val="7"/>
      <w:numFmt w:val="bullet"/>
      <w:lvlText w:val="-"/>
      <w:lvlJc w:val="left"/>
      <w:pPr>
        <w:ind w:left="216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8BD126D"/>
    <w:multiLevelType w:val="hybridMultilevel"/>
    <w:tmpl w:val="11320CE4"/>
    <w:lvl w:ilvl="0" w:tplc="3850B89E">
      <w:numFmt w:val="bullet"/>
      <w:lvlText w:val="•"/>
      <w:lvlJc w:val="left"/>
      <w:pPr>
        <w:ind w:left="720" w:hanging="360"/>
      </w:pPr>
      <w:rPr>
        <w:rFonts w:ascii="Calibri" w:eastAsia="Calibri" w:hAnsi="Calibri" w:cs="Symbol" w:hint="default"/>
      </w:rPr>
    </w:lvl>
    <w:lvl w:ilvl="1" w:tplc="041D0001">
      <w:start w:val="1"/>
      <w:numFmt w:val="bullet"/>
      <w:lvlText w:val=""/>
      <w:lvlJc w:val="left"/>
      <w:pPr>
        <w:ind w:left="1440" w:hanging="360"/>
      </w:pPr>
      <w:rPr>
        <w:rFonts w:ascii="Symbol" w:hAnsi="Symbol"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3">
    <w:nsid w:val="2A4129F1"/>
    <w:multiLevelType w:val="hybridMultilevel"/>
    <w:tmpl w:val="979E34BC"/>
    <w:lvl w:ilvl="0" w:tplc="041D0001">
      <w:start w:val="1"/>
      <w:numFmt w:val="bullet"/>
      <w:lvlText w:val=""/>
      <w:lvlJc w:val="left"/>
      <w:pPr>
        <w:ind w:left="720" w:hanging="360"/>
      </w:pPr>
      <w:rPr>
        <w:rFonts w:ascii="Symbol" w:hAnsi="Symbol" w:hint="default"/>
      </w:rPr>
    </w:lvl>
    <w:lvl w:ilvl="1" w:tplc="041D0001">
      <w:start w:val="1"/>
      <w:numFmt w:val="bullet"/>
      <w:lvlText w:val=""/>
      <w:lvlJc w:val="left"/>
      <w:pPr>
        <w:ind w:left="1440" w:hanging="360"/>
      </w:pPr>
      <w:rPr>
        <w:rFonts w:ascii="Symbol" w:hAnsi="Symbo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2A4D1296"/>
    <w:multiLevelType w:val="hybridMultilevel"/>
    <w:tmpl w:val="56E0412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2A792BD3"/>
    <w:multiLevelType w:val="hybridMultilevel"/>
    <w:tmpl w:val="061CA88A"/>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6">
    <w:nsid w:val="31E01EFF"/>
    <w:multiLevelType w:val="hybridMultilevel"/>
    <w:tmpl w:val="B4F25E8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36355F8C"/>
    <w:multiLevelType w:val="hybridMultilevel"/>
    <w:tmpl w:val="2A5A366A"/>
    <w:lvl w:ilvl="0" w:tplc="43E05A78">
      <w:numFmt w:val="bullet"/>
      <w:lvlText w:val="-"/>
      <w:lvlJc w:val="left"/>
      <w:pPr>
        <w:ind w:left="720" w:hanging="360"/>
      </w:pPr>
      <w:rPr>
        <w:rFonts w:ascii="Arial" w:eastAsia="Times New Roman" w:hAnsi="Arial" w:cs="Aria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8">
    <w:nsid w:val="363D00AB"/>
    <w:multiLevelType w:val="hybridMultilevel"/>
    <w:tmpl w:val="86DE9C54"/>
    <w:lvl w:ilvl="0" w:tplc="3850B89E">
      <w:numFmt w:val="bullet"/>
      <w:lvlText w:val="•"/>
      <w:lvlJc w:val="left"/>
      <w:pPr>
        <w:ind w:left="720" w:hanging="360"/>
      </w:pPr>
      <w:rPr>
        <w:rFonts w:ascii="Calibri" w:eastAsia="Calibri" w:hAnsi="Calibri" w:cs="Symbol" w:hint="default"/>
      </w:rPr>
    </w:lvl>
    <w:lvl w:ilvl="1" w:tplc="041D0001">
      <w:start w:val="1"/>
      <w:numFmt w:val="bullet"/>
      <w:lvlText w:val=""/>
      <w:lvlJc w:val="left"/>
      <w:pPr>
        <w:ind w:left="1440" w:hanging="360"/>
      </w:pPr>
      <w:rPr>
        <w:rFonts w:ascii="Symbol" w:hAnsi="Symbol"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9">
    <w:nsid w:val="3B8111A6"/>
    <w:multiLevelType w:val="hybridMultilevel"/>
    <w:tmpl w:val="95D0C26C"/>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0">
    <w:nsid w:val="430B3449"/>
    <w:multiLevelType w:val="hybridMultilevel"/>
    <w:tmpl w:val="32601140"/>
    <w:lvl w:ilvl="0" w:tplc="041D0003">
      <w:start w:val="1"/>
      <w:numFmt w:val="bullet"/>
      <w:lvlText w:val="o"/>
      <w:lvlJc w:val="left"/>
      <w:pPr>
        <w:ind w:left="720" w:hanging="360"/>
      </w:pPr>
      <w:rPr>
        <w:rFonts w:ascii="Courier New" w:hAnsi="Courier New" w:cs="Courier New"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nsid w:val="437E7E07"/>
    <w:multiLevelType w:val="hybridMultilevel"/>
    <w:tmpl w:val="6CC2CC48"/>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2">
    <w:nsid w:val="44187EC8"/>
    <w:multiLevelType w:val="hybridMultilevel"/>
    <w:tmpl w:val="08E8F3B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nsid w:val="459A6A89"/>
    <w:multiLevelType w:val="hybridMultilevel"/>
    <w:tmpl w:val="B0A40314"/>
    <w:lvl w:ilvl="0" w:tplc="3850B89E">
      <w:numFmt w:val="bullet"/>
      <w:lvlText w:val="•"/>
      <w:lvlJc w:val="left"/>
      <w:pPr>
        <w:ind w:left="720" w:hanging="360"/>
      </w:pPr>
      <w:rPr>
        <w:rFonts w:ascii="Calibri" w:eastAsia="Calibri" w:hAnsi="Calibri" w:cs="Symbol" w:hint="default"/>
      </w:rPr>
    </w:lvl>
    <w:lvl w:ilvl="1" w:tplc="041D0001">
      <w:start w:val="1"/>
      <w:numFmt w:val="bullet"/>
      <w:lvlText w:val=""/>
      <w:lvlJc w:val="left"/>
      <w:pPr>
        <w:ind w:left="1440" w:hanging="360"/>
      </w:pPr>
      <w:rPr>
        <w:rFonts w:ascii="Symbol" w:hAnsi="Symbol"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4">
    <w:nsid w:val="4AE568E6"/>
    <w:multiLevelType w:val="hybridMultilevel"/>
    <w:tmpl w:val="D5A48712"/>
    <w:lvl w:ilvl="0" w:tplc="3850B89E">
      <w:numFmt w:val="bullet"/>
      <w:lvlText w:val="•"/>
      <w:lvlJc w:val="left"/>
      <w:pPr>
        <w:ind w:left="720" w:hanging="360"/>
      </w:pPr>
      <w:rPr>
        <w:rFonts w:ascii="Calibri" w:eastAsia="Calibri" w:hAnsi="Calibri" w:cs="Symbol" w:hint="default"/>
      </w:rPr>
    </w:lvl>
    <w:lvl w:ilvl="1" w:tplc="081D000D">
      <w:start w:val="1"/>
      <w:numFmt w:val="bullet"/>
      <w:lvlText w:val=""/>
      <w:lvlJc w:val="left"/>
      <w:pPr>
        <w:ind w:left="1440" w:hanging="360"/>
      </w:pPr>
      <w:rPr>
        <w:rFonts w:ascii="Wingdings" w:hAnsi="Wingdings"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5">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26">
    <w:nsid w:val="522060EF"/>
    <w:multiLevelType w:val="hybridMultilevel"/>
    <w:tmpl w:val="D68E7F1C"/>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8">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9">
    <w:nsid w:val="5AB104FE"/>
    <w:multiLevelType w:val="hybridMultilevel"/>
    <w:tmpl w:val="7F92A9AC"/>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30">
    <w:nsid w:val="620C253E"/>
    <w:multiLevelType w:val="hybridMultilevel"/>
    <w:tmpl w:val="FD483FF4"/>
    <w:lvl w:ilvl="0" w:tplc="041D0001">
      <w:start w:val="1"/>
      <w:numFmt w:val="bullet"/>
      <w:lvlText w:val=""/>
      <w:lvlJc w:val="left"/>
      <w:pPr>
        <w:ind w:left="720" w:hanging="360"/>
      </w:pPr>
      <w:rPr>
        <w:rFonts w:ascii="Symbol" w:hAnsi="Symbol" w:hint="default"/>
      </w:rPr>
    </w:lvl>
    <w:lvl w:ilvl="1" w:tplc="041D0001">
      <w:start w:val="1"/>
      <w:numFmt w:val="bullet"/>
      <w:lvlText w:val=""/>
      <w:lvlJc w:val="left"/>
      <w:pPr>
        <w:ind w:left="1440" w:hanging="360"/>
      </w:pPr>
      <w:rPr>
        <w:rFonts w:ascii="Symbol" w:hAnsi="Symbo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nsid w:val="66D9536B"/>
    <w:multiLevelType w:val="hybridMultilevel"/>
    <w:tmpl w:val="D5D83D7A"/>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32">
    <w:nsid w:val="69D71953"/>
    <w:multiLevelType w:val="hybridMultilevel"/>
    <w:tmpl w:val="8E88619A"/>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33">
    <w:nsid w:val="7B4F600F"/>
    <w:multiLevelType w:val="hybridMultilevel"/>
    <w:tmpl w:val="EA4C2CFC"/>
    <w:lvl w:ilvl="0" w:tplc="081D0001">
      <w:start w:val="1"/>
      <w:numFmt w:val="bullet"/>
      <w:lvlText w:val=""/>
      <w:lvlJc w:val="left"/>
      <w:pPr>
        <w:ind w:left="2024" w:hanging="360"/>
      </w:pPr>
      <w:rPr>
        <w:rFonts w:ascii="Symbol" w:hAnsi="Symbol" w:hint="default"/>
      </w:rPr>
    </w:lvl>
    <w:lvl w:ilvl="1" w:tplc="081D0003" w:tentative="1">
      <w:start w:val="1"/>
      <w:numFmt w:val="bullet"/>
      <w:lvlText w:val="o"/>
      <w:lvlJc w:val="left"/>
      <w:pPr>
        <w:ind w:left="2744" w:hanging="360"/>
      </w:pPr>
      <w:rPr>
        <w:rFonts w:ascii="Courier New" w:hAnsi="Courier New" w:cs="Courier New" w:hint="default"/>
      </w:rPr>
    </w:lvl>
    <w:lvl w:ilvl="2" w:tplc="081D0005" w:tentative="1">
      <w:start w:val="1"/>
      <w:numFmt w:val="bullet"/>
      <w:lvlText w:val=""/>
      <w:lvlJc w:val="left"/>
      <w:pPr>
        <w:ind w:left="3464" w:hanging="360"/>
      </w:pPr>
      <w:rPr>
        <w:rFonts w:ascii="Wingdings" w:hAnsi="Wingdings" w:hint="default"/>
      </w:rPr>
    </w:lvl>
    <w:lvl w:ilvl="3" w:tplc="081D0001" w:tentative="1">
      <w:start w:val="1"/>
      <w:numFmt w:val="bullet"/>
      <w:lvlText w:val=""/>
      <w:lvlJc w:val="left"/>
      <w:pPr>
        <w:ind w:left="4184" w:hanging="360"/>
      </w:pPr>
      <w:rPr>
        <w:rFonts w:ascii="Symbol" w:hAnsi="Symbol" w:hint="default"/>
      </w:rPr>
    </w:lvl>
    <w:lvl w:ilvl="4" w:tplc="081D0003" w:tentative="1">
      <w:start w:val="1"/>
      <w:numFmt w:val="bullet"/>
      <w:lvlText w:val="o"/>
      <w:lvlJc w:val="left"/>
      <w:pPr>
        <w:ind w:left="4904" w:hanging="360"/>
      </w:pPr>
      <w:rPr>
        <w:rFonts w:ascii="Courier New" w:hAnsi="Courier New" w:cs="Courier New" w:hint="default"/>
      </w:rPr>
    </w:lvl>
    <w:lvl w:ilvl="5" w:tplc="081D0005" w:tentative="1">
      <w:start w:val="1"/>
      <w:numFmt w:val="bullet"/>
      <w:lvlText w:val=""/>
      <w:lvlJc w:val="left"/>
      <w:pPr>
        <w:ind w:left="5624" w:hanging="360"/>
      </w:pPr>
      <w:rPr>
        <w:rFonts w:ascii="Wingdings" w:hAnsi="Wingdings" w:hint="default"/>
      </w:rPr>
    </w:lvl>
    <w:lvl w:ilvl="6" w:tplc="081D0001" w:tentative="1">
      <w:start w:val="1"/>
      <w:numFmt w:val="bullet"/>
      <w:lvlText w:val=""/>
      <w:lvlJc w:val="left"/>
      <w:pPr>
        <w:ind w:left="6344" w:hanging="360"/>
      </w:pPr>
      <w:rPr>
        <w:rFonts w:ascii="Symbol" w:hAnsi="Symbol" w:hint="default"/>
      </w:rPr>
    </w:lvl>
    <w:lvl w:ilvl="7" w:tplc="081D0003" w:tentative="1">
      <w:start w:val="1"/>
      <w:numFmt w:val="bullet"/>
      <w:lvlText w:val="o"/>
      <w:lvlJc w:val="left"/>
      <w:pPr>
        <w:ind w:left="7064" w:hanging="360"/>
      </w:pPr>
      <w:rPr>
        <w:rFonts w:ascii="Courier New" w:hAnsi="Courier New" w:cs="Courier New" w:hint="default"/>
      </w:rPr>
    </w:lvl>
    <w:lvl w:ilvl="8" w:tplc="081D0005" w:tentative="1">
      <w:start w:val="1"/>
      <w:numFmt w:val="bullet"/>
      <w:lvlText w:val=""/>
      <w:lvlJc w:val="left"/>
      <w:pPr>
        <w:ind w:left="7784" w:hanging="360"/>
      </w:pPr>
      <w:rPr>
        <w:rFonts w:ascii="Wingdings" w:hAnsi="Wingdings" w:hint="default"/>
      </w:rPr>
    </w:lvl>
  </w:abstractNum>
  <w:abstractNum w:abstractNumId="34">
    <w:nsid w:val="7F6049C5"/>
    <w:multiLevelType w:val="hybridMultilevel"/>
    <w:tmpl w:val="A23C5C6E"/>
    <w:lvl w:ilvl="0" w:tplc="3850B89E">
      <w:numFmt w:val="bullet"/>
      <w:lvlText w:val="•"/>
      <w:lvlJc w:val="left"/>
      <w:pPr>
        <w:ind w:left="720" w:hanging="360"/>
      </w:pPr>
      <w:rPr>
        <w:rFonts w:ascii="Calibri" w:eastAsia="Calibri" w:hAnsi="Calibri" w:cs="Symbol" w:hint="default"/>
      </w:rPr>
    </w:lvl>
    <w:lvl w:ilvl="1" w:tplc="041D0001">
      <w:start w:val="1"/>
      <w:numFmt w:val="bullet"/>
      <w:lvlText w:val=""/>
      <w:lvlJc w:val="left"/>
      <w:pPr>
        <w:ind w:left="1440" w:hanging="360"/>
      </w:pPr>
      <w:rPr>
        <w:rFonts w:ascii="Symbol" w:hAnsi="Symbol"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num w:numId="1">
    <w:abstractNumId w:val="0"/>
  </w:num>
  <w:num w:numId="2">
    <w:abstractNumId w:val="27"/>
  </w:num>
  <w:num w:numId="3">
    <w:abstractNumId w:val="28"/>
  </w:num>
  <w:num w:numId="4">
    <w:abstractNumId w:val="25"/>
  </w:num>
  <w:num w:numId="5">
    <w:abstractNumId w:val="25"/>
  </w:num>
  <w:num w:numId="6">
    <w:abstractNumId w:val="25"/>
  </w:num>
  <w:num w:numId="7">
    <w:abstractNumId w:val="25"/>
  </w:num>
  <w:num w:numId="8">
    <w:abstractNumId w:val="25"/>
  </w:num>
  <w:num w:numId="9">
    <w:abstractNumId w:val="25"/>
  </w:num>
  <w:num w:numId="10">
    <w:abstractNumId w:val="25"/>
  </w:num>
  <w:num w:numId="11">
    <w:abstractNumId w:val="25"/>
  </w:num>
  <w:num w:numId="12">
    <w:abstractNumId w:val="25"/>
  </w:num>
  <w:num w:numId="13">
    <w:abstractNumId w:val="9"/>
  </w:num>
  <w:num w:numId="14">
    <w:abstractNumId w:val="33"/>
  </w:num>
  <w:num w:numId="15">
    <w:abstractNumId w:val="1"/>
  </w:num>
  <w:num w:numId="16">
    <w:abstractNumId w:val="32"/>
  </w:num>
  <w:num w:numId="17">
    <w:abstractNumId w:val="7"/>
  </w:num>
  <w:num w:numId="18">
    <w:abstractNumId w:val="8"/>
  </w:num>
  <w:num w:numId="19">
    <w:abstractNumId w:val="21"/>
  </w:num>
  <w:num w:numId="20">
    <w:abstractNumId w:val="2"/>
  </w:num>
  <w:num w:numId="21">
    <w:abstractNumId w:val="24"/>
  </w:num>
  <w:num w:numId="22">
    <w:abstractNumId w:val="18"/>
  </w:num>
  <w:num w:numId="23">
    <w:abstractNumId w:val="23"/>
  </w:num>
  <w:num w:numId="24">
    <w:abstractNumId w:val="34"/>
  </w:num>
  <w:num w:numId="25">
    <w:abstractNumId w:val="12"/>
  </w:num>
  <w:num w:numId="26">
    <w:abstractNumId w:val="15"/>
  </w:num>
  <w:num w:numId="27">
    <w:abstractNumId w:val="31"/>
  </w:num>
  <w:num w:numId="28">
    <w:abstractNumId w:val="29"/>
  </w:num>
  <w:num w:numId="29">
    <w:abstractNumId w:val="4"/>
  </w:num>
  <w:num w:numId="30">
    <w:abstractNumId w:val="11"/>
  </w:num>
  <w:num w:numId="31">
    <w:abstractNumId w:val="26"/>
  </w:num>
  <w:num w:numId="32">
    <w:abstractNumId w:val="20"/>
  </w:num>
  <w:num w:numId="33">
    <w:abstractNumId w:val="10"/>
  </w:num>
  <w:num w:numId="34">
    <w:abstractNumId w:val="17"/>
  </w:num>
  <w:num w:numId="35">
    <w:abstractNumId w:val="19"/>
  </w:num>
  <w:num w:numId="36">
    <w:abstractNumId w:val="14"/>
  </w:num>
  <w:num w:numId="37">
    <w:abstractNumId w:val="22"/>
  </w:num>
  <w:num w:numId="38">
    <w:abstractNumId w:val="16"/>
  </w:num>
  <w:num w:numId="39">
    <w:abstractNumId w:val="3"/>
  </w:num>
  <w:num w:numId="40">
    <w:abstractNumId w:val="5"/>
  </w:num>
  <w:num w:numId="41">
    <w:abstractNumId w:val="13"/>
  </w:num>
  <w:num w:numId="42">
    <w:abstractNumId w:val="30"/>
  </w:num>
  <w:num w:numId="43">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ttachedTemplate r:id="rId1"/>
  <w:doNotTrackMoves/>
  <w:documentProtection w:edit="readOnly" w:formatting="1" w:enforcement="0"/>
  <w:defaultTabStop w:val="284"/>
  <w:autoHyphenation/>
  <w:hyphenationZone w:val="142"/>
  <w:evenAndOddHeaders/>
  <w:drawingGridHorizontalSpacing w:val="57"/>
  <w:displayVerticalDrawingGridEvery w:val="2"/>
  <w:noPunctuationKerning/>
  <w:characterSpacingControl w:val="doNotCompress"/>
  <w:hdrShapeDefaults>
    <o:shapedefaults v:ext="edit" spidmax="200705"/>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_ExportToHTMLPath" w:val="\\Pound\vol1\Allman\Pedago\Web\lagtinget\assistans\exempelfiler\M0220002001.htm"/>
  </w:docVars>
  <w:rsids>
    <w:rsidRoot w:val="002A1D84"/>
    <w:rsid w:val="0000010A"/>
    <w:rsid w:val="00001E74"/>
    <w:rsid w:val="000044D7"/>
    <w:rsid w:val="00005302"/>
    <w:rsid w:val="00006BAE"/>
    <w:rsid w:val="000119BE"/>
    <w:rsid w:val="00014386"/>
    <w:rsid w:val="00017149"/>
    <w:rsid w:val="00017F80"/>
    <w:rsid w:val="00020D25"/>
    <w:rsid w:val="00022925"/>
    <w:rsid w:val="000231D0"/>
    <w:rsid w:val="00023C6C"/>
    <w:rsid w:val="000252E5"/>
    <w:rsid w:val="0003077F"/>
    <w:rsid w:val="00030C88"/>
    <w:rsid w:val="000401A7"/>
    <w:rsid w:val="000444F4"/>
    <w:rsid w:val="00045CC4"/>
    <w:rsid w:val="0004663E"/>
    <w:rsid w:val="000511BD"/>
    <w:rsid w:val="00052BE1"/>
    <w:rsid w:val="00055974"/>
    <w:rsid w:val="00057B6A"/>
    <w:rsid w:val="00060C0D"/>
    <w:rsid w:val="00063907"/>
    <w:rsid w:val="00064294"/>
    <w:rsid w:val="00065961"/>
    <w:rsid w:val="00065EC6"/>
    <w:rsid w:val="00065F94"/>
    <w:rsid w:val="00066A23"/>
    <w:rsid w:val="00066B81"/>
    <w:rsid w:val="00070A60"/>
    <w:rsid w:val="00074471"/>
    <w:rsid w:val="000751A7"/>
    <w:rsid w:val="00076F1D"/>
    <w:rsid w:val="000770FB"/>
    <w:rsid w:val="000808C6"/>
    <w:rsid w:val="000811B1"/>
    <w:rsid w:val="00081874"/>
    <w:rsid w:val="00082640"/>
    <w:rsid w:val="00083E83"/>
    <w:rsid w:val="00084074"/>
    <w:rsid w:val="000850FA"/>
    <w:rsid w:val="00092096"/>
    <w:rsid w:val="000925B8"/>
    <w:rsid w:val="00094304"/>
    <w:rsid w:val="00094667"/>
    <w:rsid w:val="000A2E6B"/>
    <w:rsid w:val="000A36FE"/>
    <w:rsid w:val="000A4CC3"/>
    <w:rsid w:val="000B304B"/>
    <w:rsid w:val="000B3E6C"/>
    <w:rsid w:val="000B4AEB"/>
    <w:rsid w:val="000B507D"/>
    <w:rsid w:val="000B6858"/>
    <w:rsid w:val="000B70AD"/>
    <w:rsid w:val="000C0461"/>
    <w:rsid w:val="000C7E31"/>
    <w:rsid w:val="000C7E5E"/>
    <w:rsid w:val="000D439D"/>
    <w:rsid w:val="000D450B"/>
    <w:rsid w:val="000D78D5"/>
    <w:rsid w:val="000E03B4"/>
    <w:rsid w:val="000E24D2"/>
    <w:rsid w:val="000E27AB"/>
    <w:rsid w:val="000E3717"/>
    <w:rsid w:val="000E40E1"/>
    <w:rsid w:val="000E4641"/>
    <w:rsid w:val="000E5A24"/>
    <w:rsid w:val="000E68BA"/>
    <w:rsid w:val="000F01DF"/>
    <w:rsid w:val="000F1603"/>
    <w:rsid w:val="000F39BC"/>
    <w:rsid w:val="00100D73"/>
    <w:rsid w:val="0010297A"/>
    <w:rsid w:val="00104422"/>
    <w:rsid w:val="00104F44"/>
    <w:rsid w:val="001068DA"/>
    <w:rsid w:val="00107A3B"/>
    <w:rsid w:val="00110677"/>
    <w:rsid w:val="00113989"/>
    <w:rsid w:val="00115132"/>
    <w:rsid w:val="0011521E"/>
    <w:rsid w:val="00115EAB"/>
    <w:rsid w:val="00125E09"/>
    <w:rsid w:val="00125FB6"/>
    <w:rsid w:val="00127364"/>
    <w:rsid w:val="00127506"/>
    <w:rsid w:val="00131D99"/>
    <w:rsid w:val="001332FF"/>
    <w:rsid w:val="001346DE"/>
    <w:rsid w:val="00143140"/>
    <w:rsid w:val="00144734"/>
    <w:rsid w:val="00144C2C"/>
    <w:rsid w:val="00145716"/>
    <w:rsid w:val="00146A02"/>
    <w:rsid w:val="00150D02"/>
    <w:rsid w:val="00150EA5"/>
    <w:rsid w:val="001510A5"/>
    <w:rsid w:val="00151163"/>
    <w:rsid w:val="0015137D"/>
    <w:rsid w:val="0015174D"/>
    <w:rsid w:val="00151916"/>
    <w:rsid w:val="00157EB9"/>
    <w:rsid w:val="00160A33"/>
    <w:rsid w:val="00161F02"/>
    <w:rsid w:val="0016233D"/>
    <w:rsid w:val="001707B5"/>
    <w:rsid w:val="00173A3F"/>
    <w:rsid w:val="00175C36"/>
    <w:rsid w:val="00177443"/>
    <w:rsid w:val="00183604"/>
    <w:rsid w:val="00185375"/>
    <w:rsid w:val="001866F8"/>
    <w:rsid w:val="001903AA"/>
    <w:rsid w:val="00193ECA"/>
    <w:rsid w:val="00195AEA"/>
    <w:rsid w:val="00195B7F"/>
    <w:rsid w:val="0019711C"/>
    <w:rsid w:val="00197878"/>
    <w:rsid w:val="00197F9C"/>
    <w:rsid w:val="001A0D52"/>
    <w:rsid w:val="001A210A"/>
    <w:rsid w:val="001A2476"/>
    <w:rsid w:val="001A339C"/>
    <w:rsid w:val="001A35A2"/>
    <w:rsid w:val="001A3BF7"/>
    <w:rsid w:val="001B1711"/>
    <w:rsid w:val="001B3B6B"/>
    <w:rsid w:val="001B43FB"/>
    <w:rsid w:val="001B50E0"/>
    <w:rsid w:val="001B5813"/>
    <w:rsid w:val="001C27A6"/>
    <w:rsid w:val="001C35D0"/>
    <w:rsid w:val="001C4DD9"/>
    <w:rsid w:val="001C6AB3"/>
    <w:rsid w:val="001D1A97"/>
    <w:rsid w:val="001D6BF6"/>
    <w:rsid w:val="001D7436"/>
    <w:rsid w:val="001D797C"/>
    <w:rsid w:val="001E3534"/>
    <w:rsid w:val="001E427D"/>
    <w:rsid w:val="001E6788"/>
    <w:rsid w:val="001E7F76"/>
    <w:rsid w:val="001E7FB7"/>
    <w:rsid w:val="001F09E3"/>
    <w:rsid w:val="001F0E92"/>
    <w:rsid w:val="001F4EBE"/>
    <w:rsid w:val="001F69BC"/>
    <w:rsid w:val="00201DEC"/>
    <w:rsid w:val="0020271C"/>
    <w:rsid w:val="00203611"/>
    <w:rsid w:val="00203BFA"/>
    <w:rsid w:val="002042A6"/>
    <w:rsid w:val="002059F9"/>
    <w:rsid w:val="00205F9B"/>
    <w:rsid w:val="00206B00"/>
    <w:rsid w:val="0021018E"/>
    <w:rsid w:val="002107E5"/>
    <w:rsid w:val="00211856"/>
    <w:rsid w:val="00213D84"/>
    <w:rsid w:val="0021418A"/>
    <w:rsid w:val="0021464C"/>
    <w:rsid w:val="00220475"/>
    <w:rsid w:val="002216EA"/>
    <w:rsid w:val="002228F0"/>
    <w:rsid w:val="00222FA5"/>
    <w:rsid w:val="002241C6"/>
    <w:rsid w:val="0022433E"/>
    <w:rsid w:val="00224EF0"/>
    <w:rsid w:val="002252D7"/>
    <w:rsid w:val="00226E86"/>
    <w:rsid w:val="00231312"/>
    <w:rsid w:val="00231E1E"/>
    <w:rsid w:val="00232BD8"/>
    <w:rsid w:val="00235518"/>
    <w:rsid w:val="00235635"/>
    <w:rsid w:val="00240DD3"/>
    <w:rsid w:val="00240EF9"/>
    <w:rsid w:val="00241F22"/>
    <w:rsid w:val="00244E70"/>
    <w:rsid w:val="00245ADC"/>
    <w:rsid w:val="0025023D"/>
    <w:rsid w:val="002561E4"/>
    <w:rsid w:val="00257B06"/>
    <w:rsid w:val="00260538"/>
    <w:rsid w:val="00261EAD"/>
    <w:rsid w:val="00262173"/>
    <w:rsid w:val="002621D1"/>
    <w:rsid w:val="00262F58"/>
    <w:rsid w:val="00264EEC"/>
    <w:rsid w:val="00267A59"/>
    <w:rsid w:val="00267ECA"/>
    <w:rsid w:val="00274266"/>
    <w:rsid w:val="00277045"/>
    <w:rsid w:val="0027739E"/>
    <w:rsid w:val="002814EA"/>
    <w:rsid w:val="00281AC2"/>
    <w:rsid w:val="00282904"/>
    <w:rsid w:val="002840D3"/>
    <w:rsid w:val="0028560D"/>
    <w:rsid w:val="00285BFD"/>
    <w:rsid w:val="00287BEC"/>
    <w:rsid w:val="00290CC1"/>
    <w:rsid w:val="0029192C"/>
    <w:rsid w:val="0029192D"/>
    <w:rsid w:val="00291D02"/>
    <w:rsid w:val="002921D2"/>
    <w:rsid w:val="002935A6"/>
    <w:rsid w:val="00296FAB"/>
    <w:rsid w:val="002A086A"/>
    <w:rsid w:val="002A0D6A"/>
    <w:rsid w:val="002A146C"/>
    <w:rsid w:val="002A1D84"/>
    <w:rsid w:val="002B0797"/>
    <w:rsid w:val="002B241A"/>
    <w:rsid w:val="002B3172"/>
    <w:rsid w:val="002B34F0"/>
    <w:rsid w:val="002B507B"/>
    <w:rsid w:val="002B7BCF"/>
    <w:rsid w:val="002B7C44"/>
    <w:rsid w:val="002C06F2"/>
    <w:rsid w:val="002C3739"/>
    <w:rsid w:val="002C7AEB"/>
    <w:rsid w:val="002D31B8"/>
    <w:rsid w:val="002D3627"/>
    <w:rsid w:val="002D6240"/>
    <w:rsid w:val="002E41F7"/>
    <w:rsid w:val="002F1DD3"/>
    <w:rsid w:val="002F28CB"/>
    <w:rsid w:val="002F2E3B"/>
    <w:rsid w:val="002F4D5D"/>
    <w:rsid w:val="002F709C"/>
    <w:rsid w:val="002F73C3"/>
    <w:rsid w:val="002F75EF"/>
    <w:rsid w:val="002F7EB1"/>
    <w:rsid w:val="003001A7"/>
    <w:rsid w:val="00302CAC"/>
    <w:rsid w:val="00303099"/>
    <w:rsid w:val="0030566C"/>
    <w:rsid w:val="003077B1"/>
    <w:rsid w:val="003114A1"/>
    <w:rsid w:val="003121A6"/>
    <w:rsid w:val="00312685"/>
    <w:rsid w:val="003140F1"/>
    <w:rsid w:val="00315DB6"/>
    <w:rsid w:val="00315DD8"/>
    <w:rsid w:val="00320DC2"/>
    <w:rsid w:val="00330A51"/>
    <w:rsid w:val="00331589"/>
    <w:rsid w:val="00332585"/>
    <w:rsid w:val="00335F43"/>
    <w:rsid w:val="00336060"/>
    <w:rsid w:val="00337508"/>
    <w:rsid w:val="003402DD"/>
    <w:rsid w:val="00346056"/>
    <w:rsid w:val="00346086"/>
    <w:rsid w:val="00346412"/>
    <w:rsid w:val="003472E4"/>
    <w:rsid w:val="003513E3"/>
    <w:rsid w:val="00353151"/>
    <w:rsid w:val="003554AF"/>
    <w:rsid w:val="00356075"/>
    <w:rsid w:val="00356ED0"/>
    <w:rsid w:val="0036267E"/>
    <w:rsid w:val="00362996"/>
    <w:rsid w:val="003631DC"/>
    <w:rsid w:val="003647F0"/>
    <w:rsid w:val="0036535B"/>
    <w:rsid w:val="00365DAB"/>
    <w:rsid w:val="00367ABC"/>
    <w:rsid w:val="00367B57"/>
    <w:rsid w:val="00367E74"/>
    <w:rsid w:val="00370419"/>
    <w:rsid w:val="00374FC8"/>
    <w:rsid w:val="003751FF"/>
    <w:rsid w:val="00377152"/>
    <w:rsid w:val="0038228F"/>
    <w:rsid w:val="0038499E"/>
    <w:rsid w:val="00385C20"/>
    <w:rsid w:val="00386441"/>
    <w:rsid w:val="00391A45"/>
    <w:rsid w:val="00391D40"/>
    <w:rsid w:val="00391E48"/>
    <w:rsid w:val="003924D3"/>
    <w:rsid w:val="00394537"/>
    <w:rsid w:val="00395050"/>
    <w:rsid w:val="0039594D"/>
    <w:rsid w:val="003A29A8"/>
    <w:rsid w:val="003A6779"/>
    <w:rsid w:val="003A6FFC"/>
    <w:rsid w:val="003A738C"/>
    <w:rsid w:val="003A7A93"/>
    <w:rsid w:val="003B12EB"/>
    <w:rsid w:val="003B441C"/>
    <w:rsid w:val="003C1356"/>
    <w:rsid w:val="003C540B"/>
    <w:rsid w:val="003D0F7E"/>
    <w:rsid w:val="003D4791"/>
    <w:rsid w:val="003D5BCF"/>
    <w:rsid w:val="003D6C9B"/>
    <w:rsid w:val="003E7227"/>
    <w:rsid w:val="003F0E4A"/>
    <w:rsid w:val="003F194B"/>
    <w:rsid w:val="003F460A"/>
    <w:rsid w:val="00402718"/>
    <w:rsid w:val="00403CDB"/>
    <w:rsid w:val="00405535"/>
    <w:rsid w:val="00405B83"/>
    <w:rsid w:val="00406BCE"/>
    <w:rsid w:val="0040709D"/>
    <w:rsid w:val="0040795F"/>
    <w:rsid w:val="004138E5"/>
    <w:rsid w:val="00413D4C"/>
    <w:rsid w:val="00416DC0"/>
    <w:rsid w:val="00421222"/>
    <w:rsid w:val="00421A75"/>
    <w:rsid w:val="00423354"/>
    <w:rsid w:val="00425732"/>
    <w:rsid w:val="00425A30"/>
    <w:rsid w:val="00426339"/>
    <w:rsid w:val="00430BFB"/>
    <w:rsid w:val="00431595"/>
    <w:rsid w:val="00431FED"/>
    <w:rsid w:val="004329DC"/>
    <w:rsid w:val="004345BC"/>
    <w:rsid w:val="00437B69"/>
    <w:rsid w:val="004406DE"/>
    <w:rsid w:val="00442064"/>
    <w:rsid w:val="00442C62"/>
    <w:rsid w:val="00442CEB"/>
    <w:rsid w:val="00446656"/>
    <w:rsid w:val="0044667B"/>
    <w:rsid w:val="00451EE1"/>
    <w:rsid w:val="00452311"/>
    <w:rsid w:val="00452D0E"/>
    <w:rsid w:val="0045639F"/>
    <w:rsid w:val="004571B3"/>
    <w:rsid w:val="0046174B"/>
    <w:rsid w:val="00461C72"/>
    <w:rsid w:val="004620B7"/>
    <w:rsid w:val="00476554"/>
    <w:rsid w:val="004770EA"/>
    <w:rsid w:val="0048246E"/>
    <w:rsid w:val="00482757"/>
    <w:rsid w:val="00483EF2"/>
    <w:rsid w:val="0048590A"/>
    <w:rsid w:val="004912A8"/>
    <w:rsid w:val="00492C2B"/>
    <w:rsid w:val="004952FD"/>
    <w:rsid w:val="004A0414"/>
    <w:rsid w:val="004A3F62"/>
    <w:rsid w:val="004B1A9E"/>
    <w:rsid w:val="004B34AE"/>
    <w:rsid w:val="004B4733"/>
    <w:rsid w:val="004C1BD7"/>
    <w:rsid w:val="004C2D0A"/>
    <w:rsid w:val="004C6216"/>
    <w:rsid w:val="004C67DD"/>
    <w:rsid w:val="004D0ED6"/>
    <w:rsid w:val="004D1A36"/>
    <w:rsid w:val="004D3154"/>
    <w:rsid w:val="004D351A"/>
    <w:rsid w:val="004D5061"/>
    <w:rsid w:val="004E0D2D"/>
    <w:rsid w:val="004E21A9"/>
    <w:rsid w:val="004E54CE"/>
    <w:rsid w:val="004F0E91"/>
    <w:rsid w:val="004F1967"/>
    <w:rsid w:val="004F1AAF"/>
    <w:rsid w:val="004F297E"/>
    <w:rsid w:val="004F4829"/>
    <w:rsid w:val="004F61F9"/>
    <w:rsid w:val="00500E05"/>
    <w:rsid w:val="005119ED"/>
    <w:rsid w:val="00511A58"/>
    <w:rsid w:val="00511F25"/>
    <w:rsid w:val="005126C4"/>
    <w:rsid w:val="00512B5C"/>
    <w:rsid w:val="00513874"/>
    <w:rsid w:val="005152EF"/>
    <w:rsid w:val="0051590C"/>
    <w:rsid w:val="005201E7"/>
    <w:rsid w:val="00520809"/>
    <w:rsid w:val="005242BE"/>
    <w:rsid w:val="00527F7D"/>
    <w:rsid w:val="005312BD"/>
    <w:rsid w:val="005364C1"/>
    <w:rsid w:val="00537B61"/>
    <w:rsid w:val="00540201"/>
    <w:rsid w:val="00540815"/>
    <w:rsid w:val="00543511"/>
    <w:rsid w:val="00545C91"/>
    <w:rsid w:val="005461FB"/>
    <w:rsid w:val="00556013"/>
    <w:rsid w:val="00556369"/>
    <w:rsid w:val="00557980"/>
    <w:rsid w:val="00562DE1"/>
    <w:rsid w:val="005655C5"/>
    <w:rsid w:val="0056576A"/>
    <w:rsid w:val="00566B0A"/>
    <w:rsid w:val="00571ACB"/>
    <w:rsid w:val="00572B68"/>
    <w:rsid w:val="0057375E"/>
    <w:rsid w:val="005828EE"/>
    <w:rsid w:val="00583DDE"/>
    <w:rsid w:val="00592131"/>
    <w:rsid w:val="00592C51"/>
    <w:rsid w:val="00595226"/>
    <w:rsid w:val="00596684"/>
    <w:rsid w:val="005A1E4B"/>
    <w:rsid w:val="005A285C"/>
    <w:rsid w:val="005A2FF3"/>
    <w:rsid w:val="005B258E"/>
    <w:rsid w:val="005B4382"/>
    <w:rsid w:val="005B4782"/>
    <w:rsid w:val="005B4FAD"/>
    <w:rsid w:val="005B5ACB"/>
    <w:rsid w:val="005B64EB"/>
    <w:rsid w:val="005C018E"/>
    <w:rsid w:val="005C0CEF"/>
    <w:rsid w:val="005C24F9"/>
    <w:rsid w:val="005C2C87"/>
    <w:rsid w:val="005C4DE6"/>
    <w:rsid w:val="005C516C"/>
    <w:rsid w:val="005C6177"/>
    <w:rsid w:val="005C7879"/>
    <w:rsid w:val="005D4733"/>
    <w:rsid w:val="005D58D6"/>
    <w:rsid w:val="005D5D98"/>
    <w:rsid w:val="005D7C4F"/>
    <w:rsid w:val="005E1183"/>
    <w:rsid w:val="005E1983"/>
    <w:rsid w:val="005E2D93"/>
    <w:rsid w:val="005E4DEA"/>
    <w:rsid w:val="005E50D4"/>
    <w:rsid w:val="005E5D70"/>
    <w:rsid w:val="005E6452"/>
    <w:rsid w:val="005F2581"/>
    <w:rsid w:val="005F39D2"/>
    <w:rsid w:val="005F3AFE"/>
    <w:rsid w:val="005F4930"/>
    <w:rsid w:val="005F4A18"/>
    <w:rsid w:val="005F50ED"/>
    <w:rsid w:val="005F55A4"/>
    <w:rsid w:val="005F59D3"/>
    <w:rsid w:val="005F5B9B"/>
    <w:rsid w:val="0060281F"/>
    <w:rsid w:val="00603499"/>
    <w:rsid w:val="00603C3C"/>
    <w:rsid w:val="00604FE2"/>
    <w:rsid w:val="00605942"/>
    <w:rsid w:val="00607B83"/>
    <w:rsid w:val="00611B33"/>
    <w:rsid w:val="00611F35"/>
    <w:rsid w:val="00613508"/>
    <w:rsid w:val="00614603"/>
    <w:rsid w:val="00614E24"/>
    <w:rsid w:val="006158F4"/>
    <w:rsid w:val="00616334"/>
    <w:rsid w:val="00617167"/>
    <w:rsid w:val="00622048"/>
    <w:rsid w:val="006260C6"/>
    <w:rsid w:val="0062749E"/>
    <w:rsid w:val="00632B5D"/>
    <w:rsid w:val="0063379B"/>
    <w:rsid w:val="0063471C"/>
    <w:rsid w:val="00634A10"/>
    <w:rsid w:val="00637A9B"/>
    <w:rsid w:val="00637E5F"/>
    <w:rsid w:val="0064049E"/>
    <w:rsid w:val="006414A8"/>
    <w:rsid w:val="00641AF5"/>
    <w:rsid w:val="00643209"/>
    <w:rsid w:val="00646EA0"/>
    <w:rsid w:val="00647CA6"/>
    <w:rsid w:val="006501DC"/>
    <w:rsid w:val="006511C9"/>
    <w:rsid w:val="00652793"/>
    <w:rsid w:val="00653C2B"/>
    <w:rsid w:val="00662501"/>
    <w:rsid w:val="00663183"/>
    <w:rsid w:val="00663BC8"/>
    <w:rsid w:val="00666EA8"/>
    <w:rsid w:val="006670CB"/>
    <w:rsid w:val="0066769D"/>
    <w:rsid w:val="0067059B"/>
    <w:rsid w:val="00673047"/>
    <w:rsid w:val="0067550F"/>
    <w:rsid w:val="00675CB9"/>
    <w:rsid w:val="00676090"/>
    <w:rsid w:val="00676D99"/>
    <w:rsid w:val="00680B63"/>
    <w:rsid w:val="00680C40"/>
    <w:rsid w:val="00681379"/>
    <w:rsid w:val="00681457"/>
    <w:rsid w:val="00681B66"/>
    <w:rsid w:val="00682599"/>
    <w:rsid w:val="006840A3"/>
    <w:rsid w:val="00685EC0"/>
    <w:rsid w:val="00690023"/>
    <w:rsid w:val="006918FC"/>
    <w:rsid w:val="00692170"/>
    <w:rsid w:val="00692BDE"/>
    <w:rsid w:val="00693D2B"/>
    <w:rsid w:val="006940A7"/>
    <w:rsid w:val="006948CE"/>
    <w:rsid w:val="00694F2D"/>
    <w:rsid w:val="00696A8D"/>
    <w:rsid w:val="006A0527"/>
    <w:rsid w:val="006A350C"/>
    <w:rsid w:val="006A424E"/>
    <w:rsid w:val="006A4E92"/>
    <w:rsid w:val="006A7EC1"/>
    <w:rsid w:val="006B0995"/>
    <w:rsid w:val="006B16A0"/>
    <w:rsid w:val="006B5749"/>
    <w:rsid w:val="006B5D6E"/>
    <w:rsid w:val="006B72A0"/>
    <w:rsid w:val="006C06BF"/>
    <w:rsid w:val="006C12A5"/>
    <w:rsid w:val="006C34F9"/>
    <w:rsid w:val="006C3AE2"/>
    <w:rsid w:val="006C4610"/>
    <w:rsid w:val="006C615E"/>
    <w:rsid w:val="006C66FF"/>
    <w:rsid w:val="006D127A"/>
    <w:rsid w:val="006D2A55"/>
    <w:rsid w:val="006D4933"/>
    <w:rsid w:val="006E0E9B"/>
    <w:rsid w:val="006E1397"/>
    <w:rsid w:val="006E6ED3"/>
    <w:rsid w:val="006E710C"/>
    <w:rsid w:val="006E785C"/>
    <w:rsid w:val="006E793E"/>
    <w:rsid w:val="006F467C"/>
    <w:rsid w:val="006F4B23"/>
    <w:rsid w:val="006F5375"/>
    <w:rsid w:val="006F549D"/>
    <w:rsid w:val="00701F42"/>
    <w:rsid w:val="00703602"/>
    <w:rsid w:val="00704995"/>
    <w:rsid w:val="00704F4F"/>
    <w:rsid w:val="007112EC"/>
    <w:rsid w:val="00711DEC"/>
    <w:rsid w:val="007129E4"/>
    <w:rsid w:val="00712DC9"/>
    <w:rsid w:val="007156B3"/>
    <w:rsid w:val="0071748F"/>
    <w:rsid w:val="00721AE0"/>
    <w:rsid w:val="00722529"/>
    <w:rsid w:val="00723716"/>
    <w:rsid w:val="00725FAE"/>
    <w:rsid w:val="00733FC9"/>
    <w:rsid w:val="00735708"/>
    <w:rsid w:val="007363A0"/>
    <w:rsid w:val="00737A31"/>
    <w:rsid w:val="00737EF3"/>
    <w:rsid w:val="007415C3"/>
    <w:rsid w:val="00747FD5"/>
    <w:rsid w:val="00752345"/>
    <w:rsid w:val="00753633"/>
    <w:rsid w:val="00754BF1"/>
    <w:rsid w:val="0076009A"/>
    <w:rsid w:val="00760186"/>
    <w:rsid w:val="00765E5C"/>
    <w:rsid w:val="007719F0"/>
    <w:rsid w:val="00772D3E"/>
    <w:rsid w:val="00777BA4"/>
    <w:rsid w:val="00781793"/>
    <w:rsid w:val="0078401D"/>
    <w:rsid w:val="007844E4"/>
    <w:rsid w:val="00784B06"/>
    <w:rsid w:val="00785A32"/>
    <w:rsid w:val="00787365"/>
    <w:rsid w:val="007918AE"/>
    <w:rsid w:val="0079194B"/>
    <w:rsid w:val="00792C39"/>
    <w:rsid w:val="00793700"/>
    <w:rsid w:val="0079403C"/>
    <w:rsid w:val="00795C17"/>
    <w:rsid w:val="007A00E5"/>
    <w:rsid w:val="007A5388"/>
    <w:rsid w:val="007B1196"/>
    <w:rsid w:val="007B5668"/>
    <w:rsid w:val="007C00DA"/>
    <w:rsid w:val="007C1233"/>
    <w:rsid w:val="007C1A91"/>
    <w:rsid w:val="007C26F3"/>
    <w:rsid w:val="007C3862"/>
    <w:rsid w:val="007C5FC5"/>
    <w:rsid w:val="007C62EC"/>
    <w:rsid w:val="007C641D"/>
    <w:rsid w:val="007D0626"/>
    <w:rsid w:val="007D3080"/>
    <w:rsid w:val="007D4E7A"/>
    <w:rsid w:val="007D59F0"/>
    <w:rsid w:val="007D7C70"/>
    <w:rsid w:val="007E128D"/>
    <w:rsid w:val="007E2566"/>
    <w:rsid w:val="007E2986"/>
    <w:rsid w:val="007E3C37"/>
    <w:rsid w:val="007E440B"/>
    <w:rsid w:val="007E5724"/>
    <w:rsid w:val="007E7094"/>
    <w:rsid w:val="007F0100"/>
    <w:rsid w:val="007F1488"/>
    <w:rsid w:val="007F1F20"/>
    <w:rsid w:val="007F4388"/>
    <w:rsid w:val="0080156B"/>
    <w:rsid w:val="008023FD"/>
    <w:rsid w:val="00802A9F"/>
    <w:rsid w:val="00804770"/>
    <w:rsid w:val="008060CA"/>
    <w:rsid w:val="008113E5"/>
    <w:rsid w:val="00815F0E"/>
    <w:rsid w:val="00816086"/>
    <w:rsid w:val="00821F53"/>
    <w:rsid w:val="008256B1"/>
    <w:rsid w:val="00830646"/>
    <w:rsid w:val="00832B04"/>
    <w:rsid w:val="00833C21"/>
    <w:rsid w:val="0083746B"/>
    <w:rsid w:val="008421A3"/>
    <w:rsid w:val="00850858"/>
    <w:rsid w:val="00857646"/>
    <w:rsid w:val="0085783F"/>
    <w:rsid w:val="00861BD6"/>
    <w:rsid w:val="00861FE5"/>
    <w:rsid w:val="008634A5"/>
    <w:rsid w:val="00864699"/>
    <w:rsid w:val="00866391"/>
    <w:rsid w:val="0086794F"/>
    <w:rsid w:val="008700F2"/>
    <w:rsid w:val="00875435"/>
    <w:rsid w:val="00876610"/>
    <w:rsid w:val="008816C8"/>
    <w:rsid w:val="00882211"/>
    <w:rsid w:val="0088374C"/>
    <w:rsid w:val="008842B6"/>
    <w:rsid w:val="00884D9B"/>
    <w:rsid w:val="0088679A"/>
    <w:rsid w:val="008919E0"/>
    <w:rsid w:val="00897753"/>
    <w:rsid w:val="008A0D04"/>
    <w:rsid w:val="008A1EED"/>
    <w:rsid w:val="008A3C79"/>
    <w:rsid w:val="008B3251"/>
    <w:rsid w:val="008B5765"/>
    <w:rsid w:val="008C194F"/>
    <w:rsid w:val="008C1BE1"/>
    <w:rsid w:val="008C2E2C"/>
    <w:rsid w:val="008C3FE6"/>
    <w:rsid w:val="008C40D9"/>
    <w:rsid w:val="008C5690"/>
    <w:rsid w:val="008C6731"/>
    <w:rsid w:val="008C7B3A"/>
    <w:rsid w:val="008D03A6"/>
    <w:rsid w:val="008D0D7C"/>
    <w:rsid w:val="008D3DB5"/>
    <w:rsid w:val="008E2541"/>
    <w:rsid w:val="008E54E5"/>
    <w:rsid w:val="008E5803"/>
    <w:rsid w:val="008F04D9"/>
    <w:rsid w:val="008F140D"/>
    <w:rsid w:val="008F1899"/>
    <w:rsid w:val="008F3C56"/>
    <w:rsid w:val="008F4994"/>
    <w:rsid w:val="008F562D"/>
    <w:rsid w:val="00900022"/>
    <w:rsid w:val="00907B85"/>
    <w:rsid w:val="00910C25"/>
    <w:rsid w:val="00913155"/>
    <w:rsid w:val="00925AA9"/>
    <w:rsid w:val="00925F9E"/>
    <w:rsid w:val="009269EF"/>
    <w:rsid w:val="00926BC9"/>
    <w:rsid w:val="00931AD8"/>
    <w:rsid w:val="009331A5"/>
    <w:rsid w:val="009335FF"/>
    <w:rsid w:val="00934DD5"/>
    <w:rsid w:val="00941FEC"/>
    <w:rsid w:val="00942F84"/>
    <w:rsid w:val="009437B7"/>
    <w:rsid w:val="0094490D"/>
    <w:rsid w:val="00946272"/>
    <w:rsid w:val="00947652"/>
    <w:rsid w:val="0095124D"/>
    <w:rsid w:val="00953D59"/>
    <w:rsid w:val="00954E37"/>
    <w:rsid w:val="00961651"/>
    <w:rsid w:val="00967FAF"/>
    <w:rsid w:val="00971064"/>
    <w:rsid w:val="00971422"/>
    <w:rsid w:val="00976F2C"/>
    <w:rsid w:val="009771C8"/>
    <w:rsid w:val="00980CD7"/>
    <w:rsid w:val="00981611"/>
    <w:rsid w:val="009826C5"/>
    <w:rsid w:val="00983B9A"/>
    <w:rsid w:val="00984C5A"/>
    <w:rsid w:val="00986C79"/>
    <w:rsid w:val="009877DD"/>
    <w:rsid w:val="009908A3"/>
    <w:rsid w:val="00993BEE"/>
    <w:rsid w:val="009A16D1"/>
    <w:rsid w:val="009A41DE"/>
    <w:rsid w:val="009A491A"/>
    <w:rsid w:val="009A694B"/>
    <w:rsid w:val="009A6C6C"/>
    <w:rsid w:val="009A7F6F"/>
    <w:rsid w:val="009B0673"/>
    <w:rsid w:val="009B1DD9"/>
    <w:rsid w:val="009B2778"/>
    <w:rsid w:val="009B298B"/>
    <w:rsid w:val="009B4089"/>
    <w:rsid w:val="009B4A4F"/>
    <w:rsid w:val="009C0406"/>
    <w:rsid w:val="009C0E4E"/>
    <w:rsid w:val="009C0F56"/>
    <w:rsid w:val="009C4D6A"/>
    <w:rsid w:val="009D0E38"/>
    <w:rsid w:val="009D1C01"/>
    <w:rsid w:val="009D3F8C"/>
    <w:rsid w:val="009D4429"/>
    <w:rsid w:val="009D578C"/>
    <w:rsid w:val="009E2F08"/>
    <w:rsid w:val="009E32D7"/>
    <w:rsid w:val="009E5A36"/>
    <w:rsid w:val="009E73B7"/>
    <w:rsid w:val="009E7738"/>
    <w:rsid w:val="009F0251"/>
    <w:rsid w:val="009F09B2"/>
    <w:rsid w:val="009F2C09"/>
    <w:rsid w:val="009F365F"/>
    <w:rsid w:val="009F61B3"/>
    <w:rsid w:val="00A039AD"/>
    <w:rsid w:val="00A04262"/>
    <w:rsid w:val="00A045C6"/>
    <w:rsid w:val="00A058C8"/>
    <w:rsid w:val="00A10C71"/>
    <w:rsid w:val="00A163E5"/>
    <w:rsid w:val="00A17E3A"/>
    <w:rsid w:val="00A2089D"/>
    <w:rsid w:val="00A209C2"/>
    <w:rsid w:val="00A2165C"/>
    <w:rsid w:val="00A23685"/>
    <w:rsid w:val="00A236FF"/>
    <w:rsid w:val="00A25530"/>
    <w:rsid w:val="00A25DB8"/>
    <w:rsid w:val="00A31891"/>
    <w:rsid w:val="00A34F18"/>
    <w:rsid w:val="00A35A7E"/>
    <w:rsid w:val="00A362D1"/>
    <w:rsid w:val="00A372C3"/>
    <w:rsid w:val="00A379B7"/>
    <w:rsid w:val="00A41B6E"/>
    <w:rsid w:val="00A41DD8"/>
    <w:rsid w:val="00A42C83"/>
    <w:rsid w:val="00A4543F"/>
    <w:rsid w:val="00A455D6"/>
    <w:rsid w:val="00A51FFE"/>
    <w:rsid w:val="00A56BF1"/>
    <w:rsid w:val="00A571B4"/>
    <w:rsid w:val="00A60872"/>
    <w:rsid w:val="00A65389"/>
    <w:rsid w:val="00A66A50"/>
    <w:rsid w:val="00A71BB0"/>
    <w:rsid w:val="00A71CF8"/>
    <w:rsid w:val="00A72B69"/>
    <w:rsid w:val="00A735A3"/>
    <w:rsid w:val="00A739AA"/>
    <w:rsid w:val="00A73A2F"/>
    <w:rsid w:val="00A7694D"/>
    <w:rsid w:val="00A76A6B"/>
    <w:rsid w:val="00A805C9"/>
    <w:rsid w:val="00A86E67"/>
    <w:rsid w:val="00A8749F"/>
    <w:rsid w:val="00A87735"/>
    <w:rsid w:val="00A90071"/>
    <w:rsid w:val="00A91FD5"/>
    <w:rsid w:val="00A946CC"/>
    <w:rsid w:val="00A9586F"/>
    <w:rsid w:val="00AA1D28"/>
    <w:rsid w:val="00AA2C33"/>
    <w:rsid w:val="00AA328D"/>
    <w:rsid w:val="00AA3803"/>
    <w:rsid w:val="00AA5D0A"/>
    <w:rsid w:val="00AA7EE6"/>
    <w:rsid w:val="00AB0034"/>
    <w:rsid w:val="00AB5FB7"/>
    <w:rsid w:val="00AC0367"/>
    <w:rsid w:val="00AC0D09"/>
    <w:rsid w:val="00AC1790"/>
    <w:rsid w:val="00AC2C9F"/>
    <w:rsid w:val="00AD10CC"/>
    <w:rsid w:val="00AD1AED"/>
    <w:rsid w:val="00AD402D"/>
    <w:rsid w:val="00AD4F08"/>
    <w:rsid w:val="00AD5DA2"/>
    <w:rsid w:val="00AD779A"/>
    <w:rsid w:val="00AE28B0"/>
    <w:rsid w:val="00AE3D85"/>
    <w:rsid w:val="00AE65B6"/>
    <w:rsid w:val="00AE7A76"/>
    <w:rsid w:val="00AF169A"/>
    <w:rsid w:val="00AF27DC"/>
    <w:rsid w:val="00AF3F89"/>
    <w:rsid w:val="00AF5586"/>
    <w:rsid w:val="00B0002C"/>
    <w:rsid w:val="00B05C4A"/>
    <w:rsid w:val="00B0602C"/>
    <w:rsid w:val="00B1087D"/>
    <w:rsid w:val="00B1519D"/>
    <w:rsid w:val="00B156D5"/>
    <w:rsid w:val="00B214DB"/>
    <w:rsid w:val="00B234C6"/>
    <w:rsid w:val="00B25A87"/>
    <w:rsid w:val="00B2727C"/>
    <w:rsid w:val="00B32338"/>
    <w:rsid w:val="00B336AC"/>
    <w:rsid w:val="00B3374B"/>
    <w:rsid w:val="00B374FB"/>
    <w:rsid w:val="00B40E84"/>
    <w:rsid w:val="00B42D7B"/>
    <w:rsid w:val="00B45D0E"/>
    <w:rsid w:val="00B45DE2"/>
    <w:rsid w:val="00B46389"/>
    <w:rsid w:val="00B54CD7"/>
    <w:rsid w:val="00B55551"/>
    <w:rsid w:val="00B55FA2"/>
    <w:rsid w:val="00B5650B"/>
    <w:rsid w:val="00B56F07"/>
    <w:rsid w:val="00B61BD0"/>
    <w:rsid w:val="00B63B5E"/>
    <w:rsid w:val="00B63DE3"/>
    <w:rsid w:val="00B647D0"/>
    <w:rsid w:val="00B655EB"/>
    <w:rsid w:val="00B670D0"/>
    <w:rsid w:val="00B726A7"/>
    <w:rsid w:val="00B7545F"/>
    <w:rsid w:val="00B75C77"/>
    <w:rsid w:val="00B77EBA"/>
    <w:rsid w:val="00B80212"/>
    <w:rsid w:val="00B8085C"/>
    <w:rsid w:val="00B82890"/>
    <w:rsid w:val="00B83087"/>
    <w:rsid w:val="00B8362E"/>
    <w:rsid w:val="00B87C15"/>
    <w:rsid w:val="00B91333"/>
    <w:rsid w:val="00B95E85"/>
    <w:rsid w:val="00B96018"/>
    <w:rsid w:val="00B96AEE"/>
    <w:rsid w:val="00BA005D"/>
    <w:rsid w:val="00BA2E70"/>
    <w:rsid w:val="00BA39C8"/>
    <w:rsid w:val="00BA3EAC"/>
    <w:rsid w:val="00BA7DDE"/>
    <w:rsid w:val="00BB3122"/>
    <w:rsid w:val="00BB5CE6"/>
    <w:rsid w:val="00BB63CD"/>
    <w:rsid w:val="00BC07C6"/>
    <w:rsid w:val="00BC4A53"/>
    <w:rsid w:val="00BD0C24"/>
    <w:rsid w:val="00BD1564"/>
    <w:rsid w:val="00BD31C9"/>
    <w:rsid w:val="00BD4C1F"/>
    <w:rsid w:val="00BD5673"/>
    <w:rsid w:val="00BD71FD"/>
    <w:rsid w:val="00BE1714"/>
    <w:rsid w:val="00BE2030"/>
    <w:rsid w:val="00BE3ADA"/>
    <w:rsid w:val="00BE42DC"/>
    <w:rsid w:val="00BE4E2E"/>
    <w:rsid w:val="00BE5163"/>
    <w:rsid w:val="00BF0E10"/>
    <w:rsid w:val="00BF12FE"/>
    <w:rsid w:val="00BF164C"/>
    <w:rsid w:val="00BF1F8A"/>
    <w:rsid w:val="00BF3927"/>
    <w:rsid w:val="00BF3C5F"/>
    <w:rsid w:val="00BF44BF"/>
    <w:rsid w:val="00BF672E"/>
    <w:rsid w:val="00BF6942"/>
    <w:rsid w:val="00BF6955"/>
    <w:rsid w:val="00BF7C67"/>
    <w:rsid w:val="00C05CC0"/>
    <w:rsid w:val="00C11A09"/>
    <w:rsid w:val="00C13ACA"/>
    <w:rsid w:val="00C141B4"/>
    <w:rsid w:val="00C142B9"/>
    <w:rsid w:val="00C14C38"/>
    <w:rsid w:val="00C15C44"/>
    <w:rsid w:val="00C2041A"/>
    <w:rsid w:val="00C2209D"/>
    <w:rsid w:val="00C22380"/>
    <w:rsid w:val="00C24508"/>
    <w:rsid w:val="00C273C8"/>
    <w:rsid w:val="00C27593"/>
    <w:rsid w:val="00C27A41"/>
    <w:rsid w:val="00C37214"/>
    <w:rsid w:val="00C37562"/>
    <w:rsid w:val="00C37A2C"/>
    <w:rsid w:val="00C37AA0"/>
    <w:rsid w:val="00C40C19"/>
    <w:rsid w:val="00C41AD1"/>
    <w:rsid w:val="00C45681"/>
    <w:rsid w:val="00C45D55"/>
    <w:rsid w:val="00C46810"/>
    <w:rsid w:val="00C47C4F"/>
    <w:rsid w:val="00C53986"/>
    <w:rsid w:val="00C5498A"/>
    <w:rsid w:val="00C61EE5"/>
    <w:rsid w:val="00C6268A"/>
    <w:rsid w:val="00C62C29"/>
    <w:rsid w:val="00C655C9"/>
    <w:rsid w:val="00C65E3F"/>
    <w:rsid w:val="00C73CB9"/>
    <w:rsid w:val="00C746E0"/>
    <w:rsid w:val="00C8032E"/>
    <w:rsid w:val="00C82A43"/>
    <w:rsid w:val="00C8439D"/>
    <w:rsid w:val="00C851A4"/>
    <w:rsid w:val="00C85DEB"/>
    <w:rsid w:val="00C8790B"/>
    <w:rsid w:val="00C90E4F"/>
    <w:rsid w:val="00C92EC3"/>
    <w:rsid w:val="00C951B4"/>
    <w:rsid w:val="00C96C1C"/>
    <w:rsid w:val="00CA09A3"/>
    <w:rsid w:val="00CA465B"/>
    <w:rsid w:val="00CA600A"/>
    <w:rsid w:val="00CA715B"/>
    <w:rsid w:val="00CB00B8"/>
    <w:rsid w:val="00CB5BF8"/>
    <w:rsid w:val="00CB75C5"/>
    <w:rsid w:val="00CC0BC6"/>
    <w:rsid w:val="00CC1444"/>
    <w:rsid w:val="00CC2F78"/>
    <w:rsid w:val="00CC417B"/>
    <w:rsid w:val="00CD273B"/>
    <w:rsid w:val="00CD6400"/>
    <w:rsid w:val="00CD7DEA"/>
    <w:rsid w:val="00CE4D3D"/>
    <w:rsid w:val="00CE6073"/>
    <w:rsid w:val="00CE6637"/>
    <w:rsid w:val="00CF330A"/>
    <w:rsid w:val="00CF3D5A"/>
    <w:rsid w:val="00CF3DE7"/>
    <w:rsid w:val="00CF41A2"/>
    <w:rsid w:val="00CF775A"/>
    <w:rsid w:val="00D00E13"/>
    <w:rsid w:val="00D01552"/>
    <w:rsid w:val="00D01BEB"/>
    <w:rsid w:val="00D04359"/>
    <w:rsid w:val="00D04CCB"/>
    <w:rsid w:val="00D05CDB"/>
    <w:rsid w:val="00D10A06"/>
    <w:rsid w:val="00D11867"/>
    <w:rsid w:val="00D11FE9"/>
    <w:rsid w:val="00D160FC"/>
    <w:rsid w:val="00D16A37"/>
    <w:rsid w:val="00D20AD7"/>
    <w:rsid w:val="00D2111B"/>
    <w:rsid w:val="00D21669"/>
    <w:rsid w:val="00D23A51"/>
    <w:rsid w:val="00D2530F"/>
    <w:rsid w:val="00D256BD"/>
    <w:rsid w:val="00D266D1"/>
    <w:rsid w:val="00D27871"/>
    <w:rsid w:val="00D30A83"/>
    <w:rsid w:val="00D327A9"/>
    <w:rsid w:val="00D33933"/>
    <w:rsid w:val="00D4139F"/>
    <w:rsid w:val="00D4515A"/>
    <w:rsid w:val="00D46C20"/>
    <w:rsid w:val="00D527C3"/>
    <w:rsid w:val="00D54C5A"/>
    <w:rsid w:val="00D551C8"/>
    <w:rsid w:val="00D55953"/>
    <w:rsid w:val="00D60456"/>
    <w:rsid w:val="00D60801"/>
    <w:rsid w:val="00D63C3E"/>
    <w:rsid w:val="00D724D1"/>
    <w:rsid w:val="00D756D0"/>
    <w:rsid w:val="00D80405"/>
    <w:rsid w:val="00D83F45"/>
    <w:rsid w:val="00D87171"/>
    <w:rsid w:val="00D87CEA"/>
    <w:rsid w:val="00D9297F"/>
    <w:rsid w:val="00D9351E"/>
    <w:rsid w:val="00D95D88"/>
    <w:rsid w:val="00DA3066"/>
    <w:rsid w:val="00DA55F4"/>
    <w:rsid w:val="00DB09EB"/>
    <w:rsid w:val="00DB0FE0"/>
    <w:rsid w:val="00DB1200"/>
    <w:rsid w:val="00DB2FB3"/>
    <w:rsid w:val="00DB45BE"/>
    <w:rsid w:val="00DB4F4B"/>
    <w:rsid w:val="00DC0523"/>
    <w:rsid w:val="00DC198F"/>
    <w:rsid w:val="00DC260D"/>
    <w:rsid w:val="00DC30DE"/>
    <w:rsid w:val="00DC704E"/>
    <w:rsid w:val="00DC7DED"/>
    <w:rsid w:val="00DD4815"/>
    <w:rsid w:val="00DD5BE0"/>
    <w:rsid w:val="00DD7219"/>
    <w:rsid w:val="00DD7692"/>
    <w:rsid w:val="00DE0452"/>
    <w:rsid w:val="00DE1484"/>
    <w:rsid w:val="00DE3AA0"/>
    <w:rsid w:val="00DE45F7"/>
    <w:rsid w:val="00DE53AD"/>
    <w:rsid w:val="00DE5711"/>
    <w:rsid w:val="00DE75B0"/>
    <w:rsid w:val="00DF0B9B"/>
    <w:rsid w:val="00DF145C"/>
    <w:rsid w:val="00DF2C65"/>
    <w:rsid w:val="00DF3CB3"/>
    <w:rsid w:val="00DF4B6F"/>
    <w:rsid w:val="00DF6A8B"/>
    <w:rsid w:val="00DF6DC8"/>
    <w:rsid w:val="00E00E63"/>
    <w:rsid w:val="00E07851"/>
    <w:rsid w:val="00E1202C"/>
    <w:rsid w:val="00E13795"/>
    <w:rsid w:val="00E16526"/>
    <w:rsid w:val="00E177D8"/>
    <w:rsid w:val="00E20971"/>
    <w:rsid w:val="00E21459"/>
    <w:rsid w:val="00E22457"/>
    <w:rsid w:val="00E228D0"/>
    <w:rsid w:val="00E246D0"/>
    <w:rsid w:val="00E24D3C"/>
    <w:rsid w:val="00E25AC1"/>
    <w:rsid w:val="00E26CCC"/>
    <w:rsid w:val="00E32926"/>
    <w:rsid w:val="00E32B12"/>
    <w:rsid w:val="00E3345A"/>
    <w:rsid w:val="00E3373A"/>
    <w:rsid w:val="00E370B3"/>
    <w:rsid w:val="00E37BCC"/>
    <w:rsid w:val="00E37E6E"/>
    <w:rsid w:val="00E41F95"/>
    <w:rsid w:val="00E46D47"/>
    <w:rsid w:val="00E47DAE"/>
    <w:rsid w:val="00E505BD"/>
    <w:rsid w:val="00E505CE"/>
    <w:rsid w:val="00E50EBC"/>
    <w:rsid w:val="00E54AA0"/>
    <w:rsid w:val="00E560B4"/>
    <w:rsid w:val="00E60205"/>
    <w:rsid w:val="00E61207"/>
    <w:rsid w:val="00E67C0D"/>
    <w:rsid w:val="00E703B5"/>
    <w:rsid w:val="00E71277"/>
    <w:rsid w:val="00E71C6B"/>
    <w:rsid w:val="00E720A0"/>
    <w:rsid w:val="00E74CB6"/>
    <w:rsid w:val="00E754E3"/>
    <w:rsid w:val="00E75A6D"/>
    <w:rsid w:val="00E8696C"/>
    <w:rsid w:val="00E90291"/>
    <w:rsid w:val="00E92651"/>
    <w:rsid w:val="00E94BFC"/>
    <w:rsid w:val="00E94E49"/>
    <w:rsid w:val="00E964B1"/>
    <w:rsid w:val="00EB571B"/>
    <w:rsid w:val="00EB7043"/>
    <w:rsid w:val="00EC5757"/>
    <w:rsid w:val="00EC6E6C"/>
    <w:rsid w:val="00ED0034"/>
    <w:rsid w:val="00ED104C"/>
    <w:rsid w:val="00ED189F"/>
    <w:rsid w:val="00ED436B"/>
    <w:rsid w:val="00ED5612"/>
    <w:rsid w:val="00ED5FF5"/>
    <w:rsid w:val="00EE37C6"/>
    <w:rsid w:val="00EE3BE2"/>
    <w:rsid w:val="00EE40A0"/>
    <w:rsid w:val="00EE446B"/>
    <w:rsid w:val="00EE65FB"/>
    <w:rsid w:val="00EF0F85"/>
    <w:rsid w:val="00EF1446"/>
    <w:rsid w:val="00EF273B"/>
    <w:rsid w:val="00EF2BF6"/>
    <w:rsid w:val="00EF518D"/>
    <w:rsid w:val="00EF6325"/>
    <w:rsid w:val="00EF7B35"/>
    <w:rsid w:val="00F00AEF"/>
    <w:rsid w:val="00F00EE1"/>
    <w:rsid w:val="00F01DBF"/>
    <w:rsid w:val="00F032DD"/>
    <w:rsid w:val="00F06A48"/>
    <w:rsid w:val="00F07E1D"/>
    <w:rsid w:val="00F10D8D"/>
    <w:rsid w:val="00F12803"/>
    <w:rsid w:val="00F177FC"/>
    <w:rsid w:val="00F2264C"/>
    <w:rsid w:val="00F24AD9"/>
    <w:rsid w:val="00F261CA"/>
    <w:rsid w:val="00F26966"/>
    <w:rsid w:val="00F30847"/>
    <w:rsid w:val="00F30D85"/>
    <w:rsid w:val="00F3172D"/>
    <w:rsid w:val="00F33A5D"/>
    <w:rsid w:val="00F37EDE"/>
    <w:rsid w:val="00F508BA"/>
    <w:rsid w:val="00F52072"/>
    <w:rsid w:val="00F528F9"/>
    <w:rsid w:val="00F53CCE"/>
    <w:rsid w:val="00F54997"/>
    <w:rsid w:val="00F55878"/>
    <w:rsid w:val="00F63BBE"/>
    <w:rsid w:val="00F70B67"/>
    <w:rsid w:val="00F728DF"/>
    <w:rsid w:val="00F74211"/>
    <w:rsid w:val="00F83674"/>
    <w:rsid w:val="00F83D2B"/>
    <w:rsid w:val="00F863C5"/>
    <w:rsid w:val="00F87433"/>
    <w:rsid w:val="00F9594E"/>
    <w:rsid w:val="00F95D87"/>
    <w:rsid w:val="00F963A5"/>
    <w:rsid w:val="00FA2835"/>
    <w:rsid w:val="00FA3832"/>
    <w:rsid w:val="00FA5782"/>
    <w:rsid w:val="00FA752D"/>
    <w:rsid w:val="00FB0489"/>
    <w:rsid w:val="00FB13DE"/>
    <w:rsid w:val="00FB2643"/>
    <w:rsid w:val="00FB291A"/>
    <w:rsid w:val="00FC1901"/>
    <w:rsid w:val="00FC5E97"/>
    <w:rsid w:val="00FD251F"/>
    <w:rsid w:val="00FD6614"/>
    <w:rsid w:val="00FD6E35"/>
    <w:rsid w:val="00FD76E5"/>
    <w:rsid w:val="00FE0307"/>
    <w:rsid w:val="00FE099A"/>
    <w:rsid w:val="00FE1454"/>
    <w:rsid w:val="00FE2652"/>
    <w:rsid w:val="00FE39E4"/>
    <w:rsid w:val="00FF1427"/>
    <w:rsid w:val="00FF397C"/>
    <w:rsid w:val="00FF3B95"/>
    <w:rsid w:val="00FF76D8"/>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07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Bullet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2BE"/>
    <w:rPr>
      <w:sz w:val="22"/>
      <w:szCs w:val="24"/>
    </w:rPr>
  </w:style>
  <w:style w:type="paragraph" w:styleId="Rubrik1">
    <w:name w:val="heading 1"/>
    <w:basedOn w:val="Normal"/>
    <w:next w:val="Normal"/>
    <w:link w:val="Rubrik1Char"/>
    <w:qFormat/>
    <w:rsid w:val="00386441"/>
    <w:pPr>
      <w:keepNext/>
      <w:numPr>
        <w:numId w:val="4"/>
      </w:numPr>
      <w:spacing w:before="240" w:after="60"/>
      <w:outlineLvl w:val="0"/>
    </w:pPr>
    <w:rPr>
      <w:rFonts w:cs="Arial"/>
      <w:bCs/>
      <w:kern w:val="32"/>
      <w:sz w:val="34"/>
      <w:szCs w:val="32"/>
    </w:rPr>
  </w:style>
  <w:style w:type="paragraph" w:styleId="Rubrik2">
    <w:name w:val="heading 2"/>
    <w:basedOn w:val="Normal"/>
    <w:next w:val="Normal"/>
    <w:link w:val="Rubrik2Char"/>
    <w:qFormat/>
    <w:rsid w:val="00386441"/>
    <w:pPr>
      <w:keepNext/>
      <w:numPr>
        <w:ilvl w:val="1"/>
        <w:numId w:val="5"/>
      </w:numPr>
      <w:spacing w:before="240" w:after="60"/>
      <w:outlineLvl w:val="1"/>
    </w:pPr>
    <w:rPr>
      <w:rFonts w:cs="Arial"/>
      <w:bCs/>
      <w:iCs/>
      <w:sz w:val="30"/>
      <w:szCs w:val="28"/>
    </w:rPr>
  </w:style>
  <w:style w:type="paragraph" w:styleId="Rubrik3">
    <w:name w:val="heading 3"/>
    <w:basedOn w:val="Normal"/>
    <w:next w:val="Normal"/>
    <w:link w:val="Rubrik3Char"/>
    <w:qFormat/>
    <w:rsid w:val="00386441"/>
    <w:pPr>
      <w:keepNext/>
      <w:numPr>
        <w:ilvl w:val="2"/>
        <w:numId w:val="6"/>
      </w:numPr>
      <w:spacing w:before="240" w:after="60"/>
      <w:outlineLvl w:val="2"/>
    </w:pPr>
    <w:rPr>
      <w:rFonts w:cs="Arial"/>
      <w:bCs/>
      <w:sz w:val="26"/>
      <w:szCs w:val="26"/>
    </w:rPr>
  </w:style>
  <w:style w:type="paragraph" w:styleId="Rubrik4">
    <w:name w:val="heading 4"/>
    <w:basedOn w:val="Normal"/>
    <w:next w:val="Normal"/>
    <w:link w:val="Rubrik4Char"/>
    <w:qFormat/>
    <w:rsid w:val="00386441"/>
    <w:pPr>
      <w:keepNext/>
      <w:numPr>
        <w:ilvl w:val="3"/>
        <w:numId w:val="7"/>
      </w:numPr>
      <w:spacing w:before="240" w:after="60"/>
      <w:outlineLvl w:val="3"/>
    </w:pPr>
    <w:rPr>
      <w:bCs/>
      <w:i/>
      <w:sz w:val="26"/>
      <w:szCs w:val="28"/>
    </w:rPr>
  </w:style>
  <w:style w:type="paragraph" w:styleId="Rubrik5">
    <w:name w:val="heading 5"/>
    <w:basedOn w:val="Normal"/>
    <w:next w:val="Normal"/>
    <w:qFormat/>
    <w:rsid w:val="00A805C9"/>
    <w:pPr>
      <w:numPr>
        <w:ilvl w:val="4"/>
        <w:numId w:val="8"/>
      </w:numPr>
      <w:spacing w:before="240" w:after="60"/>
      <w:outlineLvl w:val="4"/>
    </w:pPr>
    <w:rPr>
      <w:bCs/>
      <w:i/>
      <w:iCs/>
      <w:sz w:val="26"/>
      <w:szCs w:val="26"/>
    </w:rPr>
  </w:style>
  <w:style w:type="paragraph" w:styleId="Rubrik6">
    <w:name w:val="heading 6"/>
    <w:basedOn w:val="Normal"/>
    <w:next w:val="Normal"/>
    <w:qFormat/>
    <w:pPr>
      <w:numPr>
        <w:ilvl w:val="5"/>
        <w:numId w:val="9"/>
      </w:numPr>
      <w:spacing w:before="240" w:after="60"/>
      <w:outlineLvl w:val="5"/>
    </w:pPr>
    <w:rPr>
      <w:b/>
      <w:bCs/>
      <w:szCs w:val="22"/>
    </w:rPr>
  </w:style>
  <w:style w:type="paragraph" w:styleId="Rubrik7">
    <w:name w:val="heading 7"/>
    <w:basedOn w:val="Normal"/>
    <w:next w:val="Normal"/>
    <w:qFormat/>
    <w:pPr>
      <w:numPr>
        <w:ilvl w:val="6"/>
        <w:numId w:val="10"/>
      </w:numPr>
      <w:spacing w:before="240" w:after="60"/>
      <w:outlineLvl w:val="6"/>
    </w:pPr>
  </w:style>
  <w:style w:type="paragraph" w:styleId="Rubrik8">
    <w:name w:val="heading 8"/>
    <w:basedOn w:val="Normal"/>
    <w:next w:val="Normal"/>
    <w:qFormat/>
    <w:pPr>
      <w:numPr>
        <w:ilvl w:val="7"/>
        <w:numId w:val="11"/>
      </w:numPr>
      <w:spacing w:before="240" w:after="60"/>
      <w:outlineLvl w:val="7"/>
    </w:pPr>
    <w:rPr>
      <w:i/>
      <w:iCs/>
    </w:rPr>
  </w:style>
  <w:style w:type="paragraph" w:styleId="Rubrik9">
    <w:name w:val="heading 9"/>
    <w:basedOn w:val="Normal"/>
    <w:next w:val="Normal"/>
    <w:qFormat/>
    <w:pPr>
      <w:numPr>
        <w:ilvl w:val="8"/>
        <w:numId w:val="12"/>
      </w:numPr>
      <w:spacing w:before="240" w:after="60"/>
      <w:outlineLvl w:val="8"/>
    </w:pPr>
    <w:rPr>
      <w:rFonts w:ascii="Arial" w:hAnsi="Arial" w:cs="Arial"/>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sid w:val="00386441"/>
    <w:rPr>
      <w:rFonts w:cs="Arial"/>
      <w:bCs/>
      <w:kern w:val="32"/>
      <w:sz w:val="34"/>
      <w:szCs w:val="32"/>
      <w:lang w:val="sv-SE" w:eastAsia="sv-SE"/>
    </w:rPr>
  </w:style>
  <w:style w:type="character" w:customStyle="1" w:styleId="Rubrik2Char">
    <w:name w:val="Rubrik 2 Char"/>
    <w:link w:val="Rubrik2"/>
    <w:rsid w:val="00386441"/>
    <w:rPr>
      <w:rFonts w:cs="Arial"/>
      <w:bCs/>
      <w:iCs/>
      <w:sz w:val="30"/>
      <w:szCs w:val="28"/>
      <w:lang w:val="sv-SE" w:eastAsia="sv-SE"/>
    </w:rPr>
  </w:style>
  <w:style w:type="character" w:customStyle="1" w:styleId="Rubrik3Char">
    <w:name w:val="Rubrik 3 Char"/>
    <w:link w:val="Rubrik3"/>
    <w:rsid w:val="00386441"/>
    <w:rPr>
      <w:rFonts w:cs="Arial"/>
      <w:bCs/>
      <w:sz w:val="26"/>
      <w:szCs w:val="26"/>
      <w:lang w:val="sv-SE" w:eastAsia="sv-SE"/>
    </w:rPr>
  </w:style>
  <w:style w:type="character" w:customStyle="1" w:styleId="Rubrik4Char">
    <w:name w:val="Rubrik 4 Char"/>
    <w:link w:val="Rubrik4"/>
    <w:rsid w:val="00386441"/>
    <w:rPr>
      <w:bCs/>
      <w:i/>
      <w:sz w:val="26"/>
      <w:szCs w:val="28"/>
      <w:lang w:val="sv-SE" w:eastAsia="sv-SE"/>
    </w:rPr>
  </w:style>
  <w:style w:type="character" w:styleId="Hyperlnk">
    <w:name w:val="Hyperlink"/>
    <w:uiPriority w:val="99"/>
    <w:rPr>
      <w:dstrike w:val="0"/>
      <w:color w:val="0000FF"/>
      <w:u w:val="none"/>
      <w:effect w:val="none"/>
    </w:rPr>
  </w:style>
  <w:style w:type="paragraph" w:styleId="Punktlista3">
    <w:name w:val="List Bullet 3"/>
    <w:basedOn w:val="Normal"/>
    <w:autoRedefine/>
    <w:semiHidden/>
    <w:pPr>
      <w:numPr>
        <w:numId w:val="1"/>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link w:val="SidhuvudChar"/>
    <w:uiPriority w:val="99"/>
    <w:pPr>
      <w:tabs>
        <w:tab w:val="right" w:pos="8732"/>
      </w:tabs>
    </w:pPr>
    <w:rPr>
      <w:rFonts w:ascii="Arial" w:hAnsi="Arial" w:cs="Arial"/>
      <w:sz w:val="16"/>
    </w:rPr>
  </w:style>
  <w:style w:type="character" w:customStyle="1" w:styleId="SidhuvudChar">
    <w:name w:val="Sidhuvud Char"/>
    <w:link w:val="Sidhuvud"/>
    <w:uiPriority w:val="99"/>
    <w:rsid w:val="004406DE"/>
    <w:rPr>
      <w:rFonts w:ascii="Arial" w:hAnsi="Arial" w:cs="Arial"/>
      <w:sz w:val="16"/>
      <w:szCs w:val="24"/>
      <w:lang w:val="sv-SE" w:eastAsia="sv-SE"/>
    </w:rPr>
  </w:style>
  <w:style w:type="paragraph" w:styleId="Sidfot">
    <w:name w:val="footer"/>
    <w:basedOn w:val="Normal"/>
    <w:link w:val="SidfotChar"/>
    <w:pPr>
      <w:tabs>
        <w:tab w:val="right" w:pos="8165"/>
      </w:tabs>
    </w:pPr>
    <w:rPr>
      <w:rFonts w:ascii="Verdana" w:hAnsi="Verdana" w:cs="Arial"/>
      <w:sz w:val="14"/>
    </w:rPr>
  </w:style>
  <w:style w:type="character" w:customStyle="1" w:styleId="SidfotChar">
    <w:name w:val="Sidfot Char"/>
    <w:link w:val="Sidfot"/>
    <w:rsid w:val="004406DE"/>
    <w:rPr>
      <w:rFonts w:ascii="Verdana" w:hAnsi="Verdana" w:cs="Arial"/>
      <w:sz w:val="14"/>
      <w:szCs w:val="24"/>
      <w:lang w:val="sv-SE" w:eastAsia="sv-SE"/>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pPr>
    <w:rPr>
      <w:sz w:val="22"/>
    </w:rPr>
  </w:style>
  <w:style w:type="paragraph" w:customStyle="1" w:styleId="xLedtext">
    <w:name w:val="xLedtext"/>
    <w:rPr>
      <w:rFonts w:ascii="Verdana" w:hAnsi="Verdana" w:cs="Arial"/>
      <w:sz w:val="14"/>
      <w:szCs w:val="15"/>
    </w:rPr>
  </w:style>
  <w:style w:type="paragraph" w:customStyle="1" w:styleId="xDatum1">
    <w:name w:val="xDatum1"/>
    <w:basedOn w:val="xCelltext"/>
  </w:style>
  <w:style w:type="paragraph" w:customStyle="1" w:styleId="xCelltext">
    <w:name w:val="xCelltext"/>
    <w:rPr>
      <w:rFonts w:ascii="Arial" w:hAnsi="Arial"/>
      <w:sz w:val="18"/>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qFormat/>
    <w:pPr>
      <w:widowControl w:val="0"/>
      <w:tabs>
        <w:tab w:val="right" w:leader="dot" w:pos="6691"/>
      </w:tabs>
      <w:ind w:right="284"/>
    </w:pPr>
    <w:rPr>
      <w:rFonts w:ascii="Verdana" w:hAnsi="Verdana"/>
      <w:noProof/>
      <w:sz w:val="16"/>
      <w:szCs w:val="36"/>
    </w:rPr>
  </w:style>
  <w:style w:type="paragraph" w:styleId="Innehll2">
    <w:name w:val="toc 2"/>
    <w:basedOn w:val="Innehll1"/>
    <w:next w:val="Normal"/>
    <w:autoRedefine/>
    <w:uiPriority w:val="39"/>
    <w:qFormat/>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rPr>
  </w:style>
  <w:style w:type="paragraph" w:customStyle="1" w:styleId="Rubrikmellanrum">
    <w:name w:val="Rubrikmellanrum"/>
    <w:basedOn w:val="ANormal"/>
    <w:next w:val="ANormal"/>
    <w:pPr>
      <w:keepNext/>
    </w:pPr>
    <w:rPr>
      <w:sz w:val="10"/>
    </w:rPr>
  </w:style>
  <w:style w:type="character" w:styleId="Sidnummer">
    <w:name w:val="page number"/>
    <w:semiHidden/>
    <w:rPr>
      <w:rFonts w:ascii="Verdana" w:hAnsi="Verdana"/>
    </w:rPr>
  </w:style>
  <w:style w:type="paragraph" w:customStyle="1" w:styleId="xMottagare1">
    <w:name w:val="xMottagare1"/>
    <w:basedOn w:val="xCelltext"/>
    <w:next w:val="xMottagare2"/>
    <w:rPr>
      <w:rFonts w:cs="Arial"/>
      <w:b/>
      <w:bCs/>
      <w:sz w:val="20"/>
    </w:r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customStyle="1" w:styleId="ArendeOverRubrik">
    <w:name w:val="ArendeOverRubrik"/>
    <w:next w:val="Normal"/>
    <w:pPr>
      <w:suppressAutoHyphens/>
    </w:pPr>
    <w:rPr>
      <w:rFonts w:ascii="Arial" w:hAnsi="Arial"/>
      <w:bCs/>
      <w:sz w:val="22"/>
    </w:rPr>
  </w:style>
  <w:style w:type="paragraph" w:customStyle="1" w:styleId="ArendeRubrik">
    <w:name w:val="ArendeRubrik"/>
    <w:next w:val="ArendeUnderRubrik"/>
    <w:pPr>
      <w:suppressAutoHyphens/>
    </w:pPr>
    <w:rPr>
      <w:rFonts w:ascii="Arial" w:hAnsi="Arial" w:cs="Arial"/>
      <w:b/>
      <w:bCs/>
      <w:sz w:val="26"/>
    </w:rPr>
  </w:style>
  <w:style w:type="paragraph" w:customStyle="1" w:styleId="ArendeUnderRubrik">
    <w:name w:val="ArendeUnderRubrik"/>
    <w:pPr>
      <w:numPr>
        <w:numId w:val="2"/>
      </w:numPr>
      <w:suppressAutoHyphens/>
    </w:pPr>
    <w:rPr>
      <w:rFonts w:ascii="Verdana" w:hAnsi="Verdana" w:cs="Arial"/>
      <w:sz w:val="16"/>
    </w:rPr>
  </w:style>
  <w:style w:type="paragraph" w:customStyle="1" w:styleId="xMellanrum">
    <w:name w:val="xMellanrum"/>
    <w:basedOn w:val="xCelltext"/>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pPr>
      <w:numPr>
        <w:numId w:val="3"/>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uiPriority w:val="39"/>
    <w:qFormat/>
    <w:pPr>
      <w:ind w:left="374"/>
    </w:pPr>
  </w:style>
  <w:style w:type="paragraph" w:styleId="Innehll4">
    <w:name w:val="toc 4"/>
    <w:basedOn w:val="Innehll1"/>
    <w:next w:val="Normal"/>
    <w:autoRedefine/>
    <w:uiPriority w:val="39"/>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9"/>
    </w:pPr>
    <w:rPr>
      <w:bCs w:val="0"/>
      <w:sz w:val="22"/>
    </w:rPr>
  </w:style>
  <w:style w:type="paragraph" w:customStyle="1" w:styleId="LagParagraf">
    <w:name w:val="LagParagraf"/>
    <w:basedOn w:val="LagKapitel"/>
    <w:next w:val="LagPararubrik"/>
    <w:rPr>
      <w:b w:val="0"/>
    </w:rPr>
  </w:style>
  <w:style w:type="paragraph" w:customStyle="1" w:styleId="LagPararubrik">
    <w:name w:val="LagPararubrik"/>
    <w:basedOn w:val="LagKapitel"/>
    <w:next w:val="ANormal"/>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rPr>
  </w:style>
  <w:style w:type="paragraph" w:customStyle="1" w:styleId="xAdressfot">
    <w:name w:val="xAdressfot"/>
    <w:basedOn w:val="Sidfot"/>
    <w:pPr>
      <w:tabs>
        <w:tab w:val="clear" w:pos="8165"/>
        <w:tab w:val="left" w:pos="2608"/>
        <w:tab w:val="left" w:pos="5216"/>
        <w:tab w:val="left" w:pos="7825"/>
      </w:tabs>
    </w:pPr>
  </w:style>
  <w:style w:type="paragraph" w:customStyle="1" w:styleId="Brdtext21">
    <w:name w:val="Brödtext 21"/>
    <w:basedOn w:val="Normal"/>
    <w:pPr>
      <w:widowControl w:val="0"/>
      <w:overflowPunct w:val="0"/>
      <w:autoSpaceDE w:val="0"/>
      <w:autoSpaceDN w:val="0"/>
      <w:adjustRightInd w:val="0"/>
      <w:jc w:val="both"/>
      <w:textAlignment w:val="baseline"/>
    </w:pPr>
    <w:rPr>
      <w:szCs w:val="20"/>
    </w:rPr>
  </w:style>
  <w:style w:type="paragraph" w:styleId="Punktlista">
    <w:name w:val="List Bullet"/>
    <w:basedOn w:val="ANormal"/>
    <w:autoRedefine/>
    <w:semiHidden/>
    <w:pPr>
      <w:numPr>
        <w:numId w:val="13"/>
      </w:numPr>
    </w:pPr>
  </w:style>
  <w:style w:type="character" w:customStyle="1" w:styleId="BallongtextChar">
    <w:name w:val="Ballongtext Char"/>
    <w:link w:val="Ballongtext"/>
    <w:uiPriority w:val="99"/>
    <w:semiHidden/>
    <w:rsid w:val="004406DE"/>
    <w:rPr>
      <w:rFonts w:ascii="Tahoma" w:hAnsi="Tahoma" w:cs="Tahoma"/>
      <w:sz w:val="16"/>
      <w:szCs w:val="16"/>
      <w:lang w:val="sv-SE" w:eastAsia="sv-SE"/>
    </w:rPr>
  </w:style>
  <w:style w:type="paragraph" w:styleId="Ballongtext">
    <w:name w:val="Balloon Text"/>
    <w:basedOn w:val="Normal"/>
    <w:link w:val="BallongtextChar"/>
    <w:uiPriority w:val="99"/>
    <w:semiHidden/>
    <w:unhideWhenUsed/>
    <w:rsid w:val="004406DE"/>
    <w:pPr>
      <w:jc w:val="both"/>
    </w:pPr>
    <w:rPr>
      <w:rFonts w:ascii="Tahoma" w:hAnsi="Tahoma" w:cs="Tahoma"/>
      <w:sz w:val="16"/>
      <w:szCs w:val="16"/>
    </w:rPr>
  </w:style>
  <w:style w:type="character" w:customStyle="1" w:styleId="KommentarerChar">
    <w:name w:val="Kommentarer Char"/>
    <w:link w:val="Kommentarer"/>
    <w:uiPriority w:val="99"/>
    <w:semiHidden/>
    <w:rsid w:val="004406DE"/>
    <w:rPr>
      <w:lang w:val="sv-SE" w:eastAsia="sv-SE"/>
    </w:rPr>
  </w:style>
  <w:style w:type="paragraph" w:styleId="Kommentarer">
    <w:name w:val="annotation text"/>
    <w:basedOn w:val="Normal"/>
    <w:link w:val="KommentarerChar"/>
    <w:uiPriority w:val="99"/>
    <w:semiHidden/>
    <w:unhideWhenUsed/>
    <w:rsid w:val="004406DE"/>
    <w:pPr>
      <w:jc w:val="both"/>
    </w:pPr>
    <w:rPr>
      <w:sz w:val="20"/>
      <w:szCs w:val="20"/>
    </w:rPr>
  </w:style>
  <w:style w:type="paragraph" w:styleId="Innehllsfrteckningsrubrik">
    <w:name w:val="TOC Heading"/>
    <w:basedOn w:val="Rubrik1"/>
    <w:next w:val="Normal"/>
    <w:uiPriority w:val="39"/>
    <w:semiHidden/>
    <w:unhideWhenUsed/>
    <w:qFormat/>
    <w:rsid w:val="0040709D"/>
    <w:pPr>
      <w:keepLines/>
      <w:numPr>
        <w:numId w:val="0"/>
      </w:numPr>
      <w:spacing w:before="480" w:after="0" w:line="276" w:lineRule="auto"/>
      <w:outlineLvl w:val="9"/>
    </w:pPr>
    <w:rPr>
      <w:rFonts w:ascii="Cambria" w:hAnsi="Cambria" w:cs="Times New Roman"/>
      <w:b/>
      <w:color w:val="365F91"/>
      <w:kern w:val="0"/>
      <w:sz w:val="28"/>
      <w:szCs w:val="28"/>
      <w:lang w:val="sv-FI" w:eastAsia="sv-FI"/>
    </w:rPr>
  </w:style>
  <w:style w:type="character" w:styleId="Betoning">
    <w:name w:val="Emphasis"/>
    <w:uiPriority w:val="20"/>
    <w:qFormat/>
    <w:rsid w:val="00681457"/>
    <w:rPr>
      <w:i/>
      <w:iCs/>
    </w:rPr>
  </w:style>
  <w:style w:type="character" w:styleId="Stark">
    <w:name w:val="Strong"/>
    <w:uiPriority w:val="22"/>
    <w:qFormat/>
    <w:rsid w:val="00231312"/>
    <w:rPr>
      <w:b/>
      <w:bCs/>
    </w:rPr>
  </w:style>
  <w:style w:type="paragraph" w:styleId="Liststycke">
    <w:name w:val="List Paragraph"/>
    <w:basedOn w:val="Normal"/>
    <w:uiPriority w:val="34"/>
    <w:qFormat/>
    <w:rsid w:val="00B46389"/>
    <w:pPr>
      <w:spacing w:after="200" w:line="276" w:lineRule="auto"/>
      <w:ind w:left="720"/>
      <w:contextualSpacing/>
    </w:pPr>
    <w:rPr>
      <w:rFonts w:ascii="Calibri" w:eastAsia="Calibri" w:hAnsi="Calibri"/>
      <w:szCs w:val="22"/>
      <w:lang w:eastAsia="en-US"/>
    </w:rPr>
  </w:style>
  <w:style w:type="character" w:styleId="Kommentarsreferens">
    <w:name w:val="annotation reference"/>
    <w:basedOn w:val="Standardstycketeckensnitt"/>
    <w:uiPriority w:val="99"/>
    <w:semiHidden/>
    <w:unhideWhenUsed/>
    <w:rsid w:val="000925B8"/>
    <w:rPr>
      <w:sz w:val="16"/>
      <w:szCs w:val="16"/>
    </w:rPr>
  </w:style>
  <w:style w:type="paragraph" w:styleId="Kommentarsmne">
    <w:name w:val="annotation subject"/>
    <w:basedOn w:val="Kommentarer"/>
    <w:next w:val="Kommentarer"/>
    <w:link w:val="KommentarsmneChar"/>
    <w:uiPriority w:val="99"/>
    <w:semiHidden/>
    <w:unhideWhenUsed/>
    <w:rsid w:val="000925B8"/>
    <w:pPr>
      <w:jc w:val="left"/>
    </w:pPr>
    <w:rPr>
      <w:b/>
      <w:bCs/>
    </w:rPr>
  </w:style>
  <w:style w:type="character" w:customStyle="1" w:styleId="KommentarsmneChar">
    <w:name w:val="Kommentarsämne Char"/>
    <w:basedOn w:val="KommentarerChar"/>
    <w:link w:val="Kommentarsmne"/>
    <w:uiPriority w:val="99"/>
    <w:semiHidden/>
    <w:rsid w:val="000925B8"/>
    <w:rPr>
      <w:b/>
      <w:bCs/>
      <w:lang w:val="sv-SE" w:eastAsia="sv-SE"/>
    </w:rPr>
  </w:style>
  <w:style w:type="paragraph" w:styleId="Ingetavstnd">
    <w:name w:val="No Spacing"/>
    <w:uiPriority w:val="1"/>
    <w:qFormat/>
    <w:rsid w:val="00AC0D09"/>
    <w:rPr>
      <w:rFonts w:ascii="Calibri" w:eastAsia="Calibri" w:hAnsi="Calibri"/>
      <w:sz w:val="22"/>
      <w:szCs w:val="22"/>
      <w:lang w:eastAsia="en-US"/>
    </w:rPr>
  </w:style>
  <w:style w:type="character" w:customStyle="1" w:styleId="hyphen">
    <w:name w:val="hyphen"/>
    <w:rsid w:val="006F4B23"/>
  </w:style>
  <w:style w:type="paragraph" w:styleId="Normalwebb">
    <w:name w:val="Normal (Web)"/>
    <w:basedOn w:val="Normal"/>
    <w:uiPriority w:val="99"/>
    <w:unhideWhenUsed/>
    <w:rsid w:val="00177443"/>
    <w:pPr>
      <w:spacing w:before="100" w:beforeAutospacing="1" w:after="100" w:afterAutospacing="1"/>
    </w:pPr>
    <w:rPr>
      <w:sz w:val="24"/>
      <w:lang w:val="sv-FI" w:eastAsia="sv-FI"/>
    </w:rPr>
  </w:style>
  <w:style w:type="paragraph" w:customStyle="1" w:styleId="Default">
    <w:name w:val="Default"/>
    <w:rsid w:val="00B63B5E"/>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60281F"/>
    <w:rPr>
      <w:sz w:val="22"/>
      <w:szCs w:val="24"/>
    </w:rPr>
  </w:style>
  <w:style w:type="paragraph" w:styleId="Fotnotstext">
    <w:name w:val="footnote text"/>
    <w:basedOn w:val="Normal"/>
    <w:link w:val="FotnotstextChar"/>
    <w:uiPriority w:val="99"/>
    <w:semiHidden/>
    <w:unhideWhenUsed/>
    <w:rsid w:val="00613508"/>
    <w:rPr>
      <w:sz w:val="20"/>
      <w:szCs w:val="20"/>
    </w:rPr>
  </w:style>
  <w:style w:type="character" w:customStyle="1" w:styleId="FotnotstextChar">
    <w:name w:val="Fotnotstext Char"/>
    <w:basedOn w:val="Standardstycketeckensnitt"/>
    <w:link w:val="Fotnotstext"/>
    <w:uiPriority w:val="99"/>
    <w:semiHidden/>
    <w:rsid w:val="00613508"/>
  </w:style>
  <w:style w:type="character" w:styleId="Fotnotsreferens">
    <w:name w:val="footnote reference"/>
    <w:basedOn w:val="Standardstycketeckensnitt"/>
    <w:uiPriority w:val="99"/>
    <w:semiHidden/>
    <w:unhideWhenUsed/>
    <w:rsid w:val="0061350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FI" w:eastAsia="sv-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26303">
      <w:bodyDiv w:val="1"/>
      <w:marLeft w:val="0"/>
      <w:marRight w:val="0"/>
      <w:marTop w:val="0"/>
      <w:marBottom w:val="0"/>
      <w:divBdr>
        <w:top w:val="none" w:sz="0" w:space="0" w:color="auto"/>
        <w:left w:val="none" w:sz="0" w:space="0" w:color="auto"/>
        <w:bottom w:val="none" w:sz="0" w:space="0" w:color="auto"/>
        <w:right w:val="none" w:sz="0" w:space="0" w:color="auto"/>
      </w:divBdr>
      <w:divsChild>
        <w:div w:id="1511751402">
          <w:marLeft w:val="0"/>
          <w:marRight w:val="0"/>
          <w:marTop w:val="0"/>
          <w:marBottom w:val="0"/>
          <w:divBdr>
            <w:top w:val="none" w:sz="0" w:space="0" w:color="auto"/>
            <w:left w:val="none" w:sz="0" w:space="0" w:color="auto"/>
            <w:bottom w:val="none" w:sz="0" w:space="0" w:color="auto"/>
            <w:right w:val="none" w:sz="0" w:space="0" w:color="auto"/>
          </w:divBdr>
          <w:divsChild>
            <w:div w:id="196060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55219">
      <w:bodyDiv w:val="1"/>
      <w:marLeft w:val="60"/>
      <w:marRight w:val="60"/>
      <w:marTop w:val="60"/>
      <w:marBottom w:val="15"/>
      <w:divBdr>
        <w:top w:val="none" w:sz="0" w:space="0" w:color="auto"/>
        <w:left w:val="none" w:sz="0" w:space="0" w:color="auto"/>
        <w:bottom w:val="none" w:sz="0" w:space="0" w:color="auto"/>
        <w:right w:val="none" w:sz="0" w:space="0" w:color="auto"/>
      </w:divBdr>
      <w:divsChild>
        <w:div w:id="131219594">
          <w:marLeft w:val="0"/>
          <w:marRight w:val="0"/>
          <w:marTop w:val="0"/>
          <w:marBottom w:val="0"/>
          <w:divBdr>
            <w:top w:val="none" w:sz="0" w:space="0" w:color="auto"/>
            <w:left w:val="none" w:sz="0" w:space="0" w:color="auto"/>
            <w:bottom w:val="none" w:sz="0" w:space="0" w:color="auto"/>
            <w:right w:val="none" w:sz="0" w:space="0" w:color="auto"/>
          </w:divBdr>
        </w:div>
      </w:divsChild>
    </w:div>
    <w:div w:id="210312140">
      <w:bodyDiv w:val="1"/>
      <w:marLeft w:val="60"/>
      <w:marRight w:val="60"/>
      <w:marTop w:val="60"/>
      <w:marBottom w:val="15"/>
      <w:divBdr>
        <w:top w:val="none" w:sz="0" w:space="0" w:color="auto"/>
        <w:left w:val="none" w:sz="0" w:space="0" w:color="auto"/>
        <w:bottom w:val="none" w:sz="0" w:space="0" w:color="auto"/>
        <w:right w:val="none" w:sz="0" w:space="0" w:color="auto"/>
      </w:divBdr>
      <w:divsChild>
        <w:div w:id="1355108611">
          <w:marLeft w:val="0"/>
          <w:marRight w:val="0"/>
          <w:marTop w:val="0"/>
          <w:marBottom w:val="0"/>
          <w:divBdr>
            <w:top w:val="none" w:sz="0" w:space="0" w:color="auto"/>
            <w:left w:val="none" w:sz="0" w:space="0" w:color="auto"/>
            <w:bottom w:val="none" w:sz="0" w:space="0" w:color="auto"/>
            <w:right w:val="none" w:sz="0" w:space="0" w:color="auto"/>
          </w:divBdr>
        </w:div>
        <w:div w:id="110979505">
          <w:marLeft w:val="0"/>
          <w:marRight w:val="0"/>
          <w:marTop w:val="0"/>
          <w:marBottom w:val="0"/>
          <w:divBdr>
            <w:top w:val="none" w:sz="0" w:space="0" w:color="auto"/>
            <w:left w:val="none" w:sz="0" w:space="0" w:color="auto"/>
            <w:bottom w:val="none" w:sz="0" w:space="0" w:color="auto"/>
            <w:right w:val="none" w:sz="0" w:space="0" w:color="auto"/>
          </w:divBdr>
        </w:div>
        <w:div w:id="1236630461">
          <w:marLeft w:val="0"/>
          <w:marRight w:val="0"/>
          <w:marTop w:val="0"/>
          <w:marBottom w:val="0"/>
          <w:divBdr>
            <w:top w:val="none" w:sz="0" w:space="0" w:color="auto"/>
            <w:left w:val="none" w:sz="0" w:space="0" w:color="auto"/>
            <w:bottom w:val="none" w:sz="0" w:space="0" w:color="auto"/>
            <w:right w:val="none" w:sz="0" w:space="0" w:color="auto"/>
          </w:divBdr>
        </w:div>
        <w:div w:id="1068187276">
          <w:marLeft w:val="0"/>
          <w:marRight w:val="0"/>
          <w:marTop w:val="0"/>
          <w:marBottom w:val="0"/>
          <w:divBdr>
            <w:top w:val="none" w:sz="0" w:space="0" w:color="auto"/>
            <w:left w:val="none" w:sz="0" w:space="0" w:color="auto"/>
            <w:bottom w:val="none" w:sz="0" w:space="0" w:color="auto"/>
            <w:right w:val="none" w:sz="0" w:space="0" w:color="auto"/>
          </w:divBdr>
        </w:div>
      </w:divsChild>
    </w:div>
    <w:div w:id="254486712">
      <w:bodyDiv w:val="1"/>
      <w:marLeft w:val="0"/>
      <w:marRight w:val="0"/>
      <w:marTop w:val="0"/>
      <w:marBottom w:val="0"/>
      <w:divBdr>
        <w:top w:val="none" w:sz="0" w:space="0" w:color="auto"/>
        <w:left w:val="none" w:sz="0" w:space="0" w:color="auto"/>
        <w:bottom w:val="none" w:sz="0" w:space="0" w:color="auto"/>
        <w:right w:val="none" w:sz="0" w:space="0" w:color="auto"/>
      </w:divBdr>
      <w:divsChild>
        <w:div w:id="1366255430">
          <w:marLeft w:val="0"/>
          <w:marRight w:val="0"/>
          <w:marTop w:val="0"/>
          <w:marBottom w:val="0"/>
          <w:divBdr>
            <w:top w:val="none" w:sz="0" w:space="0" w:color="auto"/>
            <w:left w:val="none" w:sz="0" w:space="0" w:color="auto"/>
            <w:bottom w:val="none" w:sz="0" w:space="0" w:color="auto"/>
            <w:right w:val="none" w:sz="0" w:space="0" w:color="auto"/>
          </w:divBdr>
          <w:divsChild>
            <w:div w:id="1297107858">
              <w:marLeft w:val="0"/>
              <w:marRight w:val="0"/>
              <w:marTop w:val="0"/>
              <w:marBottom w:val="0"/>
              <w:divBdr>
                <w:top w:val="none" w:sz="0" w:space="0" w:color="auto"/>
                <w:left w:val="single" w:sz="6" w:space="0" w:color="065194"/>
                <w:bottom w:val="none" w:sz="0" w:space="0" w:color="auto"/>
                <w:right w:val="single" w:sz="6" w:space="0" w:color="065194"/>
              </w:divBdr>
              <w:divsChild>
                <w:div w:id="148836438">
                  <w:marLeft w:val="0"/>
                  <w:marRight w:val="0"/>
                  <w:marTop w:val="0"/>
                  <w:marBottom w:val="0"/>
                  <w:divBdr>
                    <w:top w:val="single" w:sz="6" w:space="0" w:color="B1B6B2"/>
                    <w:left w:val="single" w:sz="6" w:space="0" w:color="B1B6B2"/>
                    <w:bottom w:val="none" w:sz="0" w:space="0" w:color="auto"/>
                    <w:right w:val="single" w:sz="6" w:space="0" w:color="B1B6B2"/>
                  </w:divBdr>
                  <w:divsChild>
                    <w:div w:id="740182358">
                      <w:marLeft w:val="0"/>
                      <w:marRight w:val="-3675"/>
                      <w:marTop w:val="0"/>
                      <w:marBottom w:val="0"/>
                      <w:divBdr>
                        <w:top w:val="none" w:sz="0" w:space="0" w:color="auto"/>
                        <w:left w:val="none" w:sz="0" w:space="0" w:color="auto"/>
                        <w:bottom w:val="none" w:sz="0" w:space="0" w:color="auto"/>
                        <w:right w:val="none" w:sz="0" w:space="0" w:color="auto"/>
                      </w:divBdr>
                      <w:divsChild>
                        <w:div w:id="943342684">
                          <w:marLeft w:val="0"/>
                          <w:marRight w:val="3675"/>
                          <w:marTop w:val="0"/>
                          <w:marBottom w:val="0"/>
                          <w:divBdr>
                            <w:top w:val="none" w:sz="0" w:space="0" w:color="auto"/>
                            <w:left w:val="none" w:sz="0" w:space="0" w:color="auto"/>
                            <w:bottom w:val="none" w:sz="0" w:space="0" w:color="auto"/>
                            <w:right w:val="none" w:sz="0" w:space="0" w:color="auto"/>
                          </w:divBdr>
                          <w:divsChild>
                            <w:div w:id="1608465747">
                              <w:marLeft w:val="0"/>
                              <w:marRight w:val="0"/>
                              <w:marTop w:val="0"/>
                              <w:marBottom w:val="0"/>
                              <w:divBdr>
                                <w:top w:val="none" w:sz="0" w:space="0" w:color="auto"/>
                                <w:left w:val="none" w:sz="0" w:space="0" w:color="auto"/>
                                <w:bottom w:val="none" w:sz="0" w:space="0" w:color="auto"/>
                                <w:right w:val="none" w:sz="0" w:space="0" w:color="auto"/>
                              </w:divBdr>
                              <w:divsChild>
                                <w:div w:id="328339072">
                                  <w:marLeft w:val="3225"/>
                                  <w:marRight w:val="0"/>
                                  <w:marTop w:val="0"/>
                                  <w:marBottom w:val="0"/>
                                  <w:divBdr>
                                    <w:top w:val="none" w:sz="0" w:space="0" w:color="auto"/>
                                    <w:left w:val="none" w:sz="0" w:space="0" w:color="auto"/>
                                    <w:bottom w:val="none" w:sz="0" w:space="0" w:color="auto"/>
                                    <w:right w:val="none" w:sz="0" w:space="0" w:color="auto"/>
                                  </w:divBdr>
                                  <w:divsChild>
                                    <w:div w:id="27972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9552470">
      <w:bodyDiv w:val="1"/>
      <w:marLeft w:val="60"/>
      <w:marRight w:val="60"/>
      <w:marTop w:val="60"/>
      <w:marBottom w:val="15"/>
      <w:divBdr>
        <w:top w:val="none" w:sz="0" w:space="0" w:color="auto"/>
        <w:left w:val="none" w:sz="0" w:space="0" w:color="auto"/>
        <w:bottom w:val="none" w:sz="0" w:space="0" w:color="auto"/>
        <w:right w:val="none" w:sz="0" w:space="0" w:color="auto"/>
      </w:divBdr>
      <w:divsChild>
        <w:div w:id="1947034154">
          <w:marLeft w:val="0"/>
          <w:marRight w:val="0"/>
          <w:marTop w:val="0"/>
          <w:marBottom w:val="0"/>
          <w:divBdr>
            <w:top w:val="none" w:sz="0" w:space="0" w:color="auto"/>
            <w:left w:val="none" w:sz="0" w:space="0" w:color="auto"/>
            <w:bottom w:val="none" w:sz="0" w:space="0" w:color="auto"/>
            <w:right w:val="none" w:sz="0" w:space="0" w:color="auto"/>
          </w:divBdr>
        </w:div>
      </w:divsChild>
    </w:div>
    <w:div w:id="465046908">
      <w:bodyDiv w:val="1"/>
      <w:marLeft w:val="60"/>
      <w:marRight w:val="60"/>
      <w:marTop w:val="60"/>
      <w:marBottom w:val="15"/>
      <w:divBdr>
        <w:top w:val="none" w:sz="0" w:space="0" w:color="auto"/>
        <w:left w:val="none" w:sz="0" w:space="0" w:color="auto"/>
        <w:bottom w:val="none" w:sz="0" w:space="0" w:color="auto"/>
        <w:right w:val="none" w:sz="0" w:space="0" w:color="auto"/>
      </w:divBdr>
      <w:divsChild>
        <w:div w:id="1611545555">
          <w:marLeft w:val="0"/>
          <w:marRight w:val="0"/>
          <w:marTop w:val="0"/>
          <w:marBottom w:val="0"/>
          <w:divBdr>
            <w:top w:val="none" w:sz="0" w:space="0" w:color="auto"/>
            <w:left w:val="none" w:sz="0" w:space="0" w:color="auto"/>
            <w:bottom w:val="none" w:sz="0" w:space="0" w:color="auto"/>
            <w:right w:val="none" w:sz="0" w:space="0" w:color="auto"/>
          </w:divBdr>
        </w:div>
        <w:div w:id="597910731">
          <w:marLeft w:val="0"/>
          <w:marRight w:val="0"/>
          <w:marTop w:val="0"/>
          <w:marBottom w:val="0"/>
          <w:divBdr>
            <w:top w:val="none" w:sz="0" w:space="0" w:color="auto"/>
            <w:left w:val="none" w:sz="0" w:space="0" w:color="auto"/>
            <w:bottom w:val="none" w:sz="0" w:space="0" w:color="auto"/>
            <w:right w:val="none" w:sz="0" w:space="0" w:color="auto"/>
          </w:divBdr>
        </w:div>
        <w:div w:id="1790586092">
          <w:marLeft w:val="0"/>
          <w:marRight w:val="0"/>
          <w:marTop w:val="0"/>
          <w:marBottom w:val="0"/>
          <w:divBdr>
            <w:top w:val="none" w:sz="0" w:space="0" w:color="auto"/>
            <w:left w:val="none" w:sz="0" w:space="0" w:color="auto"/>
            <w:bottom w:val="none" w:sz="0" w:space="0" w:color="auto"/>
            <w:right w:val="none" w:sz="0" w:space="0" w:color="auto"/>
          </w:divBdr>
        </w:div>
        <w:div w:id="1609121086">
          <w:marLeft w:val="0"/>
          <w:marRight w:val="0"/>
          <w:marTop w:val="0"/>
          <w:marBottom w:val="0"/>
          <w:divBdr>
            <w:top w:val="none" w:sz="0" w:space="0" w:color="auto"/>
            <w:left w:val="none" w:sz="0" w:space="0" w:color="auto"/>
            <w:bottom w:val="none" w:sz="0" w:space="0" w:color="auto"/>
            <w:right w:val="none" w:sz="0" w:space="0" w:color="auto"/>
          </w:divBdr>
        </w:div>
      </w:divsChild>
    </w:div>
    <w:div w:id="496649111">
      <w:bodyDiv w:val="1"/>
      <w:marLeft w:val="60"/>
      <w:marRight w:val="60"/>
      <w:marTop w:val="60"/>
      <w:marBottom w:val="15"/>
      <w:divBdr>
        <w:top w:val="none" w:sz="0" w:space="0" w:color="auto"/>
        <w:left w:val="none" w:sz="0" w:space="0" w:color="auto"/>
        <w:bottom w:val="none" w:sz="0" w:space="0" w:color="auto"/>
        <w:right w:val="none" w:sz="0" w:space="0" w:color="auto"/>
      </w:divBdr>
      <w:divsChild>
        <w:div w:id="1700082826">
          <w:marLeft w:val="0"/>
          <w:marRight w:val="0"/>
          <w:marTop w:val="0"/>
          <w:marBottom w:val="0"/>
          <w:divBdr>
            <w:top w:val="none" w:sz="0" w:space="0" w:color="auto"/>
            <w:left w:val="none" w:sz="0" w:space="0" w:color="auto"/>
            <w:bottom w:val="none" w:sz="0" w:space="0" w:color="auto"/>
            <w:right w:val="none" w:sz="0" w:space="0" w:color="auto"/>
          </w:divBdr>
        </w:div>
      </w:divsChild>
    </w:div>
    <w:div w:id="569928737">
      <w:bodyDiv w:val="1"/>
      <w:marLeft w:val="60"/>
      <w:marRight w:val="60"/>
      <w:marTop w:val="60"/>
      <w:marBottom w:val="15"/>
      <w:divBdr>
        <w:top w:val="none" w:sz="0" w:space="0" w:color="auto"/>
        <w:left w:val="none" w:sz="0" w:space="0" w:color="auto"/>
        <w:bottom w:val="none" w:sz="0" w:space="0" w:color="auto"/>
        <w:right w:val="none" w:sz="0" w:space="0" w:color="auto"/>
      </w:divBdr>
    </w:div>
    <w:div w:id="585843371">
      <w:bodyDiv w:val="1"/>
      <w:marLeft w:val="60"/>
      <w:marRight w:val="60"/>
      <w:marTop w:val="60"/>
      <w:marBottom w:val="15"/>
      <w:divBdr>
        <w:top w:val="none" w:sz="0" w:space="0" w:color="auto"/>
        <w:left w:val="none" w:sz="0" w:space="0" w:color="auto"/>
        <w:bottom w:val="none" w:sz="0" w:space="0" w:color="auto"/>
        <w:right w:val="none" w:sz="0" w:space="0" w:color="auto"/>
      </w:divBdr>
      <w:divsChild>
        <w:div w:id="1514491450">
          <w:marLeft w:val="0"/>
          <w:marRight w:val="0"/>
          <w:marTop w:val="0"/>
          <w:marBottom w:val="0"/>
          <w:divBdr>
            <w:top w:val="none" w:sz="0" w:space="0" w:color="auto"/>
            <w:left w:val="none" w:sz="0" w:space="0" w:color="auto"/>
            <w:bottom w:val="none" w:sz="0" w:space="0" w:color="auto"/>
            <w:right w:val="none" w:sz="0" w:space="0" w:color="auto"/>
          </w:divBdr>
        </w:div>
        <w:div w:id="900751990">
          <w:marLeft w:val="0"/>
          <w:marRight w:val="0"/>
          <w:marTop w:val="0"/>
          <w:marBottom w:val="0"/>
          <w:divBdr>
            <w:top w:val="none" w:sz="0" w:space="0" w:color="auto"/>
            <w:left w:val="none" w:sz="0" w:space="0" w:color="auto"/>
            <w:bottom w:val="none" w:sz="0" w:space="0" w:color="auto"/>
            <w:right w:val="none" w:sz="0" w:space="0" w:color="auto"/>
          </w:divBdr>
        </w:div>
        <w:div w:id="1995721236">
          <w:marLeft w:val="0"/>
          <w:marRight w:val="0"/>
          <w:marTop w:val="0"/>
          <w:marBottom w:val="0"/>
          <w:divBdr>
            <w:top w:val="none" w:sz="0" w:space="0" w:color="auto"/>
            <w:left w:val="none" w:sz="0" w:space="0" w:color="auto"/>
            <w:bottom w:val="none" w:sz="0" w:space="0" w:color="auto"/>
            <w:right w:val="none" w:sz="0" w:space="0" w:color="auto"/>
          </w:divBdr>
        </w:div>
        <w:div w:id="1967154968">
          <w:marLeft w:val="0"/>
          <w:marRight w:val="0"/>
          <w:marTop w:val="0"/>
          <w:marBottom w:val="0"/>
          <w:divBdr>
            <w:top w:val="none" w:sz="0" w:space="0" w:color="auto"/>
            <w:left w:val="none" w:sz="0" w:space="0" w:color="auto"/>
            <w:bottom w:val="none" w:sz="0" w:space="0" w:color="auto"/>
            <w:right w:val="none" w:sz="0" w:space="0" w:color="auto"/>
          </w:divBdr>
        </w:div>
      </w:divsChild>
    </w:div>
    <w:div w:id="594946384">
      <w:bodyDiv w:val="1"/>
      <w:marLeft w:val="60"/>
      <w:marRight w:val="60"/>
      <w:marTop w:val="60"/>
      <w:marBottom w:val="15"/>
      <w:divBdr>
        <w:top w:val="none" w:sz="0" w:space="0" w:color="auto"/>
        <w:left w:val="none" w:sz="0" w:space="0" w:color="auto"/>
        <w:bottom w:val="none" w:sz="0" w:space="0" w:color="auto"/>
        <w:right w:val="none" w:sz="0" w:space="0" w:color="auto"/>
      </w:divBdr>
      <w:divsChild>
        <w:div w:id="1891114007">
          <w:marLeft w:val="0"/>
          <w:marRight w:val="0"/>
          <w:marTop w:val="0"/>
          <w:marBottom w:val="0"/>
          <w:divBdr>
            <w:top w:val="none" w:sz="0" w:space="0" w:color="auto"/>
            <w:left w:val="none" w:sz="0" w:space="0" w:color="auto"/>
            <w:bottom w:val="none" w:sz="0" w:space="0" w:color="auto"/>
            <w:right w:val="none" w:sz="0" w:space="0" w:color="auto"/>
          </w:divBdr>
        </w:div>
      </w:divsChild>
    </w:div>
    <w:div w:id="762603849">
      <w:bodyDiv w:val="1"/>
      <w:marLeft w:val="60"/>
      <w:marRight w:val="60"/>
      <w:marTop w:val="60"/>
      <w:marBottom w:val="15"/>
      <w:divBdr>
        <w:top w:val="none" w:sz="0" w:space="0" w:color="auto"/>
        <w:left w:val="none" w:sz="0" w:space="0" w:color="auto"/>
        <w:bottom w:val="none" w:sz="0" w:space="0" w:color="auto"/>
        <w:right w:val="none" w:sz="0" w:space="0" w:color="auto"/>
      </w:divBdr>
      <w:divsChild>
        <w:div w:id="697316804">
          <w:marLeft w:val="0"/>
          <w:marRight w:val="0"/>
          <w:marTop w:val="0"/>
          <w:marBottom w:val="0"/>
          <w:divBdr>
            <w:top w:val="none" w:sz="0" w:space="0" w:color="auto"/>
            <w:left w:val="none" w:sz="0" w:space="0" w:color="auto"/>
            <w:bottom w:val="none" w:sz="0" w:space="0" w:color="auto"/>
            <w:right w:val="none" w:sz="0" w:space="0" w:color="auto"/>
          </w:divBdr>
        </w:div>
      </w:divsChild>
    </w:div>
    <w:div w:id="1237740668">
      <w:bodyDiv w:val="1"/>
      <w:marLeft w:val="0"/>
      <w:marRight w:val="0"/>
      <w:marTop w:val="0"/>
      <w:marBottom w:val="0"/>
      <w:divBdr>
        <w:top w:val="none" w:sz="0" w:space="0" w:color="auto"/>
        <w:left w:val="none" w:sz="0" w:space="0" w:color="auto"/>
        <w:bottom w:val="none" w:sz="0" w:space="0" w:color="auto"/>
        <w:right w:val="none" w:sz="0" w:space="0" w:color="auto"/>
      </w:divBdr>
    </w:div>
    <w:div w:id="1805003426">
      <w:bodyDiv w:val="1"/>
      <w:marLeft w:val="60"/>
      <w:marRight w:val="60"/>
      <w:marTop w:val="60"/>
      <w:marBottom w:val="15"/>
      <w:divBdr>
        <w:top w:val="none" w:sz="0" w:space="0" w:color="auto"/>
        <w:left w:val="none" w:sz="0" w:space="0" w:color="auto"/>
        <w:bottom w:val="none" w:sz="0" w:space="0" w:color="auto"/>
        <w:right w:val="none" w:sz="0" w:space="0" w:color="auto"/>
      </w:divBdr>
      <w:divsChild>
        <w:div w:id="1825312195">
          <w:marLeft w:val="0"/>
          <w:marRight w:val="0"/>
          <w:marTop w:val="0"/>
          <w:marBottom w:val="0"/>
          <w:divBdr>
            <w:top w:val="none" w:sz="0" w:space="0" w:color="auto"/>
            <w:left w:val="none" w:sz="0" w:space="0" w:color="auto"/>
            <w:bottom w:val="none" w:sz="0" w:space="0" w:color="auto"/>
            <w:right w:val="none" w:sz="0" w:space="0" w:color="auto"/>
          </w:divBdr>
        </w:div>
      </w:divsChild>
    </w:div>
    <w:div w:id="1885093284">
      <w:bodyDiv w:val="1"/>
      <w:marLeft w:val="0"/>
      <w:marRight w:val="0"/>
      <w:marTop w:val="0"/>
      <w:marBottom w:val="0"/>
      <w:divBdr>
        <w:top w:val="none" w:sz="0" w:space="0" w:color="auto"/>
        <w:left w:val="none" w:sz="0" w:space="0" w:color="auto"/>
        <w:bottom w:val="none" w:sz="0" w:space="0" w:color="auto"/>
        <w:right w:val="none" w:sz="0" w:space="0" w:color="auto"/>
      </w:divBdr>
    </w:div>
    <w:div w:id="1995061272">
      <w:bodyDiv w:val="1"/>
      <w:marLeft w:val="60"/>
      <w:marRight w:val="60"/>
      <w:marTop w:val="60"/>
      <w:marBottom w:val="15"/>
      <w:divBdr>
        <w:top w:val="none" w:sz="0" w:space="0" w:color="auto"/>
        <w:left w:val="none" w:sz="0" w:space="0" w:color="auto"/>
        <w:bottom w:val="none" w:sz="0" w:space="0" w:color="auto"/>
        <w:right w:val="none" w:sz="0" w:space="0" w:color="auto"/>
      </w:divBdr>
      <w:divsChild>
        <w:div w:id="1155413095">
          <w:marLeft w:val="0"/>
          <w:marRight w:val="0"/>
          <w:marTop w:val="0"/>
          <w:marBottom w:val="0"/>
          <w:divBdr>
            <w:top w:val="none" w:sz="0" w:space="0" w:color="auto"/>
            <w:left w:val="none" w:sz="0" w:space="0" w:color="auto"/>
            <w:bottom w:val="none" w:sz="0" w:space="0" w:color="auto"/>
            <w:right w:val="none" w:sz="0" w:space="0" w:color="auto"/>
          </w:divBdr>
          <w:divsChild>
            <w:div w:id="1650397219">
              <w:marLeft w:val="0"/>
              <w:marRight w:val="0"/>
              <w:marTop w:val="0"/>
              <w:marBottom w:val="0"/>
              <w:divBdr>
                <w:top w:val="none" w:sz="0" w:space="0" w:color="auto"/>
                <w:left w:val="none" w:sz="0" w:space="0" w:color="auto"/>
                <w:bottom w:val="none" w:sz="0" w:space="0" w:color="auto"/>
                <w:right w:val="none" w:sz="0" w:space="0" w:color="auto"/>
              </w:divBdr>
            </w:div>
            <w:div w:id="29295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437172">
      <w:bodyDiv w:val="1"/>
      <w:marLeft w:val="60"/>
      <w:marRight w:val="60"/>
      <w:marTop w:val="60"/>
      <w:marBottom w:val="15"/>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Documents%20and%20Settings\peter\Application%20Data\Microsoft\Mallar\LS-LT\LS-Framst&#228;llning.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5E999-0FFB-4560-B818-593D50545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LS-Framställning.dot</Template>
  <TotalTime>1</TotalTime>
  <Pages>53</Pages>
  <Words>25868</Words>
  <Characters>137105</Characters>
  <Application>Microsoft Office Word</Application>
  <DocSecurity>0</DocSecurity>
  <Lines>1142</Lines>
  <Paragraphs>325</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Landskapsstyrelsens meddelande nr 2/2000-2001</vt:lpstr>
      <vt:lpstr>Landskapsstyrelsens meddelande nr 2/2000-2001</vt:lpstr>
    </vt:vector>
  </TitlesOfParts>
  <Company>Ålands landskapsstyrelse</Company>
  <LinksUpToDate>false</LinksUpToDate>
  <CharactersWithSpaces>162648</CharactersWithSpaces>
  <SharedDoc>false</SharedDoc>
  <HLinks>
    <vt:vector size="78" baseType="variant">
      <vt:variant>
        <vt:i4>2752614</vt:i4>
      </vt:variant>
      <vt:variant>
        <vt:i4>63</vt:i4>
      </vt:variant>
      <vt:variant>
        <vt:i4>0</vt:i4>
      </vt:variant>
      <vt:variant>
        <vt:i4>5</vt:i4>
      </vt:variant>
      <vt:variant>
        <vt:lpwstr>m0220002001-b2.htm</vt:lpwstr>
      </vt:variant>
      <vt:variant>
        <vt:lpwstr/>
      </vt:variant>
      <vt:variant>
        <vt:i4>2687078</vt:i4>
      </vt:variant>
      <vt:variant>
        <vt:i4>60</vt:i4>
      </vt:variant>
      <vt:variant>
        <vt:i4>0</vt:i4>
      </vt:variant>
      <vt:variant>
        <vt:i4>5</vt:i4>
      </vt:variant>
      <vt:variant>
        <vt:lpwstr>m0220002001-b1.htm</vt:lpwstr>
      </vt:variant>
      <vt:variant>
        <vt:lpwstr/>
      </vt:variant>
      <vt:variant>
        <vt:i4>262192</vt:i4>
      </vt:variant>
      <vt:variant>
        <vt:i4>57</vt:i4>
      </vt:variant>
      <vt:variant>
        <vt:i4>0</vt:i4>
      </vt:variant>
      <vt:variant>
        <vt:i4>5</vt:i4>
      </vt:variant>
      <vt:variant>
        <vt:lpwstr/>
      </vt:variant>
      <vt:variant>
        <vt:lpwstr>_top</vt:lpwstr>
      </vt:variant>
      <vt:variant>
        <vt:i4>1638456</vt:i4>
      </vt:variant>
      <vt:variant>
        <vt:i4>50</vt:i4>
      </vt:variant>
      <vt:variant>
        <vt:i4>0</vt:i4>
      </vt:variant>
      <vt:variant>
        <vt:i4>5</vt:i4>
      </vt:variant>
      <vt:variant>
        <vt:lpwstr/>
      </vt:variant>
      <vt:variant>
        <vt:lpwstr>_Toc535296190</vt:lpwstr>
      </vt:variant>
      <vt:variant>
        <vt:i4>1572920</vt:i4>
      </vt:variant>
      <vt:variant>
        <vt:i4>44</vt:i4>
      </vt:variant>
      <vt:variant>
        <vt:i4>0</vt:i4>
      </vt:variant>
      <vt:variant>
        <vt:i4>5</vt:i4>
      </vt:variant>
      <vt:variant>
        <vt:lpwstr/>
      </vt:variant>
      <vt:variant>
        <vt:lpwstr>_Toc535296189</vt:lpwstr>
      </vt:variant>
      <vt:variant>
        <vt:i4>1572920</vt:i4>
      </vt:variant>
      <vt:variant>
        <vt:i4>38</vt:i4>
      </vt:variant>
      <vt:variant>
        <vt:i4>0</vt:i4>
      </vt:variant>
      <vt:variant>
        <vt:i4>5</vt:i4>
      </vt:variant>
      <vt:variant>
        <vt:lpwstr/>
      </vt:variant>
      <vt:variant>
        <vt:lpwstr>_Toc535296188</vt:lpwstr>
      </vt:variant>
      <vt:variant>
        <vt:i4>1572920</vt:i4>
      </vt:variant>
      <vt:variant>
        <vt:i4>32</vt:i4>
      </vt:variant>
      <vt:variant>
        <vt:i4>0</vt:i4>
      </vt:variant>
      <vt:variant>
        <vt:i4>5</vt:i4>
      </vt:variant>
      <vt:variant>
        <vt:lpwstr/>
      </vt:variant>
      <vt:variant>
        <vt:lpwstr>_Toc535296187</vt:lpwstr>
      </vt:variant>
      <vt:variant>
        <vt:i4>1572920</vt:i4>
      </vt:variant>
      <vt:variant>
        <vt:i4>26</vt:i4>
      </vt:variant>
      <vt:variant>
        <vt:i4>0</vt:i4>
      </vt:variant>
      <vt:variant>
        <vt:i4>5</vt:i4>
      </vt:variant>
      <vt:variant>
        <vt:lpwstr/>
      </vt:variant>
      <vt:variant>
        <vt:lpwstr>_Toc535296186</vt:lpwstr>
      </vt:variant>
      <vt:variant>
        <vt:i4>1572920</vt:i4>
      </vt:variant>
      <vt:variant>
        <vt:i4>20</vt:i4>
      </vt:variant>
      <vt:variant>
        <vt:i4>0</vt:i4>
      </vt:variant>
      <vt:variant>
        <vt:i4>5</vt:i4>
      </vt:variant>
      <vt:variant>
        <vt:lpwstr/>
      </vt:variant>
      <vt:variant>
        <vt:lpwstr>_Toc535296185</vt:lpwstr>
      </vt:variant>
      <vt:variant>
        <vt:i4>1572920</vt:i4>
      </vt:variant>
      <vt:variant>
        <vt:i4>14</vt:i4>
      </vt:variant>
      <vt:variant>
        <vt:i4>0</vt:i4>
      </vt:variant>
      <vt:variant>
        <vt:i4>5</vt:i4>
      </vt:variant>
      <vt:variant>
        <vt:lpwstr/>
      </vt:variant>
      <vt:variant>
        <vt:lpwstr>_Toc535296184</vt:lpwstr>
      </vt:variant>
      <vt:variant>
        <vt:i4>1572920</vt:i4>
      </vt:variant>
      <vt:variant>
        <vt:i4>8</vt:i4>
      </vt:variant>
      <vt:variant>
        <vt:i4>0</vt:i4>
      </vt:variant>
      <vt:variant>
        <vt:i4>5</vt:i4>
      </vt:variant>
      <vt:variant>
        <vt:lpwstr/>
      </vt:variant>
      <vt:variant>
        <vt:lpwstr>_Toc535296183</vt:lpwstr>
      </vt:variant>
      <vt:variant>
        <vt:i4>1572920</vt:i4>
      </vt:variant>
      <vt:variant>
        <vt:i4>2</vt:i4>
      </vt:variant>
      <vt:variant>
        <vt:i4>0</vt:i4>
      </vt:variant>
      <vt:variant>
        <vt:i4>5</vt:i4>
      </vt:variant>
      <vt:variant>
        <vt:lpwstr/>
      </vt:variant>
      <vt:variant>
        <vt:lpwstr>_Toc535296182</vt:lpwstr>
      </vt:variant>
      <vt:variant>
        <vt:i4>7143543</vt:i4>
      </vt:variant>
      <vt:variant>
        <vt:i4>1026</vt:i4>
      </vt:variant>
      <vt:variant>
        <vt:i4>1026</vt:i4>
      </vt:variant>
      <vt:variant>
        <vt:i4>1</vt:i4>
      </vt:variant>
      <vt:variant>
        <vt:lpwstr>O:\Web\www_lagtinget\grafik\space\5x5px.gif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Landskapsstyrelsens meddelande nr 3/2016-2017</dc:title>
  <dc:creator>LR</dc:creator>
  <cp:lastModifiedBy>Jessica Laaksonen</cp:lastModifiedBy>
  <cp:revision>2</cp:revision>
  <cp:lastPrinted>2017-03-16T09:13:00Z</cp:lastPrinted>
  <dcterms:created xsi:type="dcterms:W3CDTF">2017-03-16T10:37:00Z</dcterms:created>
  <dcterms:modified xsi:type="dcterms:W3CDTF">2017-03-16T10:37:00Z</dcterms:modified>
</cp:coreProperties>
</file>