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803C62">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pt;height:54.15pt;mso-wrap-edited:f" wrapcoords="-408 0 -408 21316 21600 21316 21600 0 -408 0" o:allowoverlap="f">
                  <v:imagedata r:id="rId9" o:title="LSvapen"/>
                </v:shape>
              </w:pict>
            </w:r>
          </w:p>
        </w:tc>
        <w:tc>
          <w:tcPr>
            <w:tcW w:w="8736" w:type="dxa"/>
            <w:gridSpan w:val="3"/>
            <w:vAlign w:val="bottom"/>
          </w:tcPr>
          <w:p w:rsidR="002401D0" w:rsidRDefault="00A643AF">
            <w:pPr>
              <w:pStyle w:val="xMellanrum"/>
            </w:pPr>
            <w:r>
              <w:pict>
                <v:shape id="_x0000_i1026" type="#_x0000_t75" style="width:3.25pt;height:3.25pt">
                  <v:imagedata r:id="rId10"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420108">
            <w:pPr>
              <w:pStyle w:val="xDokTypNr"/>
            </w:pPr>
            <w:r>
              <w:t xml:space="preserve">BETÄNKANDE nr </w:t>
            </w:r>
            <w:r w:rsidR="00420108">
              <w:t>18</w:t>
            </w:r>
            <w:r>
              <w:t>/20</w:t>
            </w:r>
            <w:r w:rsidR="00723B93">
              <w:t>1</w:t>
            </w:r>
            <w:r w:rsidR="002D17D3">
              <w:t>6</w:t>
            </w:r>
            <w:r w:rsidR="0015337C">
              <w:t>-20</w:t>
            </w:r>
            <w:r w:rsidR="009F7CE2">
              <w:t>1</w:t>
            </w:r>
            <w:r w:rsidR="002D17D3">
              <w:t>7</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2D17D3">
            <w:pPr>
              <w:pStyle w:val="xAvsandare2"/>
            </w:pPr>
            <w:r>
              <w:t>Social- och miljö</w:t>
            </w:r>
            <w:r w:rsidR="002401D0">
              <w:t>utskottet</w:t>
            </w:r>
          </w:p>
        </w:tc>
        <w:tc>
          <w:tcPr>
            <w:tcW w:w="1725" w:type="dxa"/>
            <w:vAlign w:val="center"/>
          </w:tcPr>
          <w:p w:rsidR="002401D0" w:rsidRDefault="002401D0" w:rsidP="00024660">
            <w:pPr>
              <w:pStyle w:val="xDatum1"/>
            </w:pPr>
            <w:r>
              <w:t>20</w:t>
            </w:r>
            <w:r w:rsidR="00B32E91">
              <w:t>1</w:t>
            </w:r>
            <w:r w:rsidR="002D17D3">
              <w:t>7-0</w:t>
            </w:r>
            <w:r w:rsidR="00420108">
              <w:t>9</w:t>
            </w:r>
            <w:r w:rsidR="002D17D3">
              <w:t>-</w:t>
            </w:r>
            <w:r w:rsidR="00024660">
              <w:t>05</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1"/>
          <w:footerReference w:type="default" r:id="rId12"/>
          <w:pgSz w:w="11906" w:h="16838" w:code="9"/>
          <w:pgMar w:top="567" w:right="1134" w:bottom="1134" w:left="1191" w:header="624" w:footer="737" w:gutter="0"/>
          <w:cols w:space="708"/>
          <w:docGrid w:linePitch="360"/>
        </w:sectPr>
      </w:pPr>
    </w:p>
    <w:p w:rsidR="002401D0" w:rsidRDefault="002D17D3">
      <w:pPr>
        <w:pStyle w:val="ArendeOverRubrik"/>
      </w:pPr>
      <w:r>
        <w:lastRenderedPageBreak/>
        <w:t>Social- och miljö</w:t>
      </w:r>
      <w:r w:rsidR="002401D0">
        <w:t>utskottets betänkande</w:t>
      </w:r>
    </w:p>
    <w:p w:rsidR="002401D0" w:rsidRDefault="002D17D3">
      <w:pPr>
        <w:pStyle w:val="ArendeRubrik"/>
      </w:pPr>
      <w:r>
        <w:t>Havsplanering</w:t>
      </w:r>
    </w:p>
    <w:p w:rsidR="002401D0" w:rsidRDefault="00A643AF">
      <w:pPr>
        <w:pStyle w:val="ArendeUnderRubrik"/>
      </w:pPr>
      <w:hyperlink r:id="rId13" w:history="1">
        <w:r w:rsidR="002D17D3" w:rsidRPr="00A643AF">
          <w:rPr>
            <w:rStyle w:val="Hyperlnk"/>
          </w:rPr>
          <w:t>Landskapsregeringens lagförslag nr 29/2016-2017</w:t>
        </w:r>
      </w:hyperlink>
      <w:bookmarkStart w:id="1" w:name="_GoBack"/>
      <w:bookmarkEnd w:id="1"/>
    </w:p>
    <w:p w:rsidR="002401D0" w:rsidRDefault="002401D0">
      <w:pPr>
        <w:pStyle w:val="ANormal"/>
      </w:pPr>
    </w:p>
    <w:p w:rsidR="002401D0" w:rsidRDefault="002401D0">
      <w:pPr>
        <w:pStyle w:val="Innehll1"/>
      </w:pPr>
      <w:r>
        <w:t>INNEHÅLL</w:t>
      </w:r>
    </w:p>
    <w:p w:rsidR="00907139" w:rsidRPr="004C3F00" w:rsidRDefault="002401D0">
      <w:pPr>
        <w:pStyle w:val="Innehll1"/>
        <w:rPr>
          <w:rFonts w:ascii="Calibri" w:hAnsi="Calibri"/>
          <w:sz w:val="22"/>
          <w:szCs w:val="22"/>
          <w:lang w:val="sv-FI" w:eastAsia="sv-FI"/>
        </w:rPr>
      </w:pPr>
      <w:r>
        <w:fldChar w:fldCharType="begin"/>
      </w:r>
      <w:r>
        <w:instrText xml:space="preserve"> TOC \o "1-1" \h \z \t "Rubrik 2;2;Rubrik 3;3;RubrikB;2;RubrikC;3" </w:instrText>
      </w:r>
      <w:r>
        <w:fldChar w:fldCharType="separate"/>
      </w:r>
      <w:hyperlink w:anchor="_Toc491852004" w:history="1">
        <w:r w:rsidR="00907139" w:rsidRPr="00E07C6F">
          <w:rPr>
            <w:rStyle w:val="Hyperlnk"/>
          </w:rPr>
          <w:t>Sammanfattning</w:t>
        </w:r>
        <w:r w:rsidR="00907139">
          <w:rPr>
            <w:webHidden/>
          </w:rPr>
          <w:tab/>
        </w:r>
        <w:r w:rsidR="00907139">
          <w:rPr>
            <w:webHidden/>
          </w:rPr>
          <w:fldChar w:fldCharType="begin"/>
        </w:r>
        <w:r w:rsidR="00907139">
          <w:rPr>
            <w:webHidden/>
          </w:rPr>
          <w:instrText xml:space="preserve"> PAGEREF _Toc491852004 \h </w:instrText>
        </w:r>
        <w:r w:rsidR="00907139">
          <w:rPr>
            <w:webHidden/>
          </w:rPr>
        </w:r>
        <w:r w:rsidR="00907139">
          <w:rPr>
            <w:webHidden/>
          </w:rPr>
          <w:fldChar w:fldCharType="separate"/>
        </w:r>
        <w:r w:rsidR="00803C62">
          <w:rPr>
            <w:webHidden/>
          </w:rPr>
          <w:t>1</w:t>
        </w:r>
        <w:r w:rsidR="00907139">
          <w:rPr>
            <w:webHidden/>
          </w:rPr>
          <w:fldChar w:fldCharType="end"/>
        </w:r>
      </w:hyperlink>
    </w:p>
    <w:p w:rsidR="00907139" w:rsidRPr="004C3F00" w:rsidRDefault="00A643AF">
      <w:pPr>
        <w:pStyle w:val="Innehll2"/>
        <w:rPr>
          <w:rFonts w:ascii="Calibri" w:hAnsi="Calibri"/>
          <w:sz w:val="22"/>
          <w:szCs w:val="22"/>
          <w:lang w:val="sv-FI" w:eastAsia="sv-FI"/>
        </w:rPr>
      </w:pPr>
      <w:hyperlink w:anchor="_Toc491852005" w:history="1">
        <w:r w:rsidR="00907139" w:rsidRPr="00E07C6F">
          <w:rPr>
            <w:rStyle w:val="Hyperlnk"/>
          </w:rPr>
          <w:t>Landskapsregeringens förslag</w:t>
        </w:r>
        <w:r w:rsidR="00907139">
          <w:rPr>
            <w:webHidden/>
          </w:rPr>
          <w:tab/>
        </w:r>
        <w:r w:rsidR="00907139">
          <w:rPr>
            <w:webHidden/>
          </w:rPr>
          <w:fldChar w:fldCharType="begin"/>
        </w:r>
        <w:r w:rsidR="00907139">
          <w:rPr>
            <w:webHidden/>
          </w:rPr>
          <w:instrText xml:space="preserve"> PAGEREF _Toc491852005 \h </w:instrText>
        </w:r>
        <w:r w:rsidR="00907139">
          <w:rPr>
            <w:webHidden/>
          </w:rPr>
        </w:r>
        <w:r w:rsidR="00907139">
          <w:rPr>
            <w:webHidden/>
          </w:rPr>
          <w:fldChar w:fldCharType="separate"/>
        </w:r>
        <w:r w:rsidR="00803C62">
          <w:rPr>
            <w:webHidden/>
          </w:rPr>
          <w:t>1</w:t>
        </w:r>
        <w:r w:rsidR="00907139">
          <w:rPr>
            <w:webHidden/>
          </w:rPr>
          <w:fldChar w:fldCharType="end"/>
        </w:r>
      </w:hyperlink>
    </w:p>
    <w:p w:rsidR="00907139" w:rsidRPr="004C3F00" w:rsidRDefault="00A643AF">
      <w:pPr>
        <w:pStyle w:val="Innehll2"/>
        <w:rPr>
          <w:rFonts w:ascii="Calibri" w:hAnsi="Calibri"/>
          <w:sz w:val="22"/>
          <w:szCs w:val="22"/>
          <w:lang w:val="sv-FI" w:eastAsia="sv-FI"/>
        </w:rPr>
      </w:pPr>
      <w:hyperlink w:anchor="_Toc491852006" w:history="1">
        <w:r w:rsidR="00907139" w:rsidRPr="00E07C6F">
          <w:rPr>
            <w:rStyle w:val="Hyperlnk"/>
          </w:rPr>
          <w:t>Utskottets förslag</w:t>
        </w:r>
        <w:r w:rsidR="00907139">
          <w:rPr>
            <w:webHidden/>
          </w:rPr>
          <w:tab/>
        </w:r>
        <w:r w:rsidR="00907139">
          <w:rPr>
            <w:webHidden/>
          </w:rPr>
          <w:fldChar w:fldCharType="begin"/>
        </w:r>
        <w:r w:rsidR="00907139">
          <w:rPr>
            <w:webHidden/>
          </w:rPr>
          <w:instrText xml:space="preserve"> PAGEREF _Toc491852006 \h </w:instrText>
        </w:r>
        <w:r w:rsidR="00907139">
          <w:rPr>
            <w:webHidden/>
          </w:rPr>
        </w:r>
        <w:r w:rsidR="00907139">
          <w:rPr>
            <w:webHidden/>
          </w:rPr>
          <w:fldChar w:fldCharType="separate"/>
        </w:r>
        <w:r w:rsidR="00803C62">
          <w:rPr>
            <w:webHidden/>
          </w:rPr>
          <w:t>1</w:t>
        </w:r>
        <w:r w:rsidR="00907139">
          <w:rPr>
            <w:webHidden/>
          </w:rPr>
          <w:fldChar w:fldCharType="end"/>
        </w:r>
      </w:hyperlink>
    </w:p>
    <w:p w:rsidR="00907139" w:rsidRPr="004C3F00" w:rsidRDefault="00A643AF">
      <w:pPr>
        <w:pStyle w:val="Innehll1"/>
        <w:rPr>
          <w:rFonts w:ascii="Calibri" w:hAnsi="Calibri"/>
          <w:sz w:val="22"/>
          <w:szCs w:val="22"/>
          <w:lang w:val="sv-FI" w:eastAsia="sv-FI"/>
        </w:rPr>
      </w:pPr>
      <w:hyperlink w:anchor="_Toc491852007" w:history="1">
        <w:r w:rsidR="00907139" w:rsidRPr="00E07C6F">
          <w:rPr>
            <w:rStyle w:val="Hyperlnk"/>
          </w:rPr>
          <w:t>Utskottets synpunkter</w:t>
        </w:r>
        <w:r w:rsidR="00907139">
          <w:rPr>
            <w:webHidden/>
          </w:rPr>
          <w:tab/>
        </w:r>
        <w:r w:rsidR="00907139">
          <w:rPr>
            <w:webHidden/>
          </w:rPr>
          <w:fldChar w:fldCharType="begin"/>
        </w:r>
        <w:r w:rsidR="00907139">
          <w:rPr>
            <w:webHidden/>
          </w:rPr>
          <w:instrText xml:space="preserve"> PAGEREF _Toc491852007 \h </w:instrText>
        </w:r>
        <w:r w:rsidR="00907139">
          <w:rPr>
            <w:webHidden/>
          </w:rPr>
        </w:r>
        <w:r w:rsidR="00907139">
          <w:rPr>
            <w:webHidden/>
          </w:rPr>
          <w:fldChar w:fldCharType="separate"/>
        </w:r>
        <w:r w:rsidR="00803C62">
          <w:rPr>
            <w:webHidden/>
          </w:rPr>
          <w:t>1</w:t>
        </w:r>
        <w:r w:rsidR="00907139">
          <w:rPr>
            <w:webHidden/>
          </w:rPr>
          <w:fldChar w:fldCharType="end"/>
        </w:r>
      </w:hyperlink>
    </w:p>
    <w:p w:rsidR="00907139" w:rsidRPr="004C3F00" w:rsidRDefault="00A643AF">
      <w:pPr>
        <w:pStyle w:val="Innehll1"/>
        <w:rPr>
          <w:rFonts w:ascii="Calibri" w:hAnsi="Calibri"/>
          <w:sz w:val="22"/>
          <w:szCs w:val="22"/>
          <w:lang w:val="sv-FI" w:eastAsia="sv-FI"/>
        </w:rPr>
      </w:pPr>
      <w:hyperlink w:anchor="_Toc491852008" w:history="1">
        <w:r w:rsidR="00907139" w:rsidRPr="00E07C6F">
          <w:rPr>
            <w:rStyle w:val="Hyperlnk"/>
          </w:rPr>
          <w:t>Ärendets behandling</w:t>
        </w:r>
        <w:r w:rsidR="00907139">
          <w:rPr>
            <w:webHidden/>
          </w:rPr>
          <w:tab/>
        </w:r>
        <w:r w:rsidR="00907139">
          <w:rPr>
            <w:webHidden/>
          </w:rPr>
          <w:fldChar w:fldCharType="begin"/>
        </w:r>
        <w:r w:rsidR="00907139">
          <w:rPr>
            <w:webHidden/>
          </w:rPr>
          <w:instrText xml:space="preserve"> PAGEREF _Toc491852008 \h </w:instrText>
        </w:r>
        <w:r w:rsidR="00907139">
          <w:rPr>
            <w:webHidden/>
          </w:rPr>
        </w:r>
        <w:r w:rsidR="00907139">
          <w:rPr>
            <w:webHidden/>
          </w:rPr>
          <w:fldChar w:fldCharType="separate"/>
        </w:r>
        <w:r w:rsidR="00803C62">
          <w:rPr>
            <w:webHidden/>
          </w:rPr>
          <w:t>2</w:t>
        </w:r>
        <w:r w:rsidR="00907139">
          <w:rPr>
            <w:webHidden/>
          </w:rPr>
          <w:fldChar w:fldCharType="end"/>
        </w:r>
      </w:hyperlink>
    </w:p>
    <w:p w:rsidR="00907139" w:rsidRPr="004C3F00" w:rsidRDefault="00A643AF">
      <w:pPr>
        <w:pStyle w:val="Innehll1"/>
        <w:rPr>
          <w:rFonts w:ascii="Calibri" w:hAnsi="Calibri"/>
          <w:sz w:val="22"/>
          <w:szCs w:val="22"/>
          <w:lang w:val="sv-FI" w:eastAsia="sv-FI"/>
        </w:rPr>
      </w:pPr>
      <w:hyperlink w:anchor="_Toc491852009" w:history="1">
        <w:r w:rsidR="00907139" w:rsidRPr="00E07C6F">
          <w:rPr>
            <w:rStyle w:val="Hyperlnk"/>
          </w:rPr>
          <w:t>Utskottets förslag</w:t>
        </w:r>
        <w:r w:rsidR="00907139">
          <w:rPr>
            <w:webHidden/>
          </w:rPr>
          <w:tab/>
        </w:r>
        <w:r w:rsidR="00907139">
          <w:rPr>
            <w:webHidden/>
          </w:rPr>
          <w:fldChar w:fldCharType="begin"/>
        </w:r>
        <w:r w:rsidR="00907139">
          <w:rPr>
            <w:webHidden/>
          </w:rPr>
          <w:instrText xml:space="preserve"> PAGEREF _Toc491852009 \h </w:instrText>
        </w:r>
        <w:r w:rsidR="00907139">
          <w:rPr>
            <w:webHidden/>
          </w:rPr>
        </w:r>
        <w:r w:rsidR="00907139">
          <w:rPr>
            <w:webHidden/>
          </w:rPr>
          <w:fldChar w:fldCharType="separate"/>
        </w:r>
        <w:r w:rsidR="00803C62">
          <w:rPr>
            <w:webHidden/>
          </w:rPr>
          <w:t>3</w:t>
        </w:r>
        <w:r w:rsidR="00907139">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491852004"/>
      <w:r>
        <w:t>Sammanfattning</w:t>
      </w:r>
      <w:bookmarkEnd w:id="2"/>
      <w:bookmarkEnd w:id="3"/>
    </w:p>
    <w:p w:rsidR="002401D0" w:rsidRDefault="002401D0">
      <w:pPr>
        <w:pStyle w:val="Rubrikmellanrum"/>
      </w:pPr>
    </w:p>
    <w:p w:rsidR="002401D0" w:rsidRDefault="002D17D3">
      <w:pPr>
        <w:pStyle w:val="RubrikB"/>
      </w:pPr>
      <w:bookmarkStart w:id="4" w:name="_Toc529800933"/>
      <w:bookmarkStart w:id="5" w:name="_Toc491852005"/>
      <w:r>
        <w:t>Landskapsregeringens</w:t>
      </w:r>
      <w:r w:rsidR="002401D0">
        <w:t xml:space="preserve"> förslag</w:t>
      </w:r>
      <w:bookmarkEnd w:id="4"/>
      <w:bookmarkEnd w:id="5"/>
    </w:p>
    <w:p w:rsidR="002401D0" w:rsidRDefault="002401D0">
      <w:pPr>
        <w:pStyle w:val="Rubrikmellanrum"/>
      </w:pPr>
    </w:p>
    <w:p w:rsidR="002D17D3" w:rsidRDefault="002D17D3" w:rsidP="002D17D3">
      <w:pPr>
        <w:pStyle w:val="ANormal"/>
      </w:pPr>
      <w:r w:rsidRPr="004C36DE">
        <w:t xml:space="preserve">Landskapsregeringen föreslår att lagtinget antar en landskapslag om </w:t>
      </w:r>
      <w:r>
        <w:t>än</w:t>
      </w:r>
      <w:r>
        <w:t>d</w:t>
      </w:r>
      <w:r>
        <w:t>ring av vattenlagen för landskapet Åland</w:t>
      </w:r>
      <w:r w:rsidRPr="004C36DE">
        <w:t>.</w:t>
      </w:r>
    </w:p>
    <w:p w:rsidR="002D17D3" w:rsidRDefault="002D17D3" w:rsidP="002D17D3">
      <w:pPr>
        <w:pStyle w:val="ANormal"/>
      </w:pPr>
      <w:r>
        <w:tab/>
        <w:t xml:space="preserve"> Genom förslaget skulle landskapsregeringen ansvara för att det senast den 31 mars 2021 tas fram och antas en havsplan. Havsplanen ska omfatta åländska kustvatten och marina vatten. Syftet med den föreslagna havspl</w:t>
      </w:r>
      <w:r>
        <w:t>a</w:t>
      </w:r>
      <w:r>
        <w:t>neringen är att främja en hållbar utveckling och tillväxt vad gäller kust- och havsområdets olika användningsområden samt hållbar användning av m</w:t>
      </w:r>
      <w:r>
        <w:t>a</w:t>
      </w:r>
      <w:r>
        <w:t>rina resurser. Havsplanen ska även bidra till god vattenkvalitet och god mi</w:t>
      </w:r>
      <w:r>
        <w:t>l</w:t>
      </w:r>
      <w:r>
        <w:t>jöstatus i kust- och havsområden. Havsplanen ska uppdateras minst vart sjätte år.</w:t>
      </w:r>
    </w:p>
    <w:p w:rsidR="002D17D3" w:rsidRDefault="002D17D3" w:rsidP="002D17D3">
      <w:pPr>
        <w:pStyle w:val="ANormal"/>
      </w:pPr>
      <w:r>
        <w:tab/>
        <w:t>Planen skulle bli riktgivande för kommuner och andra myndigheter vid planläggning och prövning av användning av kustvatten och marina vatten.</w:t>
      </w:r>
    </w:p>
    <w:p w:rsidR="002D17D3" w:rsidRDefault="002D17D3" w:rsidP="002D17D3">
      <w:pPr>
        <w:pStyle w:val="ANormal"/>
      </w:pPr>
      <w:r>
        <w:tab/>
        <w:t xml:space="preserve">Genom förslaget genomförs </w:t>
      </w:r>
      <w:r w:rsidRPr="00B5388E">
        <w:t xml:space="preserve">Europaparlamentets och rådets </w:t>
      </w:r>
      <w:r w:rsidRPr="00974B23">
        <w:t>direktiv om upprättandet av en ram för havsplanering</w:t>
      </w:r>
      <w:r>
        <w:t xml:space="preserve">. Eftersom </w:t>
      </w:r>
      <w:r w:rsidRPr="0079576E">
        <w:t>implementeringstiden för EU-direktivet har gått ut</w:t>
      </w:r>
      <w:r>
        <w:t xml:space="preserve"> och Åland inte har genomfört direktivet har kommissionen inlett ett överträdelseförfarande. </w:t>
      </w:r>
      <w:r>
        <w:rPr>
          <w:szCs w:val="22"/>
        </w:rPr>
        <w:t xml:space="preserve">Avsikten är därför att den föreslagna lagen ska </w:t>
      </w:r>
      <w:r w:rsidRPr="0079576E">
        <w:rPr>
          <w:szCs w:val="22"/>
        </w:rPr>
        <w:t>träda i kraft så snart som möjligt.</w:t>
      </w:r>
    </w:p>
    <w:p w:rsidR="002401D0" w:rsidRDefault="002401D0">
      <w:pPr>
        <w:pStyle w:val="ANormal"/>
      </w:pPr>
    </w:p>
    <w:p w:rsidR="002401D0" w:rsidRDefault="002401D0">
      <w:pPr>
        <w:pStyle w:val="RubrikB"/>
      </w:pPr>
      <w:bookmarkStart w:id="6" w:name="_Toc529800934"/>
      <w:bookmarkStart w:id="7" w:name="_Toc491852006"/>
      <w:r>
        <w:t>Utskottets förslag</w:t>
      </w:r>
      <w:bookmarkEnd w:id="6"/>
      <w:bookmarkEnd w:id="7"/>
    </w:p>
    <w:p w:rsidR="002401D0" w:rsidRDefault="002401D0">
      <w:pPr>
        <w:pStyle w:val="Rubrikmellanrum"/>
      </w:pPr>
    </w:p>
    <w:p w:rsidR="002401D0" w:rsidRDefault="00907139">
      <w:pPr>
        <w:pStyle w:val="ANormal"/>
      </w:pPr>
      <w:r>
        <w:t>Utskottet föreslår att lagtinget antar lagförslaget med e</w:t>
      </w:r>
      <w:r w:rsidR="000C75C2">
        <w:t xml:space="preserve">tt par </w:t>
      </w:r>
      <w:r>
        <w:t>mindre än</w:t>
      </w:r>
      <w:r>
        <w:t>d</w:t>
      </w:r>
      <w:r>
        <w:t>ring</w:t>
      </w:r>
      <w:r w:rsidR="000C75C2">
        <w:t>ar</w:t>
      </w:r>
      <w:r>
        <w:t xml:space="preserve"> av språklig natur. </w:t>
      </w:r>
    </w:p>
    <w:p w:rsidR="002401D0" w:rsidRDefault="000C75C2">
      <w:pPr>
        <w:pStyle w:val="ANormal"/>
      </w:pPr>
      <w:r>
        <w:tab/>
      </w:r>
    </w:p>
    <w:p w:rsidR="002401D0" w:rsidRDefault="002401D0">
      <w:pPr>
        <w:pStyle w:val="RubrikA"/>
      </w:pPr>
      <w:bookmarkStart w:id="8" w:name="_Toc529800935"/>
      <w:bookmarkStart w:id="9" w:name="_Toc491852007"/>
      <w:r>
        <w:t>Utskottets synpunkter</w:t>
      </w:r>
      <w:bookmarkEnd w:id="8"/>
      <w:bookmarkEnd w:id="9"/>
    </w:p>
    <w:p w:rsidR="00CD0D2B" w:rsidRDefault="00CD0D2B" w:rsidP="00CD0D2B">
      <w:pPr>
        <w:pStyle w:val="Rubrikmellanrum"/>
      </w:pPr>
    </w:p>
    <w:p w:rsidR="00CD0D2B" w:rsidRPr="00CD0D2B" w:rsidRDefault="00CD0D2B" w:rsidP="00CD0D2B">
      <w:pPr>
        <w:pStyle w:val="ANormal"/>
        <w:rPr>
          <w:sz w:val="26"/>
          <w:szCs w:val="26"/>
        </w:rPr>
      </w:pPr>
      <w:r>
        <w:rPr>
          <w:sz w:val="26"/>
          <w:szCs w:val="26"/>
        </w:rPr>
        <w:t>Allmän motivering</w:t>
      </w:r>
    </w:p>
    <w:p w:rsidR="002401D0" w:rsidRDefault="002401D0">
      <w:pPr>
        <w:pStyle w:val="Rubrikmellanrum"/>
      </w:pPr>
    </w:p>
    <w:p w:rsidR="002401D0" w:rsidRDefault="000C75C2">
      <w:pPr>
        <w:pStyle w:val="ANormal"/>
      </w:pPr>
      <w:r>
        <w:t>Utskottet tillstyrker lagförslaget med följande kommentarer.</w:t>
      </w:r>
    </w:p>
    <w:p w:rsidR="006D48C7" w:rsidRPr="005F13EB" w:rsidRDefault="000C75C2" w:rsidP="000C75C2">
      <w:pPr>
        <w:pStyle w:val="ANormal"/>
      </w:pPr>
      <w:r>
        <w:tab/>
      </w:r>
      <w:r w:rsidRPr="000C75C2">
        <w:t xml:space="preserve">Genom lagförslaget genomförs Europaparlamentets och rådets direktiv </w:t>
      </w:r>
      <w:r w:rsidR="00AA5B03">
        <w:t>2014/89/EU om upprättande av en ram för havsplanering</w:t>
      </w:r>
      <w:r w:rsidR="008F20B4">
        <w:t xml:space="preserve">. </w:t>
      </w:r>
      <w:r w:rsidR="00BA144B">
        <w:t xml:space="preserve">Enligt direktivet är strävan att havsplanerna ska bidra till en hållbar utveckling i sektorerna för energi till havs, sjötransport, fiske och vattenbruk samt </w:t>
      </w:r>
      <w:r w:rsidR="00E631CD" w:rsidRPr="00E631CD">
        <w:t>bevarande, skydd och förbättring av den marina miljön. </w:t>
      </w:r>
      <w:r w:rsidR="00AA5B03">
        <w:t xml:space="preserve"> </w:t>
      </w:r>
    </w:p>
    <w:p w:rsidR="00D171A0" w:rsidRDefault="005F13EB" w:rsidP="00D171A0">
      <w:pPr>
        <w:pStyle w:val="ANormal"/>
        <w:tabs>
          <w:tab w:val="clear" w:pos="283"/>
          <w:tab w:val="left" w:pos="284"/>
        </w:tabs>
      </w:pPr>
      <w:r>
        <w:tab/>
      </w:r>
      <w:r w:rsidR="00A4542D">
        <w:t>Utskottet konstaterar inledningsvis att många aktörer har intressen i h</w:t>
      </w:r>
      <w:r w:rsidR="00A4542D">
        <w:t>a</w:t>
      </w:r>
      <w:r w:rsidR="00A4542D">
        <w:t xml:space="preserve">vet. Haven används idag för många olika syften, bland annat för fiske, </w:t>
      </w:r>
      <w:r w:rsidR="00000F78">
        <w:t>va</w:t>
      </w:r>
      <w:r w:rsidR="00000F78">
        <w:t>t</w:t>
      </w:r>
      <w:r w:rsidR="00000F78">
        <w:lastRenderedPageBreak/>
        <w:t>tenbruk</w:t>
      </w:r>
      <w:r w:rsidR="00A4542D">
        <w:t xml:space="preserve">, sjöfart, turism, </w:t>
      </w:r>
      <w:r w:rsidR="008D681F">
        <w:t>energiutvinning</w:t>
      </w:r>
      <w:r w:rsidR="00CD0D2B">
        <w:t>, rekreation</w:t>
      </w:r>
      <w:r w:rsidR="00000F78">
        <w:t xml:space="preserve"> och </w:t>
      </w:r>
      <w:r>
        <w:t>s</w:t>
      </w:r>
      <w:r w:rsidR="00000F78">
        <w:t>träckningar a</w:t>
      </w:r>
      <w:r w:rsidR="00A4542D">
        <w:t>v</w:t>
      </w:r>
      <w:r w:rsidR="00000F78">
        <w:t xml:space="preserve"> k</w:t>
      </w:r>
      <w:r w:rsidR="00000F78">
        <w:t>a</w:t>
      </w:r>
      <w:r w:rsidR="00000F78">
        <w:t xml:space="preserve">bel och rörledningar. </w:t>
      </w:r>
      <w:r w:rsidR="00A4542D">
        <w:t xml:space="preserve">All denna verksamhet leder till en stor påfrestning på haven och en konkurrens </w:t>
      </w:r>
      <w:r w:rsidR="008D681F">
        <w:t>mellan olika intressen. För att haven fortsät</w:t>
      </w:r>
      <w:r w:rsidR="008D681F">
        <w:t>t</w:t>
      </w:r>
      <w:r w:rsidR="008D681F">
        <w:t>ningsvis ska kunna användas på samma sätt som idag och även klara en i</w:t>
      </w:r>
      <w:r w:rsidR="008D681F">
        <w:t>n</w:t>
      </w:r>
      <w:r w:rsidR="008D681F">
        <w:t xml:space="preserve">tensifierad användning i framtiden är det av största vikt att haven förblir livskraftiga med välfungerande ekosystem. </w:t>
      </w:r>
      <w:r w:rsidR="00DA19A6">
        <w:t>Utskottet finner det positivt att en havsplaneringsprocess, som reglerar användandet och fördelningen me</w:t>
      </w:r>
      <w:r w:rsidR="00DA19A6">
        <w:t>l</w:t>
      </w:r>
      <w:r w:rsidR="00DA19A6">
        <w:t>lan olika intressen</w:t>
      </w:r>
      <w:r w:rsidR="00D171A0">
        <w:t xml:space="preserve"> i havsområdena</w:t>
      </w:r>
      <w:r w:rsidR="00CD0D2B">
        <w:t xml:space="preserve"> samt bevarandet och skyddet av den m</w:t>
      </w:r>
      <w:r w:rsidR="00CD0D2B">
        <w:t>a</w:t>
      </w:r>
      <w:r w:rsidR="00CD0D2B">
        <w:t>rina miljön</w:t>
      </w:r>
      <w:r w:rsidR="00DA19A6">
        <w:t>, införs</w:t>
      </w:r>
      <w:r w:rsidR="000D189B">
        <w:t>.</w:t>
      </w:r>
      <w:r w:rsidR="00DA19A6">
        <w:t xml:space="preserve">  </w:t>
      </w:r>
    </w:p>
    <w:p w:rsidR="00775E25" w:rsidRDefault="005F13EB" w:rsidP="00C9518E">
      <w:pPr>
        <w:pStyle w:val="ANormal"/>
        <w:tabs>
          <w:tab w:val="clear" w:pos="283"/>
          <w:tab w:val="left" w:pos="284"/>
        </w:tabs>
      </w:pPr>
      <w:r>
        <w:tab/>
      </w:r>
      <w:r w:rsidR="00D171A0">
        <w:t>En</w:t>
      </w:r>
      <w:r w:rsidR="000D189B">
        <w:t>ligt havsplaneringsdirektivet ska de planer som tas fram uttryckligen beakta samspelet mellan hav och land och främja samstämmigheten mellan olika planer.  Utskottet har erfarit att ett antal av de områden som enligt lagförslagets 24a § föreslås ingå i havsplaneringen</w:t>
      </w:r>
      <w:r w:rsidR="005308D9">
        <w:t xml:space="preserve">, exempelvis </w:t>
      </w:r>
      <w:r w:rsidR="00C12C36">
        <w:t xml:space="preserve">energi till havs, sjötransporter, fiske samt sträckningar av kabel och röreldningar, är områden som även </w:t>
      </w:r>
      <w:r w:rsidR="000D189B">
        <w:t>kan ingå</w:t>
      </w:r>
      <w:r w:rsidR="005308D9">
        <w:t xml:space="preserve"> i kommunernas delgeneralplaner</w:t>
      </w:r>
      <w:r w:rsidR="00422BF1">
        <w:t xml:space="preserve">. </w:t>
      </w:r>
      <w:r w:rsidR="00C12C36" w:rsidRPr="00C12C36">
        <w:t>Utskottet d</w:t>
      </w:r>
      <w:r w:rsidR="00C12C36" w:rsidRPr="00C12C36">
        <w:t>e</w:t>
      </w:r>
      <w:r w:rsidR="00C12C36" w:rsidRPr="00C12C36">
        <w:t>lar landskapsregeringen uppfattning att det är viktigt att plan- och byggl</w:t>
      </w:r>
      <w:r w:rsidR="00C12C36" w:rsidRPr="00C12C36">
        <w:t>a</w:t>
      </w:r>
      <w:r w:rsidR="00C12C36" w:rsidRPr="00C12C36">
        <w:t>gen och vattenlagen samordnas vid de revideringar av lagarna som nu p</w:t>
      </w:r>
      <w:r w:rsidR="00C12C36" w:rsidRPr="00C12C36">
        <w:t>å</w:t>
      </w:r>
      <w:r w:rsidR="00C12C36" w:rsidRPr="00C12C36">
        <w:t xml:space="preserve">går, och att gränsdragningen, befogenheterna och tillämpningsområdena mellan de båda lagarna tydliggörs för att </w:t>
      </w:r>
      <w:r w:rsidR="00BF1F6D">
        <w:t xml:space="preserve">skapa samstämmighet mellan olika planer. </w:t>
      </w:r>
      <w:r w:rsidR="00C12C36" w:rsidRPr="00C12C36">
        <w:t xml:space="preserve"> </w:t>
      </w:r>
      <w:r w:rsidR="00422BF1">
        <w:t xml:space="preserve"> </w:t>
      </w:r>
      <w:r w:rsidR="000D189B">
        <w:t xml:space="preserve"> </w:t>
      </w:r>
    </w:p>
    <w:p w:rsidR="006D48C7" w:rsidRDefault="002661D4" w:rsidP="00D171A0">
      <w:pPr>
        <w:pStyle w:val="ANormal"/>
        <w:tabs>
          <w:tab w:val="clear" w:pos="283"/>
        </w:tabs>
        <w:ind w:firstLine="284"/>
        <w:rPr>
          <w:i/>
        </w:rPr>
      </w:pPr>
      <w:r>
        <w:t>H</w:t>
      </w:r>
      <w:r w:rsidR="004D4BC1">
        <w:t xml:space="preserve">avsplanerna ska </w:t>
      </w:r>
      <w:r>
        <w:t xml:space="preserve">enligt lagförslaget </w:t>
      </w:r>
      <w:r w:rsidR="004D4BC1">
        <w:t xml:space="preserve">beredas </w:t>
      </w:r>
      <w:r w:rsidR="004937F5">
        <w:t xml:space="preserve">i samarbete </w:t>
      </w:r>
      <w:r w:rsidR="005C6D1D">
        <w:t xml:space="preserve">såväl </w:t>
      </w:r>
      <w:r w:rsidR="004D4BC1">
        <w:t>med b</w:t>
      </w:r>
      <w:r w:rsidR="004D4BC1">
        <w:t>e</w:t>
      </w:r>
      <w:r w:rsidR="004D4BC1">
        <w:t xml:space="preserve">rörda kommuner och andra myndigheter </w:t>
      </w:r>
      <w:r w:rsidR="004937F5">
        <w:t xml:space="preserve">inom landskapet </w:t>
      </w:r>
      <w:r w:rsidR="005C6D1D">
        <w:t>som</w:t>
      </w:r>
      <w:r w:rsidR="007817FD">
        <w:t xml:space="preserve"> </w:t>
      </w:r>
      <w:r w:rsidR="004937F5">
        <w:t xml:space="preserve">med </w:t>
      </w:r>
      <w:r w:rsidR="004D4BC1">
        <w:t>rel</w:t>
      </w:r>
      <w:r w:rsidR="004D4BC1">
        <w:t>e</w:t>
      </w:r>
      <w:r w:rsidR="004D4BC1">
        <w:t xml:space="preserve">vanta myndigheter i angränsande regioner </w:t>
      </w:r>
      <w:r w:rsidR="004937F5">
        <w:t xml:space="preserve">utanför </w:t>
      </w:r>
      <w:r w:rsidR="004D4BC1">
        <w:t xml:space="preserve">landskapet. </w:t>
      </w:r>
      <w:r w:rsidR="005F13EB">
        <w:t>För samor</w:t>
      </w:r>
      <w:r w:rsidR="005F13EB">
        <w:t>d</w:t>
      </w:r>
      <w:r w:rsidR="005F13EB">
        <w:t>ning av havsplanerna och säkerställande</w:t>
      </w:r>
      <w:r w:rsidR="00C438EC">
        <w:t>t</w:t>
      </w:r>
      <w:r w:rsidR="005F13EB">
        <w:t xml:space="preserve"> av att havsplanerna är enhetliga </w:t>
      </w:r>
      <w:r w:rsidR="00F61971">
        <w:t>anser</w:t>
      </w:r>
      <w:r>
        <w:t xml:space="preserve"> </w:t>
      </w:r>
      <w:r w:rsidR="00D66685">
        <w:t>utskottet a</w:t>
      </w:r>
      <w:r>
        <w:t xml:space="preserve">tt det är </w:t>
      </w:r>
      <w:r w:rsidR="007817FD">
        <w:t>viktigt</w:t>
      </w:r>
      <w:r>
        <w:t xml:space="preserve"> att planer</w:t>
      </w:r>
      <w:r w:rsidR="00D66685">
        <w:t>na</w:t>
      </w:r>
      <w:r>
        <w:t xml:space="preserve"> </w:t>
      </w:r>
      <w:r w:rsidR="00F61971">
        <w:t xml:space="preserve">tas </w:t>
      </w:r>
      <w:r w:rsidR="004937F5">
        <w:t>f</w:t>
      </w:r>
      <w:r w:rsidR="00F61971">
        <w:t xml:space="preserve">ram </w:t>
      </w:r>
      <w:r>
        <w:t>i samarbete med lä</w:t>
      </w:r>
      <w:r>
        <w:t>n</w:t>
      </w:r>
      <w:r>
        <w:t>der</w:t>
      </w:r>
      <w:r w:rsidR="00A434BB">
        <w:t>na</w:t>
      </w:r>
      <w:r>
        <w:t xml:space="preserve"> runt Östersjön </w:t>
      </w:r>
      <w:r w:rsidR="00F04F05">
        <w:t xml:space="preserve">och i synnerhet med </w:t>
      </w:r>
      <w:r w:rsidR="005F13EB" w:rsidRPr="00F04F05">
        <w:t>angränsande regioner</w:t>
      </w:r>
      <w:r w:rsidR="00F04F05">
        <w:t>,</w:t>
      </w:r>
      <w:r w:rsidR="005F13EB">
        <w:rPr>
          <w:i/>
        </w:rPr>
        <w:t xml:space="preserve"> </w:t>
      </w:r>
      <w:r w:rsidR="005C6D1D">
        <w:t>ut</w:t>
      </w:r>
      <w:r w:rsidR="004937F5">
        <w:t xml:space="preserve">ifrån en </w:t>
      </w:r>
      <w:r w:rsidR="00E6520B">
        <w:t xml:space="preserve">samsyn och gemensam </w:t>
      </w:r>
      <w:r w:rsidR="004937F5">
        <w:t>ambitionsnivå vad gäller skyddet och bevarandet av den marina miljön.</w:t>
      </w:r>
      <w:r w:rsidR="00F61971">
        <w:t xml:space="preserve"> </w:t>
      </w:r>
      <w:r w:rsidR="00775E25">
        <w:t xml:space="preserve"> </w:t>
      </w:r>
      <w:r w:rsidR="000D189B">
        <w:t xml:space="preserve"> </w:t>
      </w:r>
      <w:r w:rsidR="00671D48" w:rsidRPr="008F20B4">
        <w:rPr>
          <w:i/>
        </w:rPr>
        <w:t xml:space="preserve"> </w:t>
      </w:r>
    </w:p>
    <w:p w:rsidR="00C9518E" w:rsidRPr="00C9518E" w:rsidRDefault="00C9518E" w:rsidP="00C9518E">
      <w:pPr>
        <w:pStyle w:val="ANormal"/>
        <w:tabs>
          <w:tab w:val="clear" w:pos="283"/>
        </w:tabs>
        <w:ind w:firstLine="284"/>
      </w:pPr>
      <w:r w:rsidRPr="00C9518E">
        <w:t xml:space="preserve">Utskottet </w:t>
      </w:r>
      <w:r w:rsidR="00C438EC">
        <w:t xml:space="preserve">understryker vikten </w:t>
      </w:r>
      <w:r w:rsidRPr="00C9518E">
        <w:t>av att den kommande havsplaneringen i tillräcklig omfattning fokuserar på skyddet och bevarandet av den marina miljön. Utskottet anser att det är av stor vikt att ekosystemtjänsternas bet</w:t>
      </w:r>
      <w:r w:rsidRPr="00C9518E">
        <w:t>y</w:t>
      </w:r>
      <w:r w:rsidRPr="00C9518E">
        <w:t xml:space="preserve">delse och värde beaktas i havsplaneringen samt att användningen sker inom gränserna för vad ekosystemen tål.  </w:t>
      </w:r>
    </w:p>
    <w:p w:rsidR="00A434BB" w:rsidRDefault="00F07DFF" w:rsidP="00D171A0">
      <w:pPr>
        <w:pStyle w:val="ANormal"/>
      </w:pPr>
      <w:r>
        <w:tab/>
      </w:r>
      <w:r w:rsidR="00054BA7">
        <w:t xml:space="preserve">För att </w:t>
      </w:r>
      <w:r>
        <w:t xml:space="preserve">havsplanen ska kunna fungera som ett vägledande instrument för kommuner och andra myndigheter vid planläggning och användning av kustvatten och marina vatten </w:t>
      </w:r>
      <w:r w:rsidR="00C438EC">
        <w:t>bör den kommande havsplanen enligt utsko</w:t>
      </w:r>
      <w:r w:rsidR="00C438EC">
        <w:t>t</w:t>
      </w:r>
      <w:r w:rsidR="00C438EC">
        <w:t xml:space="preserve">tet </w:t>
      </w:r>
      <w:r w:rsidR="00054BA7">
        <w:t>tydlig</w:t>
      </w:r>
      <w:r w:rsidR="00C438EC">
        <w:t>t</w:t>
      </w:r>
      <w:r w:rsidR="00054BA7">
        <w:t xml:space="preserve"> och klart </w:t>
      </w:r>
      <w:r>
        <w:t>redogör</w:t>
      </w:r>
      <w:r w:rsidR="00C438EC">
        <w:t>a</w:t>
      </w:r>
      <w:r>
        <w:t xml:space="preserve"> </w:t>
      </w:r>
      <w:r w:rsidR="00C438EC">
        <w:t xml:space="preserve">vilka </w:t>
      </w:r>
      <w:r>
        <w:t>målsättningar</w:t>
      </w:r>
      <w:r w:rsidR="00C438EC">
        <w:t>na är, hur eventuella må</w:t>
      </w:r>
      <w:r w:rsidR="00C438EC">
        <w:t>l</w:t>
      </w:r>
      <w:r w:rsidR="00C438EC">
        <w:t xml:space="preserve">konflikter har hanterats samt vilka prioriteringar som har gjorts. </w:t>
      </w:r>
    </w:p>
    <w:p w:rsidR="00CD0D2B" w:rsidRDefault="00CD0D2B" w:rsidP="00D171A0">
      <w:pPr>
        <w:pStyle w:val="ANormal"/>
        <w:rPr>
          <w:sz w:val="10"/>
          <w:szCs w:val="10"/>
        </w:rPr>
      </w:pPr>
    </w:p>
    <w:p w:rsidR="00CD0D2B" w:rsidRDefault="00CD0D2B" w:rsidP="00D171A0">
      <w:pPr>
        <w:pStyle w:val="ANormal"/>
        <w:rPr>
          <w:sz w:val="26"/>
          <w:szCs w:val="26"/>
        </w:rPr>
      </w:pPr>
      <w:r>
        <w:rPr>
          <w:sz w:val="26"/>
          <w:szCs w:val="26"/>
        </w:rPr>
        <w:t>Detaljmotivering</w:t>
      </w:r>
    </w:p>
    <w:p w:rsidR="00CD0D2B" w:rsidRDefault="00CD0D2B" w:rsidP="00D171A0">
      <w:pPr>
        <w:pStyle w:val="ANormal"/>
        <w:rPr>
          <w:sz w:val="10"/>
          <w:szCs w:val="10"/>
        </w:rPr>
      </w:pPr>
    </w:p>
    <w:p w:rsidR="00CD0D2B" w:rsidRPr="00CD0D2B" w:rsidRDefault="00CD0D2B" w:rsidP="00D171A0">
      <w:pPr>
        <w:pStyle w:val="ANormal"/>
        <w:rPr>
          <w:szCs w:val="22"/>
        </w:rPr>
      </w:pPr>
      <w:r>
        <w:rPr>
          <w:b/>
          <w:szCs w:val="22"/>
        </w:rPr>
        <w:t xml:space="preserve">24a § </w:t>
      </w:r>
      <w:r>
        <w:rPr>
          <w:szCs w:val="22"/>
        </w:rPr>
        <w:t>Ändringarna är av språklig natur.</w:t>
      </w:r>
    </w:p>
    <w:p w:rsidR="002401D0" w:rsidRDefault="002401D0" w:rsidP="00DA19A6">
      <w:pPr>
        <w:pStyle w:val="ANormal"/>
        <w:ind w:hanging="1571"/>
      </w:pPr>
    </w:p>
    <w:p w:rsidR="002401D0" w:rsidRDefault="002401D0">
      <w:pPr>
        <w:pStyle w:val="RubrikA"/>
      </w:pPr>
      <w:bookmarkStart w:id="10" w:name="_Toc529800936"/>
      <w:bookmarkStart w:id="11" w:name="_Toc491852008"/>
      <w:r>
        <w:t>Ärendets behandling</w:t>
      </w:r>
      <w:bookmarkEnd w:id="10"/>
      <w:bookmarkEnd w:id="11"/>
    </w:p>
    <w:p w:rsidR="002401D0" w:rsidRDefault="002401D0">
      <w:pPr>
        <w:pStyle w:val="Rubrikmellanrum"/>
      </w:pPr>
    </w:p>
    <w:p w:rsidR="002D17D3" w:rsidRDefault="002D17D3" w:rsidP="002D17D3">
      <w:pPr>
        <w:pStyle w:val="ANormal"/>
      </w:pPr>
      <w:r>
        <w:t>Lagtinget har den 5 juni 2017</w:t>
      </w:r>
      <w:r w:rsidRPr="009A273F">
        <w:t xml:space="preserve"> inbegärt </w:t>
      </w:r>
      <w:r>
        <w:t>social- och miljöutskottets</w:t>
      </w:r>
      <w:r w:rsidRPr="009A273F">
        <w:t xml:space="preserve"> yttrande i ärendet.</w:t>
      </w:r>
      <w:r>
        <w:t xml:space="preserve"> </w:t>
      </w:r>
    </w:p>
    <w:p w:rsidR="00907139" w:rsidRDefault="002D17D3" w:rsidP="002D17D3">
      <w:pPr>
        <w:pStyle w:val="ANormal"/>
      </w:pPr>
      <w:r>
        <w:tab/>
        <w:t>Utskottet har i ärendet hört</w:t>
      </w:r>
      <w:r w:rsidR="00907139">
        <w:t xml:space="preserve"> vicelantrådet Camilla Gunell, arkitekten U</w:t>
      </w:r>
      <w:r w:rsidR="00907139">
        <w:t>r</w:t>
      </w:r>
      <w:r w:rsidR="00907139">
        <w:t xml:space="preserve">sula Koponen, </w:t>
      </w:r>
      <w:r w:rsidR="00907139" w:rsidRPr="00907139">
        <w:t xml:space="preserve">chefen för vattenmiljö Åsa Ranung </w:t>
      </w:r>
      <w:r w:rsidR="00907139">
        <w:t>från V</w:t>
      </w:r>
      <w:r w:rsidR="00907139" w:rsidRPr="00907139">
        <w:t xml:space="preserve">ärldsnaturfonden i Sverige </w:t>
      </w:r>
      <w:r w:rsidR="00907139">
        <w:t xml:space="preserve">och vattenbiologen Mikael Wennström. </w:t>
      </w:r>
    </w:p>
    <w:p w:rsidR="002D17D3" w:rsidRPr="00D91EE7" w:rsidRDefault="00907139" w:rsidP="002D17D3">
      <w:pPr>
        <w:pStyle w:val="ANormal"/>
      </w:pPr>
      <w:r>
        <w:tab/>
      </w:r>
      <w:r w:rsidR="002D17D3" w:rsidRPr="009A273F">
        <w:t xml:space="preserve">I ärendets avgörande behandling deltog ordföranden </w:t>
      </w:r>
      <w:r w:rsidR="002D17D3" w:rsidRPr="00D91EE7">
        <w:t xml:space="preserve">Carina Aaltonen, </w:t>
      </w:r>
    </w:p>
    <w:p w:rsidR="002D17D3" w:rsidRPr="00D91EE7" w:rsidRDefault="002D17D3" w:rsidP="002D17D3">
      <w:pPr>
        <w:pStyle w:val="ANormal"/>
      </w:pPr>
      <w:r w:rsidRPr="00D91EE7">
        <w:t>viceordföranden Mikael Lindholm</w:t>
      </w:r>
      <w:r>
        <w:t xml:space="preserve"> samt </w:t>
      </w:r>
      <w:r w:rsidRPr="00D91EE7">
        <w:t xml:space="preserve">ledamöterna </w:t>
      </w:r>
      <w:r>
        <w:t xml:space="preserve">Fredrik </w:t>
      </w:r>
      <w:proofErr w:type="gramStart"/>
      <w:r>
        <w:t xml:space="preserve">Fredlund, </w:t>
      </w:r>
      <w:r w:rsidRPr="00D91EE7">
        <w:t xml:space="preserve"> </w:t>
      </w:r>
      <w:r>
        <w:t>Igge</w:t>
      </w:r>
      <w:proofErr w:type="gramEnd"/>
      <w:r>
        <w:t xml:space="preserve"> Holmberg, </w:t>
      </w:r>
      <w:r w:rsidRPr="00D91EE7">
        <w:t>Torsten Sundblom och Pernilla Söderlund.</w:t>
      </w:r>
    </w:p>
    <w:p w:rsidR="002401D0" w:rsidRDefault="002401D0">
      <w:pPr>
        <w:pStyle w:val="ANormal"/>
      </w:pPr>
    </w:p>
    <w:p w:rsidR="00F04F05" w:rsidRDefault="00F04F05">
      <w:pPr>
        <w:pStyle w:val="RubrikA"/>
      </w:pPr>
      <w:bookmarkStart w:id="12" w:name="_Toc529800937"/>
      <w:bookmarkStart w:id="13" w:name="_Toc491852009"/>
    </w:p>
    <w:p w:rsidR="00F04F05" w:rsidRDefault="00F04F05">
      <w:pPr>
        <w:pStyle w:val="RubrikA"/>
      </w:pPr>
    </w:p>
    <w:p w:rsidR="002401D0" w:rsidRDefault="002401D0">
      <w:pPr>
        <w:pStyle w:val="RubrikA"/>
      </w:pPr>
      <w:r>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r>
        <w:t>att lagtinget</w:t>
      </w:r>
      <w:r w:rsidR="002D17D3">
        <w:t xml:space="preserve"> antar lagförslaget i följande lydelse:</w:t>
      </w:r>
    </w:p>
    <w:p w:rsidR="002D17D3" w:rsidRPr="002D17D3" w:rsidRDefault="002D17D3" w:rsidP="002D17D3">
      <w:pPr>
        <w:pStyle w:val="ANormal"/>
      </w:pPr>
    </w:p>
    <w:p w:rsidR="002D17D3" w:rsidRPr="00D341A5" w:rsidRDefault="002D17D3" w:rsidP="002D17D3">
      <w:pPr>
        <w:pStyle w:val="LagHuvRubr"/>
      </w:pPr>
      <w:bookmarkStart w:id="14" w:name="_Toc483818465"/>
      <w:r w:rsidRPr="00D341A5">
        <w:t>L A N D S K A P S L A G</w:t>
      </w:r>
      <w:r w:rsidRPr="00D341A5">
        <w:br/>
        <w:t>om</w:t>
      </w:r>
      <w:r>
        <w:t xml:space="preserve"> ändring av vattenlagen för landskapet Åland</w:t>
      </w:r>
      <w:bookmarkEnd w:id="14"/>
    </w:p>
    <w:p w:rsidR="002D17D3" w:rsidRPr="00D341A5" w:rsidRDefault="002D17D3" w:rsidP="002D17D3">
      <w:pPr>
        <w:pStyle w:val="ANormal"/>
      </w:pPr>
    </w:p>
    <w:p w:rsidR="002D17D3" w:rsidRDefault="002D17D3" w:rsidP="002D17D3">
      <w:pPr>
        <w:pStyle w:val="ANormal"/>
      </w:pPr>
      <w:r w:rsidRPr="00D341A5">
        <w:tab/>
      </w:r>
      <w:r w:rsidR="00907139">
        <w:t>(Ingressen lika som i lagförslaget).</w:t>
      </w:r>
    </w:p>
    <w:p w:rsidR="002D17D3" w:rsidRDefault="002D17D3" w:rsidP="002D17D3">
      <w:pPr>
        <w:pStyle w:val="ANormal"/>
      </w:pPr>
    </w:p>
    <w:p w:rsidR="002D17D3" w:rsidRDefault="002D17D3" w:rsidP="002D17D3">
      <w:pPr>
        <w:pStyle w:val="LagKapitel"/>
      </w:pPr>
      <w:r>
        <w:t>5 kap.</w:t>
      </w:r>
      <w:r>
        <w:br/>
        <w:t>Bestämmelser om vattenkvalitet</w:t>
      </w:r>
    </w:p>
    <w:p w:rsidR="002D17D3" w:rsidRPr="003B4958" w:rsidRDefault="002D17D3" w:rsidP="002D17D3">
      <w:pPr>
        <w:pStyle w:val="ANormal"/>
      </w:pPr>
    </w:p>
    <w:p w:rsidR="002D17D3" w:rsidRDefault="002D17D3" w:rsidP="002D17D3">
      <w:pPr>
        <w:pStyle w:val="LagParagraf"/>
      </w:pPr>
      <w:r>
        <w:t>24a §</w:t>
      </w:r>
    </w:p>
    <w:p w:rsidR="002D17D3" w:rsidRDefault="002D17D3" w:rsidP="002D17D3">
      <w:pPr>
        <w:pStyle w:val="LagPararubrik"/>
      </w:pPr>
      <w:r>
        <w:t>Havsplanering</w:t>
      </w:r>
    </w:p>
    <w:p w:rsidR="002D17D3" w:rsidRDefault="002D17D3" w:rsidP="002D17D3">
      <w:pPr>
        <w:pStyle w:val="ANormal"/>
      </w:pPr>
      <w:r>
        <w:t xml:space="preserve"> </w:t>
      </w:r>
      <w:r>
        <w:tab/>
      </w:r>
      <w:r w:rsidR="00A751F1">
        <w:t>(1-3 mom. lika som i lagförslaget).</w:t>
      </w:r>
    </w:p>
    <w:p w:rsidR="002D17D3" w:rsidRPr="00A751F1" w:rsidRDefault="002D17D3" w:rsidP="002D17D3">
      <w:pPr>
        <w:pStyle w:val="ANormal"/>
        <w:rPr>
          <w:i/>
        </w:rPr>
      </w:pPr>
      <w:r>
        <w:tab/>
        <w:t>I planen ska identifieras den rumsliga och tidsmässiga utbredningen av relevanta befintliga och framtida verksamheter, intressen och användning</w:t>
      </w:r>
      <w:r>
        <w:t>s</w:t>
      </w:r>
      <w:r>
        <w:t>områden. Därvid ska beaktas åtminstone sektorerna energi till havs, råvar</w:t>
      </w:r>
      <w:r>
        <w:t>u</w:t>
      </w:r>
      <w:r>
        <w:t>utvinning, sjötransport, sträckningar av kabel och rörledningar, fiske och vattenbruk, turism, rekreation och maritimt kulturarv. Planen ska vidare b</w:t>
      </w:r>
      <w:r>
        <w:t>e</w:t>
      </w:r>
      <w:r>
        <w:t xml:space="preserve">akta bevarande, skydd och förbättring av miljön inklusive motståndskraft mot effekterna av klimatförändringar samt </w:t>
      </w:r>
      <w:r w:rsidRPr="00A751F1">
        <w:rPr>
          <w:i/>
        </w:rPr>
        <w:t>ekosystemtjänster.</w:t>
      </w:r>
    </w:p>
    <w:p w:rsidR="002D17D3" w:rsidRDefault="002D17D3" w:rsidP="002D17D3">
      <w:pPr>
        <w:pStyle w:val="ANormal"/>
      </w:pPr>
      <w:r>
        <w:tab/>
      </w:r>
      <w:r w:rsidR="00A97884">
        <w:t xml:space="preserve">(5 mom. lika som i lagförslaget). </w:t>
      </w:r>
    </w:p>
    <w:p w:rsidR="002D17D3" w:rsidRDefault="002D17D3" w:rsidP="002D17D3">
      <w:pPr>
        <w:pStyle w:val="ANormal"/>
      </w:pPr>
      <w:r>
        <w:tab/>
        <w:t>I havsplanen ska ingå kartor samt beskrivningar som redovisar:</w:t>
      </w:r>
    </w:p>
    <w:p w:rsidR="002D17D3" w:rsidRDefault="002D17D3" w:rsidP="002D17D3">
      <w:pPr>
        <w:pStyle w:val="ANormal"/>
      </w:pPr>
      <w:r>
        <w:tab/>
        <w:t>a) nuvarande och förslag till framtida användning av kust- och havso</w:t>
      </w:r>
      <w:r>
        <w:t>m</w:t>
      </w:r>
      <w:r>
        <w:t>råden,</w:t>
      </w:r>
    </w:p>
    <w:p w:rsidR="002D17D3" w:rsidRDefault="002D17D3" w:rsidP="002D17D3">
      <w:pPr>
        <w:pStyle w:val="ANormal"/>
      </w:pPr>
      <w:r>
        <w:tab/>
        <w:t>b) intressen och användningsområden av väsentlig betydelse samt b</w:t>
      </w:r>
      <w:r>
        <w:t>e</w:t>
      </w:r>
      <w:r>
        <w:t>skrivning av hur landbaserade verksamheter påverkar dessa samt</w:t>
      </w:r>
    </w:p>
    <w:p w:rsidR="002D17D3" w:rsidRDefault="002D17D3" w:rsidP="002D17D3">
      <w:pPr>
        <w:pStyle w:val="ANormal"/>
      </w:pPr>
      <w:r>
        <w:tab/>
        <w:t xml:space="preserve">c) innebörd och konsekvenser av användningen av </w:t>
      </w:r>
      <w:r w:rsidR="00707C93" w:rsidRPr="00707C93">
        <w:rPr>
          <w:i/>
        </w:rPr>
        <w:t>kust- och</w:t>
      </w:r>
      <w:r w:rsidR="00707C93">
        <w:t xml:space="preserve"> </w:t>
      </w:r>
      <w:r w:rsidRPr="00A97884">
        <w:rPr>
          <w:i/>
        </w:rPr>
        <w:t>havsomr</w:t>
      </w:r>
      <w:r w:rsidRPr="00A97884">
        <w:rPr>
          <w:i/>
        </w:rPr>
        <w:t>å</w:t>
      </w:r>
      <w:r w:rsidRPr="00A97884">
        <w:rPr>
          <w:i/>
        </w:rPr>
        <w:t>de</w:t>
      </w:r>
      <w:r w:rsidR="00A97884">
        <w:rPr>
          <w:i/>
        </w:rPr>
        <w:t>n</w:t>
      </w:r>
      <w:r>
        <w:t xml:space="preserve"> enligt planen.</w:t>
      </w:r>
    </w:p>
    <w:p w:rsidR="002D17D3" w:rsidRDefault="002D17D3" w:rsidP="002D17D3">
      <w:pPr>
        <w:pStyle w:val="ANormal"/>
      </w:pPr>
    </w:p>
    <w:p w:rsidR="002D17D3" w:rsidRDefault="002D17D3" w:rsidP="002D17D3">
      <w:pPr>
        <w:pStyle w:val="LagParagraf"/>
      </w:pPr>
      <w:r>
        <w:t>24b §</w:t>
      </w:r>
    </w:p>
    <w:p w:rsidR="002D17D3" w:rsidRDefault="002D17D3" w:rsidP="002D17D3">
      <w:pPr>
        <w:pStyle w:val="ANormal"/>
      </w:pPr>
      <w:r>
        <w:tab/>
      </w:r>
      <w:r w:rsidR="00AA5B03">
        <w:t xml:space="preserve">(Lika som i lagförslaget). </w:t>
      </w:r>
      <w:r>
        <w:t xml:space="preserve"> </w:t>
      </w:r>
    </w:p>
    <w:p w:rsidR="002D17D3" w:rsidRDefault="00A643AF" w:rsidP="002D17D3">
      <w:pPr>
        <w:pStyle w:val="ANormal"/>
        <w:jc w:val="center"/>
      </w:pPr>
      <w:hyperlink w:anchor="_top" w:tooltip="Klicka för att gå till toppen av dokumentet" w:history="1">
        <w:r w:rsidR="002D17D3">
          <w:rPr>
            <w:rStyle w:val="Hyperlnk"/>
          </w:rPr>
          <w:t>__________________</w:t>
        </w:r>
      </w:hyperlink>
    </w:p>
    <w:p w:rsidR="002D17D3" w:rsidRDefault="002D17D3" w:rsidP="002D17D3">
      <w:pPr>
        <w:pStyle w:val="ANormal"/>
      </w:pPr>
    </w:p>
    <w:p w:rsidR="002D17D3" w:rsidRDefault="002D17D3" w:rsidP="002D17D3">
      <w:pPr>
        <w:pStyle w:val="ANormal"/>
      </w:pPr>
    </w:p>
    <w:p w:rsidR="002D17D3" w:rsidRDefault="002D17D3" w:rsidP="002D17D3">
      <w:pPr>
        <w:pStyle w:val="ANormal"/>
      </w:pPr>
      <w:r>
        <w:tab/>
      </w:r>
      <w:r w:rsidR="00AA5B03">
        <w:t xml:space="preserve">(Ikraftträdelsebestämmelsen lika som i lagförslaget). </w:t>
      </w:r>
    </w:p>
    <w:p w:rsidR="002D17D3" w:rsidRPr="002D17D3" w:rsidRDefault="002D17D3" w:rsidP="002D17D3">
      <w:pPr>
        <w:pStyle w:val="ANormal"/>
      </w:pPr>
    </w:p>
    <w:p w:rsidR="002401D0" w:rsidRDefault="00A643AF">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F04F05">
            <w:pPr>
              <w:pStyle w:val="ANormal"/>
              <w:keepNext/>
            </w:pPr>
            <w:r>
              <w:t xml:space="preserve">Mariehamn den </w:t>
            </w:r>
            <w:r w:rsidR="00F04F05">
              <w:t>5 september</w:t>
            </w:r>
            <w:r w:rsidR="002D17D3">
              <w:t xml:space="preserve"> 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2D17D3">
            <w:pPr>
              <w:pStyle w:val="ANormal"/>
              <w:keepNext/>
            </w:pPr>
            <w:r>
              <w:t>Carina Aaltonen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2D17D3">
            <w:pPr>
              <w:pStyle w:val="ANormal"/>
              <w:keepNext/>
            </w:pPr>
            <w:r>
              <w:t>Carina Strand</w:t>
            </w:r>
          </w:p>
        </w:tc>
      </w:tr>
    </w:tbl>
    <w:p w:rsidR="002401D0" w:rsidRDefault="002401D0">
      <w:pPr>
        <w:pStyle w:val="ANormal"/>
      </w:pPr>
    </w:p>
    <w:sectPr w:rsidR="002401D0">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38" w:rsidRDefault="006D0638">
      <w:r>
        <w:separator/>
      </w:r>
    </w:p>
  </w:endnote>
  <w:endnote w:type="continuationSeparator" w:id="0">
    <w:p w:rsidR="006D0638" w:rsidRDefault="006D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803C62">
      <w:rPr>
        <w:noProof/>
        <w:lang w:val="fi-FI"/>
      </w:rPr>
      <w:t>SMU1820162017.docx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38" w:rsidRDefault="006D0638">
      <w:r>
        <w:separator/>
      </w:r>
    </w:p>
  </w:footnote>
  <w:footnote w:type="continuationSeparator" w:id="0">
    <w:p w:rsidR="006D0638" w:rsidRDefault="006D0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803C62">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643AF">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A41128D"/>
    <w:multiLevelType w:val="hybridMultilevel"/>
    <w:tmpl w:val="52D2C77E"/>
    <w:lvl w:ilvl="0" w:tplc="081D000F">
      <w:start w:val="1"/>
      <w:numFmt w:val="decimal"/>
      <w:lvlText w:val="%1."/>
      <w:lvlJc w:val="left"/>
      <w:pPr>
        <w:ind w:left="720" w:hanging="360"/>
      </w:pPr>
      <w:rPr>
        <w:rFonts w:hint="default"/>
        <w:i w:val="0"/>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7D3"/>
    <w:rsid w:val="00000F78"/>
    <w:rsid w:val="00015E9C"/>
    <w:rsid w:val="00020577"/>
    <w:rsid w:val="00024660"/>
    <w:rsid w:val="00044E10"/>
    <w:rsid w:val="00051556"/>
    <w:rsid w:val="00054BA7"/>
    <w:rsid w:val="000B2DC9"/>
    <w:rsid w:val="000C75C2"/>
    <w:rsid w:val="000D189B"/>
    <w:rsid w:val="000F7417"/>
    <w:rsid w:val="0015337C"/>
    <w:rsid w:val="002128F9"/>
    <w:rsid w:val="002401D0"/>
    <w:rsid w:val="0025425C"/>
    <w:rsid w:val="002661D4"/>
    <w:rsid w:val="002D17D3"/>
    <w:rsid w:val="0036359C"/>
    <w:rsid w:val="003B6D8F"/>
    <w:rsid w:val="00420108"/>
    <w:rsid w:val="00422BF1"/>
    <w:rsid w:val="00484B94"/>
    <w:rsid w:val="00487303"/>
    <w:rsid w:val="004937F5"/>
    <w:rsid w:val="004C1F01"/>
    <w:rsid w:val="004C3F00"/>
    <w:rsid w:val="004D4BC1"/>
    <w:rsid w:val="005308D9"/>
    <w:rsid w:val="0055059C"/>
    <w:rsid w:val="005A1DCE"/>
    <w:rsid w:val="005C6D1D"/>
    <w:rsid w:val="005E7699"/>
    <w:rsid w:val="005F13EB"/>
    <w:rsid w:val="00671D48"/>
    <w:rsid w:val="006B2E9E"/>
    <w:rsid w:val="006D0638"/>
    <w:rsid w:val="006D48C7"/>
    <w:rsid w:val="006F235E"/>
    <w:rsid w:val="00707C93"/>
    <w:rsid w:val="00723B93"/>
    <w:rsid w:val="00775E25"/>
    <w:rsid w:val="007817FD"/>
    <w:rsid w:val="007C03FB"/>
    <w:rsid w:val="007E35B6"/>
    <w:rsid w:val="00803C62"/>
    <w:rsid w:val="00811D50"/>
    <w:rsid w:val="00817B04"/>
    <w:rsid w:val="00892246"/>
    <w:rsid w:val="008D681F"/>
    <w:rsid w:val="008F20B4"/>
    <w:rsid w:val="00907139"/>
    <w:rsid w:val="00957C36"/>
    <w:rsid w:val="009D73B2"/>
    <w:rsid w:val="009F7CE2"/>
    <w:rsid w:val="00A434BB"/>
    <w:rsid w:val="00A4542D"/>
    <w:rsid w:val="00A643AF"/>
    <w:rsid w:val="00A751F1"/>
    <w:rsid w:val="00A97884"/>
    <w:rsid w:val="00AA5B03"/>
    <w:rsid w:val="00AD4470"/>
    <w:rsid w:val="00B32E91"/>
    <w:rsid w:val="00B36A8F"/>
    <w:rsid w:val="00B86154"/>
    <w:rsid w:val="00B90DEC"/>
    <w:rsid w:val="00BA144B"/>
    <w:rsid w:val="00BF1F6D"/>
    <w:rsid w:val="00BF62A4"/>
    <w:rsid w:val="00C12C36"/>
    <w:rsid w:val="00C438EC"/>
    <w:rsid w:val="00C77CEF"/>
    <w:rsid w:val="00C9518E"/>
    <w:rsid w:val="00CB087E"/>
    <w:rsid w:val="00CD0D2B"/>
    <w:rsid w:val="00CF700E"/>
    <w:rsid w:val="00D171A0"/>
    <w:rsid w:val="00D66685"/>
    <w:rsid w:val="00D874B3"/>
    <w:rsid w:val="00D97EEE"/>
    <w:rsid w:val="00DA19A6"/>
    <w:rsid w:val="00DC45B2"/>
    <w:rsid w:val="00E631CD"/>
    <w:rsid w:val="00E6520B"/>
    <w:rsid w:val="00F04F05"/>
    <w:rsid w:val="00F07DFF"/>
    <w:rsid w:val="00F2123F"/>
    <w:rsid w:val="00F43B47"/>
    <w:rsid w:val="00F61971"/>
    <w:rsid w:val="00F944FD"/>
    <w:rsid w:val="00FF5F8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2D17D3"/>
    <w:rPr>
      <w:sz w:val="22"/>
      <w:lang w:val="sv-SE" w:eastAsia="sv-SE"/>
    </w:rPr>
  </w:style>
  <w:style w:type="paragraph" w:styleId="Ballongtext">
    <w:name w:val="Balloon Text"/>
    <w:basedOn w:val="Normal"/>
    <w:link w:val="BallongtextChar"/>
    <w:rsid w:val="00803C62"/>
    <w:rPr>
      <w:rFonts w:ascii="Tahoma" w:hAnsi="Tahoma" w:cs="Tahoma"/>
      <w:sz w:val="16"/>
      <w:szCs w:val="16"/>
    </w:rPr>
  </w:style>
  <w:style w:type="character" w:customStyle="1" w:styleId="BallongtextChar">
    <w:name w:val="Ballongtext Char"/>
    <w:basedOn w:val="Standardstycketeckensnitt"/>
    <w:link w:val="Ballongtext"/>
    <w:rsid w:val="00803C62"/>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lf292016201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DEEAA-CCF9-4203-BCE8-30015558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LT-Betänkande.dot</Template>
  <TotalTime>1</TotalTime>
  <Pages>3</Pages>
  <Words>1189</Words>
  <Characters>6303</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Social- och miljöutskottets betänkande nr 18/2016-2017</vt:lpstr>
    </vt:vector>
  </TitlesOfParts>
  <Company>Ålands lagting</Company>
  <LinksUpToDate>false</LinksUpToDate>
  <CharactersWithSpaces>7478</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18/2016-2017</dc:title>
  <dc:creator>Jessica Laaksonen</dc:creator>
  <cp:lastModifiedBy>Jessica Laaksonen</cp:lastModifiedBy>
  <cp:revision>3</cp:revision>
  <cp:lastPrinted>2017-09-05T08:20:00Z</cp:lastPrinted>
  <dcterms:created xsi:type="dcterms:W3CDTF">2017-09-05T08:22:00Z</dcterms:created>
  <dcterms:modified xsi:type="dcterms:W3CDTF">2017-09-05T08:22:00Z</dcterms:modified>
</cp:coreProperties>
</file>