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FF291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FF291D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EB44CC" w:rsidP="009F1162">
            <w:pPr>
              <w:pStyle w:val="xDokTypNr"/>
            </w:pPr>
            <w:r>
              <w:t>BESLUT LTB 93</w:t>
            </w:r>
            <w:r w:rsidR="00337A19"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EB44CC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D506EA">
        <w:t xml:space="preserve"> </w:t>
      </w:r>
      <w:r w:rsidR="00D506EA" w:rsidRPr="00D94B19">
        <w:t>om</w:t>
      </w:r>
      <w:r w:rsidR="00D506EA">
        <w:t xml:space="preserve"> ändring av räddningslagen för landskapet Åland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D506EA" w:rsidRDefault="00337A19" w:rsidP="00D506EA">
      <w:pPr>
        <w:pStyle w:val="ANormal"/>
      </w:pPr>
      <w:r>
        <w:tab/>
      </w:r>
      <w:r w:rsidR="00D506EA" w:rsidRPr="003B736A">
        <w:rPr>
          <w:b/>
        </w:rPr>
        <w:t>upphävs</w:t>
      </w:r>
      <w:r w:rsidR="00D506EA">
        <w:t xml:space="preserve"> 74 § räddningslagen (2006:106) för landskapet Åland</w:t>
      </w:r>
      <w:r w:rsidR="005A0F1D">
        <w:t xml:space="preserve"> samt</w:t>
      </w:r>
    </w:p>
    <w:p w:rsidR="00D506EA" w:rsidRPr="002D6A5A" w:rsidRDefault="00D506EA" w:rsidP="00D506EA">
      <w:pPr>
        <w:pStyle w:val="ANormal"/>
      </w:pPr>
      <w:r>
        <w:tab/>
      </w:r>
      <w:r>
        <w:rPr>
          <w:b/>
        </w:rPr>
        <w:t>ändras</w:t>
      </w:r>
      <w:r>
        <w:t xml:space="preserve"> lagens 75 §, 76 § 1 mom. samt 77–79 §§, av dessa lagrum 75 § 2 mom. sådant det lyder i landskapslagen 2007/76, som följer:</w:t>
      </w:r>
    </w:p>
    <w:p w:rsidR="00D506EA" w:rsidRDefault="00D506EA" w:rsidP="00D506EA">
      <w:pPr>
        <w:pStyle w:val="ANormal"/>
      </w:pPr>
    </w:p>
    <w:p w:rsidR="00D506EA" w:rsidRDefault="00D506EA" w:rsidP="00D506EA">
      <w:pPr>
        <w:pStyle w:val="LagParagraf"/>
      </w:pPr>
      <w:r>
        <w:t>75 §</w:t>
      </w:r>
    </w:p>
    <w:p w:rsidR="00D506EA" w:rsidRPr="002D6A5A" w:rsidRDefault="00D506EA" w:rsidP="00D506EA">
      <w:pPr>
        <w:pStyle w:val="LagPararubrik"/>
        <w:rPr>
          <w:b/>
        </w:rPr>
      </w:pPr>
      <w:r w:rsidRPr="002D6A5A">
        <w:t>Landskaps</w:t>
      </w:r>
      <w:r>
        <w:t>stöd</w:t>
      </w:r>
      <w:r w:rsidRPr="002D6A5A">
        <w:t xml:space="preserve"> för materielanskaffningar</w:t>
      </w:r>
    </w:p>
    <w:p w:rsidR="00D506EA" w:rsidRPr="002D6A5A" w:rsidRDefault="00D506EA" w:rsidP="00D506EA">
      <w:pPr>
        <w:pStyle w:val="ANormal"/>
      </w:pPr>
      <w:r>
        <w:tab/>
      </w:r>
      <w:r w:rsidRPr="002D6A5A">
        <w:t>Inom ramen för landskapets budget kan en kommun, enligt landskapsr</w:t>
      </w:r>
      <w:r w:rsidRPr="002D6A5A">
        <w:t>e</w:t>
      </w:r>
      <w:r w:rsidRPr="002D6A5A">
        <w:t>geringens prövning beviljas landskaps</w:t>
      </w:r>
      <w:r>
        <w:t>stöd</w:t>
      </w:r>
      <w:r w:rsidRPr="002D6A5A">
        <w:t xml:space="preserve"> för betydande kostnader vid a</w:t>
      </w:r>
      <w:r w:rsidRPr="002D6A5A">
        <w:t>n</w:t>
      </w:r>
      <w:r w:rsidRPr="002D6A5A">
        <w:t xml:space="preserve">skaffning av materiel som </w:t>
      </w:r>
      <w:r>
        <w:t>krävs</w:t>
      </w:r>
      <w:r w:rsidRPr="002D6A5A">
        <w:t xml:space="preserve"> för skötseln av kommunens räddningsv</w:t>
      </w:r>
      <w:r w:rsidRPr="002D6A5A">
        <w:t>ä</w:t>
      </w:r>
      <w:r w:rsidRPr="002D6A5A">
        <w:t>sende. Bedömningen i vad mån en kostnad ska anses vara betydande görs utgående från ett belopp som landskapsregeringen särskilt ska fastställa.</w:t>
      </w:r>
    </w:p>
    <w:p w:rsidR="00D506EA" w:rsidRPr="002D6A5A" w:rsidRDefault="00D506EA" w:rsidP="00D506EA">
      <w:pPr>
        <w:pStyle w:val="ANormal"/>
      </w:pPr>
      <w:r>
        <w:tab/>
      </w:r>
      <w:r w:rsidRPr="002D6A5A">
        <w:t>Landskaps</w:t>
      </w:r>
      <w:r>
        <w:t>stödet</w:t>
      </w:r>
      <w:r w:rsidRPr="002D6A5A">
        <w:t xml:space="preserve"> fastställs utgående från </w:t>
      </w:r>
      <w:r>
        <w:t>kommuntyp</w:t>
      </w:r>
      <w:r w:rsidRPr="002D6A5A">
        <w:t xml:space="preserve"> enligt </w:t>
      </w:r>
      <w:r>
        <w:t>nedanst</w:t>
      </w:r>
      <w:r>
        <w:t>å</w:t>
      </w:r>
      <w:r>
        <w:t>ende tabell. Landskapsregeringen fastställer vid behov kommuntyperna e</w:t>
      </w:r>
      <w:r>
        <w:t>n</w:t>
      </w:r>
      <w:r>
        <w:t>ligt uppgifter om invånarantalet i kommunen vid ingången av det år då fas</w:t>
      </w:r>
      <w:r>
        <w:t>t</w:t>
      </w:r>
      <w:r>
        <w:t>ställelsen sker.</w:t>
      </w:r>
    </w:p>
    <w:p w:rsidR="00D506EA" w:rsidRPr="002D6A5A" w:rsidRDefault="00D506EA" w:rsidP="00D506EA">
      <w:pPr>
        <w:widowControl/>
        <w:tabs>
          <w:tab w:val="left" w:pos="284"/>
        </w:tabs>
        <w:autoSpaceDE/>
        <w:autoSpaceDN/>
        <w:adjustRightInd/>
        <w:rPr>
          <w:rFonts w:ascii="Times New Roman" w:hAnsi="Times New Roman" w:cs="Times New Roman"/>
          <w:sz w:val="12"/>
          <w:lang w:val="sv-SE"/>
        </w:rPr>
      </w:pPr>
    </w:p>
    <w:tbl>
      <w:tblPr>
        <w:tblW w:w="3826" w:type="dxa"/>
        <w:jc w:val="center"/>
        <w:tblBorders>
          <w:top w:val="single" w:sz="4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CellMar>
          <w:top w:w="34" w:type="dxa"/>
          <w:left w:w="28" w:type="dxa"/>
          <w:bottom w:w="17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104"/>
      </w:tblGrid>
      <w:tr w:rsidR="00D506EA" w:rsidRPr="002D6A5A" w:rsidTr="0034157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sv-SE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sv-SE"/>
              </w:rPr>
              <w:t>Kommuntyp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sv-SE"/>
              </w:rPr>
            </w:pPr>
            <w:r w:rsidRPr="002D6A5A">
              <w:rPr>
                <w:rFonts w:ascii="Arial Narrow" w:hAnsi="Arial Narrow" w:cs="Arial"/>
                <w:noProof/>
                <w:sz w:val="18"/>
                <w:szCs w:val="18"/>
                <w:lang w:val="sv-SE"/>
              </w:rPr>
              <w:t>Procent</w:t>
            </w:r>
          </w:p>
        </w:tc>
      </w:tr>
      <w:tr w:rsidR="00D506EA" w:rsidRPr="002D6A5A" w:rsidTr="0034157E">
        <w:trPr>
          <w:jc w:val="center"/>
        </w:trPr>
        <w:tc>
          <w:tcPr>
            <w:tcW w:w="2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Default="00D506EA" w:rsidP="0034157E">
            <w:pPr>
              <w:pStyle w:val="fftabelltext"/>
              <w:keepNext/>
            </w:pPr>
            <w:r>
              <w:t>Kommuner med högst 6 invånare per kvadratkilometer landyta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2D6A5A">
              <w:rPr>
                <w:rFonts w:ascii="Arial" w:hAnsi="Arial" w:cs="Arial"/>
                <w:sz w:val="18"/>
                <w:szCs w:val="20"/>
                <w:lang w:val="sv-SE"/>
              </w:rPr>
              <w:t>65,00</w:t>
            </w:r>
          </w:p>
        </w:tc>
      </w:tr>
      <w:tr w:rsidR="00D506EA" w:rsidRPr="002D6A5A" w:rsidTr="0034157E">
        <w:trPr>
          <w:jc w:val="center"/>
        </w:trPr>
        <w:tc>
          <w:tcPr>
            <w:tcW w:w="2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Default="00D506EA" w:rsidP="0034157E">
            <w:pPr>
              <w:pStyle w:val="fftabelltext"/>
              <w:keepNext/>
            </w:pPr>
            <w:r>
              <w:t>Kommuner med över 6 men högst 11 invånare per kvadratkilometer landyta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2D6A5A">
              <w:rPr>
                <w:rFonts w:ascii="Arial" w:hAnsi="Arial" w:cs="Arial"/>
                <w:sz w:val="18"/>
                <w:szCs w:val="20"/>
                <w:lang w:val="sv-SE"/>
              </w:rPr>
              <w:t>55,00</w:t>
            </w:r>
          </w:p>
        </w:tc>
      </w:tr>
      <w:tr w:rsidR="00D506EA" w:rsidRPr="002D6A5A" w:rsidTr="0034157E">
        <w:trPr>
          <w:jc w:val="center"/>
        </w:trPr>
        <w:tc>
          <w:tcPr>
            <w:tcW w:w="2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Default="00D506EA" w:rsidP="0034157E">
            <w:pPr>
              <w:pStyle w:val="fftabelltext"/>
              <w:keepNext/>
            </w:pPr>
            <w:r>
              <w:t>Kommuner med över 11 men högst 18 invånare per kvadratkilometer landyta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2D6A5A">
              <w:rPr>
                <w:rFonts w:ascii="Arial" w:hAnsi="Arial" w:cs="Arial"/>
                <w:sz w:val="18"/>
                <w:szCs w:val="20"/>
                <w:lang w:val="sv-SE"/>
              </w:rPr>
              <w:t>55,00</w:t>
            </w:r>
          </w:p>
        </w:tc>
      </w:tr>
      <w:tr w:rsidR="00D506EA" w:rsidRPr="002D6A5A" w:rsidTr="0034157E">
        <w:trPr>
          <w:jc w:val="center"/>
        </w:trPr>
        <w:tc>
          <w:tcPr>
            <w:tcW w:w="2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Default="00D506EA" w:rsidP="0034157E">
            <w:pPr>
              <w:pStyle w:val="fftabelltext"/>
              <w:keepNext/>
            </w:pPr>
            <w:r>
              <w:t>Kommuner med över 18 men högst 24 invånare per kvadratkilometer landyta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2D6A5A">
              <w:rPr>
                <w:rFonts w:ascii="Arial" w:hAnsi="Arial" w:cs="Arial"/>
                <w:sz w:val="18"/>
                <w:szCs w:val="20"/>
                <w:lang w:val="sv-SE"/>
              </w:rPr>
              <w:t>50,00</w:t>
            </w:r>
          </w:p>
        </w:tc>
      </w:tr>
      <w:tr w:rsidR="00D506EA" w:rsidRPr="002D6A5A" w:rsidTr="0034157E">
        <w:trPr>
          <w:jc w:val="center"/>
        </w:trPr>
        <w:tc>
          <w:tcPr>
            <w:tcW w:w="2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Default="00D506EA" w:rsidP="0034157E">
            <w:pPr>
              <w:pStyle w:val="fftabelltext"/>
              <w:keepNext/>
            </w:pPr>
            <w:r>
              <w:t>Kommuner med över 24 men högst 30 invånare per kvadratkilometer landyta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2D6A5A">
              <w:rPr>
                <w:rFonts w:ascii="Arial" w:hAnsi="Arial" w:cs="Arial"/>
                <w:sz w:val="18"/>
                <w:szCs w:val="20"/>
                <w:lang w:val="sv-SE"/>
              </w:rPr>
              <w:t>50,00</w:t>
            </w:r>
          </w:p>
        </w:tc>
      </w:tr>
      <w:tr w:rsidR="00D506EA" w:rsidRPr="002D6A5A" w:rsidTr="0034157E">
        <w:trPr>
          <w:jc w:val="center"/>
        </w:trPr>
        <w:tc>
          <w:tcPr>
            <w:tcW w:w="2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Default="00D506EA" w:rsidP="0034157E">
            <w:pPr>
              <w:pStyle w:val="fftabelltext"/>
              <w:keepNext/>
            </w:pPr>
            <w:r>
              <w:t>Kommuner med över 30 men högst 36 invånare per kvadratkilometer landyta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2D6A5A">
              <w:rPr>
                <w:rFonts w:ascii="Arial" w:hAnsi="Arial" w:cs="Arial"/>
                <w:sz w:val="18"/>
                <w:szCs w:val="20"/>
                <w:lang w:val="sv-SE"/>
              </w:rPr>
              <w:t>35,00</w:t>
            </w:r>
          </w:p>
        </w:tc>
      </w:tr>
      <w:tr w:rsidR="00D506EA" w:rsidRPr="002D6A5A" w:rsidTr="0034157E">
        <w:trPr>
          <w:jc w:val="center"/>
        </w:trPr>
        <w:tc>
          <w:tcPr>
            <w:tcW w:w="2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Default="00D506EA" w:rsidP="0034157E">
            <w:pPr>
              <w:pStyle w:val="fftabelltext"/>
              <w:keepNext/>
            </w:pPr>
            <w:r>
              <w:t>Kommuner med över 36 men högst 42 invånare per kvadratkilometer landyta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2D6A5A">
              <w:rPr>
                <w:rFonts w:ascii="Arial" w:hAnsi="Arial" w:cs="Arial"/>
                <w:sz w:val="18"/>
                <w:szCs w:val="20"/>
                <w:lang w:val="sv-SE"/>
              </w:rPr>
              <w:t>35,00</w:t>
            </w:r>
          </w:p>
        </w:tc>
      </w:tr>
      <w:tr w:rsidR="00D506EA" w:rsidRPr="002D6A5A" w:rsidTr="0034157E">
        <w:trPr>
          <w:jc w:val="center"/>
        </w:trPr>
        <w:tc>
          <w:tcPr>
            <w:tcW w:w="2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Default="00D506EA" w:rsidP="0034157E">
            <w:pPr>
              <w:pStyle w:val="fftabelltext"/>
              <w:keepNext/>
            </w:pPr>
            <w:r>
              <w:t>Kommuner med över 42 invånare per kvadratkilometer landyta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06EA" w:rsidRPr="002D6A5A" w:rsidRDefault="00D506EA" w:rsidP="0034157E">
            <w:pPr>
              <w:keepNext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20"/>
                <w:lang w:val="sv-SE"/>
              </w:rPr>
            </w:pPr>
            <w:r w:rsidRPr="002D6A5A">
              <w:rPr>
                <w:rFonts w:ascii="Arial" w:hAnsi="Arial" w:cs="Arial"/>
                <w:sz w:val="18"/>
                <w:szCs w:val="20"/>
                <w:lang w:val="sv-SE"/>
              </w:rPr>
              <w:t>35,00</w:t>
            </w:r>
          </w:p>
        </w:tc>
      </w:tr>
    </w:tbl>
    <w:p w:rsidR="00D506EA" w:rsidRPr="002D6A5A" w:rsidRDefault="00D506EA" w:rsidP="00D506EA">
      <w:pPr>
        <w:widowControl/>
        <w:tabs>
          <w:tab w:val="left" w:pos="284"/>
        </w:tabs>
        <w:autoSpaceDE/>
        <w:autoSpaceDN/>
        <w:adjustRightInd/>
        <w:rPr>
          <w:rFonts w:ascii="Times New Roman" w:hAnsi="Times New Roman" w:cs="Times New Roman"/>
          <w:sz w:val="12"/>
          <w:lang w:val="sv-SE"/>
        </w:rPr>
      </w:pPr>
    </w:p>
    <w:p w:rsidR="00D506EA" w:rsidRPr="002D6A5A" w:rsidRDefault="00D506EA" w:rsidP="00D506EA">
      <w:pPr>
        <w:pStyle w:val="ANormal"/>
      </w:pPr>
      <w:r>
        <w:tab/>
      </w:r>
      <w:r w:rsidRPr="002D6A5A">
        <w:t>Om två eller flera kommuner avser att för gemensamt bruk anskaffa s</w:t>
      </w:r>
      <w:r>
        <w:t>å</w:t>
      </w:r>
      <w:r w:rsidRPr="002D6A5A">
        <w:t>dan materiel som avses i 1</w:t>
      </w:r>
      <w:r>
        <w:t> mom.</w:t>
      </w:r>
      <w:r w:rsidRPr="002D6A5A">
        <w:t xml:space="preserve"> eller om ett kommunalförbund är huvu</w:t>
      </w:r>
      <w:r w:rsidRPr="002D6A5A">
        <w:t>d</w:t>
      </w:r>
      <w:r w:rsidRPr="002D6A5A">
        <w:t>man fastställs landskaps</w:t>
      </w:r>
      <w:r>
        <w:t>stöd</w:t>
      </w:r>
      <w:r w:rsidRPr="002D6A5A">
        <w:t xml:space="preserve"> för materielanskaffningen för varje kommuns andel i enlighet med dess </w:t>
      </w:r>
      <w:r>
        <w:t>kommuntyp</w:t>
      </w:r>
      <w:r w:rsidRPr="002D6A5A">
        <w:t>.</w:t>
      </w:r>
    </w:p>
    <w:p w:rsidR="00D506EA" w:rsidRDefault="00D506EA" w:rsidP="00D506EA">
      <w:pPr>
        <w:pStyle w:val="ANormal"/>
      </w:pPr>
      <w:r>
        <w:tab/>
      </w:r>
      <w:r w:rsidRPr="002D6A5A">
        <w:t>Om särskilda skäl föreligger kan inom ramen för landskapets budget och i enlighet med landskapsregeringens prövning beviljas landskaps</w:t>
      </w:r>
      <w:r>
        <w:t>stöd</w:t>
      </w:r>
      <w:r w:rsidRPr="002D6A5A">
        <w:t xml:space="preserve"> ut</w:t>
      </w:r>
      <w:r w:rsidRPr="002D6A5A">
        <w:t>ö</w:t>
      </w:r>
      <w:r w:rsidRPr="002D6A5A">
        <w:t>ver de</w:t>
      </w:r>
      <w:r>
        <w:t>t</w:t>
      </w:r>
      <w:r w:rsidRPr="002D6A5A">
        <w:t xml:space="preserve"> landskaps</w:t>
      </w:r>
      <w:r>
        <w:t>stöd</w:t>
      </w:r>
      <w:r w:rsidRPr="002D6A5A">
        <w:t xml:space="preserve"> som avses i 2</w:t>
      </w:r>
      <w:r>
        <w:t> mom.</w:t>
      </w:r>
    </w:p>
    <w:p w:rsidR="005A0F1D" w:rsidRDefault="005A0F1D" w:rsidP="00D506EA">
      <w:pPr>
        <w:pStyle w:val="ANormal"/>
      </w:pPr>
    </w:p>
    <w:p w:rsidR="005A0F1D" w:rsidRPr="002D6A5A" w:rsidRDefault="005A0F1D" w:rsidP="00D506EA">
      <w:pPr>
        <w:pStyle w:val="ANormal"/>
      </w:pPr>
    </w:p>
    <w:p w:rsidR="00D506EA" w:rsidRDefault="00D506EA" w:rsidP="00D506EA">
      <w:pPr>
        <w:pStyle w:val="LagParagraf"/>
      </w:pPr>
      <w:r>
        <w:t>76 §</w:t>
      </w:r>
    </w:p>
    <w:p w:rsidR="00D506EA" w:rsidRPr="002D6A5A" w:rsidRDefault="00D506EA" w:rsidP="00D506EA">
      <w:pPr>
        <w:pStyle w:val="LagPararubrik"/>
        <w:rPr>
          <w:b/>
        </w:rPr>
      </w:pPr>
      <w:r w:rsidRPr="002D6A5A">
        <w:t>Förhandsbesked</w:t>
      </w:r>
    </w:p>
    <w:p w:rsidR="00D506EA" w:rsidRPr="002D6A5A" w:rsidRDefault="00D506EA" w:rsidP="00D506EA">
      <w:pPr>
        <w:pStyle w:val="ANormal"/>
      </w:pPr>
      <w:r>
        <w:tab/>
      </w:r>
      <w:r w:rsidRPr="002D6A5A">
        <w:t xml:space="preserve">Innan </w:t>
      </w:r>
      <w:r w:rsidR="005A0F1D">
        <w:t xml:space="preserve">ett </w:t>
      </w:r>
      <w:r w:rsidRPr="002D6A5A">
        <w:t>bindande anskaffningsavtal ingås eller beställningar görs ska kommunen inhämta ett förhandsbesked av landskapsregeringen för sådan egendom som enligt 75</w:t>
      </w:r>
      <w:r>
        <w:t> §</w:t>
      </w:r>
      <w:r w:rsidRPr="002D6A5A">
        <w:t xml:space="preserve"> kan berättiga till landskaps</w:t>
      </w:r>
      <w:r>
        <w:t>stöd</w:t>
      </w:r>
      <w:r w:rsidRPr="002D6A5A">
        <w:t xml:space="preserve">. Till en begäran </w:t>
      </w:r>
      <w:r w:rsidRPr="002D6A5A">
        <w:lastRenderedPageBreak/>
        <w:t>om förhandsbesked ska</w:t>
      </w:r>
      <w:r>
        <w:t xml:space="preserve"> </w:t>
      </w:r>
      <w:r w:rsidRPr="002D6A5A">
        <w:t>en utredning över åtgärden eller anskaffningen och dess kostnader bifogas i enlighet med vad landskapsregeringen bestämmer.</w:t>
      </w:r>
    </w:p>
    <w:p w:rsidR="00D506EA" w:rsidRDefault="00D506EA" w:rsidP="00D506EA">
      <w:pPr>
        <w:pStyle w:val="ANormal"/>
      </w:pPr>
      <w:r>
        <w:t>- - - - - - - - - - - - - - - - - - - - - - - - - - - - - - - - - - - - - - - - - - - - - - - - - - - -</w:t>
      </w:r>
    </w:p>
    <w:p w:rsidR="00D506EA" w:rsidRPr="002D6A5A" w:rsidRDefault="00D506EA" w:rsidP="00D506EA">
      <w:pPr>
        <w:pStyle w:val="ANormal"/>
      </w:pPr>
    </w:p>
    <w:p w:rsidR="00D506EA" w:rsidRDefault="00D506EA" w:rsidP="00D506EA">
      <w:pPr>
        <w:pStyle w:val="LagParagraf"/>
      </w:pPr>
      <w:r w:rsidRPr="002D6A5A">
        <w:t>77</w:t>
      </w:r>
      <w:r>
        <w:t> §</w:t>
      </w:r>
    </w:p>
    <w:p w:rsidR="00D506EA" w:rsidRPr="002D6A5A" w:rsidRDefault="00D506EA" w:rsidP="00D506EA">
      <w:pPr>
        <w:pStyle w:val="LagPararubrik"/>
        <w:rPr>
          <w:b/>
        </w:rPr>
      </w:pPr>
      <w:r w:rsidRPr="002D6A5A">
        <w:t>Ersättningsgrunder</w:t>
      </w:r>
    </w:p>
    <w:p w:rsidR="00D506EA" w:rsidRPr="002D6A5A" w:rsidRDefault="00D506EA" w:rsidP="00D506EA">
      <w:pPr>
        <w:pStyle w:val="ANormal"/>
      </w:pPr>
      <w:r>
        <w:tab/>
      </w:r>
      <w:r w:rsidRPr="002D6A5A">
        <w:t xml:space="preserve">En förutsättning för </w:t>
      </w:r>
      <w:r>
        <w:t>att</w:t>
      </w:r>
      <w:r w:rsidRPr="002D6A5A">
        <w:t xml:space="preserve"> landskaps</w:t>
      </w:r>
      <w:r>
        <w:t>stöd</w:t>
      </w:r>
      <w:r w:rsidRPr="002D6A5A">
        <w:t xml:space="preserve"> för </w:t>
      </w:r>
      <w:r w:rsidR="005A0F1D">
        <w:t xml:space="preserve">de </w:t>
      </w:r>
      <w:r w:rsidRPr="002D6A5A">
        <w:t>kostnader som avses i 75</w:t>
      </w:r>
      <w:r>
        <w:t> §</w:t>
      </w:r>
      <w:r w:rsidRPr="002D6A5A">
        <w:t xml:space="preserve"> </w:t>
      </w:r>
      <w:r>
        <w:t xml:space="preserve">ska betalas ut </w:t>
      </w:r>
      <w:r w:rsidRPr="002D6A5A">
        <w:t>är att kostnaderna är nödvändiga och skäliga för skötseln av räddningsväsendet samt att åtgärdens totalkostnader uppgår till minst det belopp som avses i 75</w:t>
      </w:r>
      <w:r>
        <w:t> §</w:t>
      </w:r>
      <w:r w:rsidRPr="002D6A5A">
        <w:t xml:space="preserve"> 1</w:t>
      </w:r>
      <w:r>
        <w:t> mom.</w:t>
      </w:r>
    </w:p>
    <w:p w:rsidR="00D506EA" w:rsidRDefault="00D506EA" w:rsidP="00D506EA">
      <w:pPr>
        <w:pStyle w:val="ANormal"/>
      </w:pPr>
      <w:r>
        <w:tab/>
        <w:t>En k</w:t>
      </w:r>
      <w:r w:rsidRPr="002D6A5A">
        <w:t xml:space="preserve">ommun </w:t>
      </w:r>
      <w:r>
        <w:t>får</w:t>
      </w:r>
      <w:r w:rsidRPr="002D6A5A">
        <w:t xml:space="preserve"> inte landskaps</w:t>
      </w:r>
      <w:r>
        <w:t>stöd</w:t>
      </w:r>
      <w:r w:rsidRPr="002D6A5A">
        <w:t xml:space="preserve"> för värdeminskningar eller kostnader i samband med lån. Grunderna för beviljande av landskaps</w:t>
      </w:r>
      <w:r>
        <w:t>stöd</w:t>
      </w:r>
      <w:r w:rsidRPr="002D6A5A">
        <w:t xml:space="preserve"> enligt 75</w:t>
      </w:r>
      <w:r>
        <w:t> §</w:t>
      </w:r>
      <w:r w:rsidRPr="002D6A5A">
        <w:t xml:space="preserve"> fastställs av landskapsregeringen genom beslut.</w:t>
      </w:r>
    </w:p>
    <w:p w:rsidR="00D506EA" w:rsidRPr="002D6A5A" w:rsidRDefault="00D506EA" w:rsidP="00D506EA">
      <w:pPr>
        <w:pStyle w:val="ANormal"/>
      </w:pPr>
    </w:p>
    <w:p w:rsidR="00D506EA" w:rsidRDefault="00D506EA" w:rsidP="00D506EA">
      <w:pPr>
        <w:pStyle w:val="LagParagraf"/>
      </w:pPr>
      <w:r>
        <w:t>78 §</w:t>
      </w:r>
    </w:p>
    <w:p w:rsidR="00D506EA" w:rsidRPr="002D6A5A" w:rsidRDefault="00D506EA" w:rsidP="00D506EA">
      <w:pPr>
        <w:pStyle w:val="LagPararubrik"/>
        <w:rPr>
          <w:b/>
        </w:rPr>
      </w:pPr>
      <w:r w:rsidRPr="002D6A5A">
        <w:t>Slutredovisning</w:t>
      </w:r>
    </w:p>
    <w:p w:rsidR="00D506EA" w:rsidRPr="002D6A5A" w:rsidRDefault="00D506EA" w:rsidP="00D506EA">
      <w:pPr>
        <w:pStyle w:val="ANormal"/>
      </w:pPr>
      <w:r>
        <w:tab/>
      </w:r>
      <w:r w:rsidRPr="002D6A5A">
        <w:t>Kommunen ska senast ett år efter det att åtgärden eller anskaffningen slutförts lägga fram en slutredovisning för landskapsregeringen över de fa</w:t>
      </w:r>
      <w:r w:rsidRPr="002D6A5A">
        <w:t>k</w:t>
      </w:r>
      <w:r w:rsidRPr="002D6A5A">
        <w:t>tiska kostnaderna för åtgärden eller anskaffningen.</w:t>
      </w:r>
    </w:p>
    <w:p w:rsidR="00D506EA" w:rsidRDefault="00D506EA" w:rsidP="00D506EA">
      <w:pPr>
        <w:pStyle w:val="ANormal"/>
      </w:pPr>
      <w:r>
        <w:tab/>
      </w:r>
      <w:r w:rsidRPr="002D6A5A">
        <w:t>Landskapsregeringen ska fatta beslut om beviljande och utbetalning av landskaps</w:t>
      </w:r>
      <w:r>
        <w:t>stödet</w:t>
      </w:r>
      <w:r w:rsidRPr="002D6A5A">
        <w:t xml:space="preserve"> inom två månader efter det att den slutliga redovisningen lämnats in.</w:t>
      </w:r>
    </w:p>
    <w:p w:rsidR="00D506EA" w:rsidRPr="002D6A5A" w:rsidRDefault="00D506EA" w:rsidP="00D506EA">
      <w:pPr>
        <w:pStyle w:val="ANormal"/>
      </w:pPr>
    </w:p>
    <w:p w:rsidR="00D506EA" w:rsidRDefault="00D506EA" w:rsidP="00D506EA">
      <w:pPr>
        <w:pStyle w:val="LagParagraf"/>
      </w:pPr>
      <w:r>
        <w:t>79 §</w:t>
      </w:r>
    </w:p>
    <w:p w:rsidR="00D506EA" w:rsidRPr="002D6A5A" w:rsidRDefault="00D506EA" w:rsidP="00D506EA">
      <w:pPr>
        <w:pStyle w:val="LagPararubrik"/>
        <w:rPr>
          <w:b/>
        </w:rPr>
      </w:pPr>
      <w:r w:rsidRPr="002D6A5A">
        <w:t>Ändrade förutsättningar för beviljande av landskaps</w:t>
      </w:r>
      <w:r>
        <w:t>stöd</w:t>
      </w:r>
    </w:p>
    <w:p w:rsidR="00D506EA" w:rsidRPr="002D6A5A" w:rsidRDefault="00D506EA" w:rsidP="00D506EA">
      <w:pPr>
        <w:pStyle w:val="ANormal"/>
      </w:pPr>
      <w:r>
        <w:tab/>
      </w:r>
      <w:r w:rsidRPr="002D6A5A">
        <w:t>Landskapsregeringen kan besluta att den del av den anskaffade ege</w:t>
      </w:r>
      <w:r w:rsidRPr="002D6A5A">
        <w:t>n</w:t>
      </w:r>
      <w:r w:rsidRPr="002D6A5A">
        <w:t>domens gängse värde som motsvarar landskaps</w:t>
      </w:r>
      <w:r>
        <w:t>stödet</w:t>
      </w:r>
      <w:r w:rsidRPr="002D6A5A">
        <w:t xml:space="preserve"> för de kostnader som enligt 75</w:t>
      </w:r>
      <w:r>
        <w:t> §</w:t>
      </w:r>
      <w:r w:rsidRPr="002D6A5A">
        <w:t xml:space="preserve"> beviljats kommunen</w:t>
      </w:r>
      <w:r w:rsidR="005A0F1D">
        <w:t>,</w:t>
      </w:r>
      <w:r w:rsidRPr="002D6A5A">
        <w:t xml:space="preserve"> helt eller delvis ska återbetalas till lan</w:t>
      </w:r>
      <w:r w:rsidRPr="002D6A5A">
        <w:t>d</w:t>
      </w:r>
      <w:r w:rsidRPr="002D6A5A">
        <w:t>skapet. Förutsättningen härför är att</w:t>
      </w:r>
    </w:p>
    <w:p w:rsidR="00D506EA" w:rsidRPr="002D6A5A" w:rsidRDefault="00D506EA" w:rsidP="00D506EA">
      <w:pPr>
        <w:pStyle w:val="ANormal"/>
      </w:pPr>
      <w:r>
        <w:tab/>
      </w:r>
      <w:r w:rsidRPr="002D6A5A">
        <w:t>1) egendomen överlåts till någon annan,</w:t>
      </w:r>
    </w:p>
    <w:p w:rsidR="00D506EA" w:rsidRPr="002D6A5A" w:rsidRDefault="00D506EA" w:rsidP="00D506EA">
      <w:pPr>
        <w:pStyle w:val="ANormal"/>
      </w:pPr>
      <w:r>
        <w:tab/>
      </w:r>
      <w:r w:rsidRPr="002D6A5A">
        <w:t>2) verksamheten upphör eller att</w:t>
      </w:r>
    </w:p>
    <w:p w:rsidR="00D506EA" w:rsidRPr="002D6A5A" w:rsidRDefault="00D506EA" w:rsidP="00D506EA">
      <w:pPr>
        <w:pStyle w:val="ANormal"/>
      </w:pPr>
      <w:r>
        <w:tab/>
      </w:r>
      <w:r w:rsidRPr="002D6A5A">
        <w:t>3) egendomens användning varaktigt ändras så att egendomen inte kan användas för den avsedda verksamheten.</w:t>
      </w:r>
    </w:p>
    <w:p w:rsidR="00D506EA" w:rsidRPr="002D6A5A" w:rsidRDefault="00D506EA" w:rsidP="00D506EA">
      <w:pPr>
        <w:pStyle w:val="ANormal"/>
      </w:pPr>
      <w:r>
        <w:tab/>
      </w:r>
      <w:r w:rsidRPr="002D6A5A">
        <w:t>Om egendom för vilken landskaps</w:t>
      </w:r>
      <w:r>
        <w:t>stöd</w:t>
      </w:r>
      <w:r w:rsidRPr="002D6A5A">
        <w:t xml:space="preserve"> har mottagits </w:t>
      </w:r>
      <w:r>
        <w:t xml:space="preserve">blir </w:t>
      </w:r>
      <w:r w:rsidRPr="002D6A5A">
        <w:t>förstör</w:t>
      </w:r>
      <w:r>
        <w:t>d</w:t>
      </w:r>
      <w:r w:rsidRPr="002D6A5A">
        <w:t xml:space="preserve"> eller ska</w:t>
      </w:r>
      <w:r>
        <w:t>dad</w:t>
      </w:r>
      <w:r w:rsidRPr="002D6A5A">
        <w:t>, kan landskapsregeringen besluta att en motsvarande del av försä</w:t>
      </w:r>
      <w:r w:rsidRPr="002D6A5A">
        <w:t>k</w:t>
      </w:r>
      <w:r w:rsidRPr="002D6A5A">
        <w:t>rings- eller annan skadeersättning helt eller delvis ska betalas till landskapet eller dras av från landskaps</w:t>
      </w:r>
      <w:r>
        <w:t>stöd</w:t>
      </w:r>
      <w:r w:rsidRPr="002D6A5A">
        <w:t xml:space="preserve"> som enligt 75</w:t>
      </w:r>
      <w:r>
        <w:t> §</w:t>
      </w:r>
      <w:r w:rsidRPr="002D6A5A">
        <w:t xml:space="preserve"> beviljats för nya kostnader.</w:t>
      </w:r>
    </w:p>
    <w:p w:rsidR="00D506EA" w:rsidRPr="002D6A5A" w:rsidRDefault="00D506EA" w:rsidP="00D506EA">
      <w:pPr>
        <w:pStyle w:val="ANormal"/>
      </w:pPr>
      <w:r>
        <w:tab/>
      </w:r>
      <w:r w:rsidRPr="002D6A5A">
        <w:t>Den som får landskaps</w:t>
      </w:r>
      <w:r>
        <w:t>stöd</w:t>
      </w:r>
      <w:r w:rsidRPr="002D6A5A">
        <w:t xml:space="preserve"> ska inom sex månader efter det att de fö</w:t>
      </w:r>
      <w:r w:rsidRPr="002D6A5A">
        <w:t>r</w:t>
      </w:r>
      <w:r w:rsidRPr="002D6A5A">
        <w:t>ändringar som avses i 1 och 2</w:t>
      </w:r>
      <w:r>
        <w:t> mom.</w:t>
      </w:r>
      <w:r w:rsidRPr="002D6A5A">
        <w:t xml:space="preserve"> inträffat göra en anmälan till lan</w:t>
      </w:r>
      <w:r w:rsidRPr="002D6A5A">
        <w:t>d</w:t>
      </w:r>
      <w:r w:rsidRPr="002D6A5A">
        <w:t>skapsregeringen.</w:t>
      </w:r>
    </w:p>
    <w:p w:rsidR="00D506EA" w:rsidRDefault="00D506EA" w:rsidP="00D506EA">
      <w:pPr>
        <w:pStyle w:val="ANormal"/>
      </w:pPr>
      <w:r>
        <w:tab/>
      </w:r>
      <w:r w:rsidRPr="002D6A5A">
        <w:t>Om det senare framgår att någon anmälan inte gjorts inom utsatt tid, ska en mot landskaps</w:t>
      </w:r>
      <w:r>
        <w:t>stödet</w:t>
      </w:r>
      <w:r w:rsidRPr="002D6A5A">
        <w:t xml:space="preserve"> svarande del av egendomens gängse värde betalas till landskapet med en årlig ränta </w:t>
      </w:r>
      <w:r>
        <w:t xml:space="preserve">som motsvarar </w:t>
      </w:r>
      <w:r w:rsidRPr="002D6A5A">
        <w:t xml:space="preserve">den av finansministeriet fastställda grundräntan beräknad på grundval av vad som därom </w:t>
      </w:r>
      <w:r>
        <w:t>föreskrivs</w:t>
      </w:r>
      <w:r w:rsidRPr="002D6A5A">
        <w:t xml:space="preserve"> särskilt i annan lagstiftning</w:t>
      </w:r>
      <w:r>
        <w:t>.</w:t>
      </w:r>
    </w:p>
    <w:p w:rsidR="00D506EA" w:rsidRDefault="00FF291D" w:rsidP="00D506EA">
      <w:pPr>
        <w:pStyle w:val="ANormal"/>
        <w:jc w:val="center"/>
      </w:pPr>
      <w:hyperlink w:anchor="_top" w:tooltip="Klicka för att gå till toppen av dokumentet" w:history="1">
        <w:r w:rsidR="00D506EA">
          <w:rPr>
            <w:rStyle w:val="Hyperlnk"/>
          </w:rPr>
          <w:t>__________________</w:t>
        </w:r>
      </w:hyperlink>
    </w:p>
    <w:p w:rsidR="00D506EA" w:rsidRDefault="00D506EA" w:rsidP="00D506EA">
      <w:pPr>
        <w:pStyle w:val="ANormal"/>
      </w:pPr>
    </w:p>
    <w:p w:rsidR="00D506EA" w:rsidRDefault="00D506EA" w:rsidP="00D506EA">
      <w:pPr>
        <w:pStyle w:val="ANormal"/>
      </w:pPr>
      <w:r>
        <w:tab/>
        <w:t>Denna lag träder i kraft den 1 januari 2018.</w:t>
      </w:r>
    </w:p>
    <w:p w:rsidR="00D506EA" w:rsidRDefault="00D506EA" w:rsidP="00D506EA">
      <w:pPr>
        <w:pStyle w:val="ANormal"/>
      </w:pPr>
      <w:r>
        <w:tab/>
        <w:t>En ansökan om landskapsandel för materielanskaffningar som lämnats in före denna lags ikraftträdande betraktas som en ansökan om landskap</w:t>
      </w:r>
      <w:r>
        <w:t>s</w:t>
      </w:r>
      <w:r>
        <w:t>stöd enligt denna lag. På landskapsandelar för vilka beslut om förhandsb</w:t>
      </w:r>
      <w:r>
        <w:t>e</w:t>
      </w:r>
      <w:r>
        <w:t>sked, beviljande eller utbetalning har fattats med stöd av lagens tidigare l</w:t>
      </w:r>
      <w:r>
        <w:t>y</w:t>
      </w:r>
      <w:r>
        <w:t>delse tillämpas motsvarande bestämmelser om landskapsstöd i denna lag.</w:t>
      </w:r>
    </w:p>
    <w:p w:rsidR="00D506EA" w:rsidRDefault="00D506EA" w:rsidP="00D506EA">
      <w:pPr>
        <w:pStyle w:val="ANormal"/>
      </w:pPr>
      <w:r>
        <w:tab/>
        <w:t>Åtgärder som verkställigheten av lagen förutsätter får vidtas innan lagen träder i kraft.</w:t>
      </w:r>
    </w:p>
    <w:p w:rsidR="00D506EA" w:rsidRDefault="00FF291D" w:rsidP="00D506EA">
      <w:pPr>
        <w:pStyle w:val="ANormal"/>
        <w:jc w:val="center"/>
      </w:pPr>
      <w:hyperlink w:anchor="_top" w:tooltip="Klicka för att gå till toppen av dokumentet" w:history="1">
        <w:r w:rsidR="00D506EA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B44CC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F291D">
      <w:rPr>
        <w:noProof/>
        <w:lang w:val="fi-FI"/>
      </w:rPr>
      <w:t>LTB932017.docx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F291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1F5F30"/>
    <w:rsid w:val="00284C7A"/>
    <w:rsid w:val="002C274A"/>
    <w:rsid w:val="002D76B7"/>
    <w:rsid w:val="002E1682"/>
    <w:rsid w:val="00317ED7"/>
    <w:rsid w:val="003353FA"/>
    <w:rsid w:val="00337A19"/>
    <w:rsid w:val="00350B5D"/>
    <w:rsid w:val="0038180C"/>
    <w:rsid w:val="003B7A76"/>
    <w:rsid w:val="004B1E67"/>
    <w:rsid w:val="004D7ED5"/>
    <w:rsid w:val="004E7D01"/>
    <w:rsid w:val="004F64FE"/>
    <w:rsid w:val="005A0F1D"/>
    <w:rsid w:val="005C3DBD"/>
    <w:rsid w:val="005C5E44"/>
    <w:rsid w:val="005E1BD9"/>
    <w:rsid w:val="005F6898"/>
    <w:rsid w:val="00634C9C"/>
    <w:rsid w:val="006538ED"/>
    <w:rsid w:val="00654482"/>
    <w:rsid w:val="006F201D"/>
    <w:rsid w:val="007C0DA0"/>
    <w:rsid w:val="008414E5"/>
    <w:rsid w:val="00867707"/>
    <w:rsid w:val="00885681"/>
    <w:rsid w:val="008B5FA2"/>
    <w:rsid w:val="00925158"/>
    <w:rsid w:val="00943029"/>
    <w:rsid w:val="009A126E"/>
    <w:rsid w:val="009C29DC"/>
    <w:rsid w:val="009D1AEC"/>
    <w:rsid w:val="009E1423"/>
    <w:rsid w:val="009F1162"/>
    <w:rsid w:val="00AF2770"/>
    <w:rsid w:val="00B5110A"/>
    <w:rsid w:val="00BA3751"/>
    <w:rsid w:val="00BB51FA"/>
    <w:rsid w:val="00BD48EF"/>
    <w:rsid w:val="00BE2983"/>
    <w:rsid w:val="00C64CF4"/>
    <w:rsid w:val="00CC651F"/>
    <w:rsid w:val="00D506EA"/>
    <w:rsid w:val="00D636DC"/>
    <w:rsid w:val="00DD3988"/>
    <w:rsid w:val="00E4468D"/>
    <w:rsid w:val="00E6237B"/>
    <w:rsid w:val="00E828C7"/>
    <w:rsid w:val="00EB44CC"/>
    <w:rsid w:val="00ED188C"/>
    <w:rsid w:val="00F94A35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6EA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widowControl/>
      <w:numPr>
        <w:numId w:val="37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/>
    </w:rPr>
  </w:style>
  <w:style w:type="paragraph" w:styleId="Rubrik2">
    <w:name w:val="heading 2"/>
    <w:basedOn w:val="Normal"/>
    <w:next w:val="Normal"/>
    <w:qFormat/>
    <w:pPr>
      <w:keepNext/>
      <w:widowControl/>
      <w:numPr>
        <w:ilvl w:val="1"/>
        <w:numId w:val="38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/>
    </w:rPr>
  </w:style>
  <w:style w:type="paragraph" w:styleId="Rubrik3">
    <w:name w:val="heading 3"/>
    <w:basedOn w:val="Normal"/>
    <w:next w:val="Normal"/>
    <w:qFormat/>
    <w:pPr>
      <w:keepNext/>
      <w:widowControl/>
      <w:numPr>
        <w:ilvl w:val="2"/>
        <w:numId w:val="39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sv-SE"/>
    </w:rPr>
  </w:style>
  <w:style w:type="paragraph" w:styleId="Rubrik4">
    <w:name w:val="heading 4"/>
    <w:basedOn w:val="Normal"/>
    <w:next w:val="Normal"/>
    <w:qFormat/>
    <w:pPr>
      <w:keepNext/>
      <w:widowControl/>
      <w:numPr>
        <w:ilvl w:val="3"/>
        <w:numId w:val="40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sv-SE"/>
    </w:rPr>
  </w:style>
  <w:style w:type="paragraph" w:styleId="Rubrik5">
    <w:name w:val="heading 5"/>
    <w:basedOn w:val="Normal"/>
    <w:next w:val="Normal"/>
    <w:qFormat/>
    <w:pPr>
      <w:widowControl/>
      <w:numPr>
        <w:ilvl w:val="4"/>
        <w:numId w:val="41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sv-SE"/>
    </w:rPr>
  </w:style>
  <w:style w:type="paragraph" w:styleId="Rubrik6">
    <w:name w:val="heading 6"/>
    <w:basedOn w:val="Normal"/>
    <w:next w:val="Normal"/>
    <w:qFormat/>
    <w:pPr>
      <w:widowControl/>
      <w:numPr>
        <w:ilvl w:val="5"/>
        <w:numId w:val="42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sv-SE"/>
    </w:rPr>
  </w:style>
  <w:style w:type="paragraph" w:styleId="Rubrik7">
    <w:name w:val="heading 7"/>
    <w:basedOn w:val="Normal"/>
    <w:next w:val="Normal"/>
    <w:qFormat/>
    <w:pPr>
      <w:widowControl/>
      <w:numPr>
        <w:ilvl w:val="6"/>
        <w:numId w:val="43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lang w:val="sv-SE"/>
    </w:rPr>
  </w:style>
  <w:style w:type="paragraph" w:styleId="Rubrik8">
    <w:name w:val="heading 8"/>
    <w:basedOn w:val="Normal"/>
    <w:next w:val="Normal"/>
    <w:qFormat/>
    <w:pPr>
      <w:widowControl/>
      <w:numPr>
        <w:ilvl w:val="7"/>
        <w:numId w:val="44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lang w:val="sv-SE"/>
    </w:rPr>
  </w:style>
  <w:style w:type="paragraph" w:styleId="Rubrik9">
    <w:name w:val="heading 9"/>
    <w:basedOn w:val="Normal"/>
    <w:next w:val="Normal"/>
    <w:qFormat/>
    <w:pPr>
      <w:widowControl/>
      <w:numPr>
        <w:ilvl w:val="8"/>
        <w:numId w:val="45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widowControl/>
      <w:numPr>
        <w:numId w:val="8"/>
      </w:numPr>
      <w:autoSpaceDE/>
      <w:autoSpaceDN/>
      <w:adjustRightInd/>
    </w:pPr>
    <w:rPr>
      <w:rFonts w:ascii="Times New Roman" w:hAnsi="Times New Roman" w:cs="Times New Roman"/>
      <w:lang w:val="sv-SE"/>
    </w:rPr>
  </w:style>
  <w:style w:type="paragraph" w:styleId="Brdtextmedindrag">
    <w:name w:val="Body Text Indent"/>
    <w:basedOn w:val="Normal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lang w:val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widowControl/>
      <w:tabs>
        <w:tab w:val="right" w:pos="8732"/>
      </w:tabs>
      <w:autoSpaceDE/>
      <w:autoSpaceDN/>
      <w:adjustRightInd/>
    </w:pPr>
    <w:rPr>
      <w:rFonts w:ascii="Arial" w:hAnsi="Arial" w:cs="Arial"/>
      <w:sz w:val="16"/>
      <w:lang w:val="sv-SE"/>
    </w:rPr>
  </w:style>
  <w:style w:type="paragraph" w:styleId="Sidfot">
    <w:name w:val="footer"/>
    <w:basedOn w:val="Normal"/>
    <w:pPr>
      <w:widowControl/>
      <w:tabs>
        <w:tab w:val="right" w:pos="8165"/>
      </w:tabs>
      <w:autoSpaceDE/>
      <w:autoSpaceDN/>
      <w:adjustRightInd/>
    </w:pPr>
    <w:rPr>
      <w:rFonts w:ascii="Verdana" w:hAnsi="Verdana" w:cs="Arial"/>
      <w:sz w:val="14"/>
      <w:lang w:val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spacing w:line="288" w:lineRule="auto"/>
      <w:jc w:val="both"/>
    </w:pPr>
    <w:rPr>
      <w:rFonts w:ascii="Times New Roman" w:hAnsi="Times New Roman" w:cs="Times New Roman"/>
      <w:lang w:val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widowControl/>
      <w:autoSpaceDE/>
      <w:autoSpaceDN/>
      <w:adjustRightInd/>
      <w:ind w:left="960"/>
    </w:pPr>
    <w:rPr>
      <w:rFonts w:ascii="Times New Roman" w:hAnsi="Times New Roman" w:cs="Times New Roman"/>
      <w:lang w:val="sv-SE"/>
    </w:rPr>
  </w:style>
  <w:style w:type="paragraph" w:styleId="Innehll6">
    <w:name w:val="toc 6"/>
    <w:basedOn w:val="Normal"/>
    <w:next w:val="Normal"/>
    <w:autoRedefine/>
    <w:semiHidden/>
    <w:pPr>
      <w:widowControl/>
      <w:autoSpaceDE/>
      <w:autoSpaceDN/>
      <w:adjustRightInd/>
      <w:ind w:left="1200"/>
    </w:pPr>
    <w:rPr>
      <w:rFonts w:ascii="Times New Roman" w:hAnsi="Times New Roman" w:cs="Times New Roman"/>
      <w:lang w:val="sv-SE"/>
    </w:rPr>
  </w:style>
  <w:style w:type="paragraph" w:styleId="Innehll7">
    <w:name w:val="toc 7"/>
    <w:basedOn w:val="Normal"/>
    <w:next w:val="Normal"/>
    <w:autoRedefine/>
    <w:semiHidden/>
    <w:pPr>
      <w:widowControl/>
      <w:autoSpaceDE/>
      <w:autoSpaceDN/>
      <w:adjustRightInd/>
      <w:ind w:left="1440"/>
    </w:pPr>
    <w:rPr>
      <w:rFonts w:ascii="Times New Roman" w:hAnsi="Times New Roman" w:cs="Times New Roman"/>
      <w:lang w:val="sv-SE"/>
    </w:rPr>
  </w:style>
  <w:style w:type="paragraph" w:styleId="Innehll8">
    <w:name w:val="toc 8"/>
    <w:basedOn w:val="Normal"/>
    <w:next w:val="Normal"/>
    <w:autoRedefine/>
    <w:semiHidden/>
    <w:pPr>
      <w:widowControl/>
      <w:autoSpaceDE/>
      <w:autoSpaceDN/>
      <w:adjustRightInd/>
      <w:ind w:left="1680"/>
    </w:pPr>
    <w:rPr>
      <w:rFonts w:ascii="Times New Roman" w:hAnsi="Times New Roman" w:cs="Times New Roman"/>
      <w:lang w:val="sv-SE"/>
    </w:rPr>
  </w:style>
  <w:style w:type="paragraph" w:styleId="Innehll9">
    <w:name w:val="toc 9"/>
    <w:basedOn w:val="Normal"/>
    <w:next w:val="Normal"/>
    <w:autoRedefine/>
    <w:semiHidden/>
    <w:pPr>
      <w:widowControl/>
      <w:autoSpaceDE/>
      <w:autoSpaceDN/>
      <w:adjustRightInd/>
      <w:ind w:left="1920"/>
    </w:pPr>
    <w:rPr>
      <w:rFonts w:ascii="Times New Roman" w:hAnsi="Times New Roman" w:cs="Times New Roman"/>
      <w:lang w:val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ftabelltext">
    <w:name w:val="fftabelltext"/>
    <w:rsid w:val="00D506EA"/>
    <w:rPr>
      <w:rFonts w:ascii="Arial Narrow" w:hAnsi="Arial Narrow" w:cs="Arial"/>
      <w:noProof/>
      <w:sz w:val="18"/>
      <w:szCs w:val="18"/>
      <w:lang w:val="sv-SE" w:eastAsia="sv-SE"/>
    </w:rPr>
  </w:style>
  <w:style w:type="paragraph" w:styleId="Ballongtext">
    <w:name w:val="Balloon Text"/>
    <w:basedOn w:val="Normal"/>
    <w:link w:val="BallongtextChar"/>
    <w:rsid w:val="009D1A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1AEC"/>
    <w:rPr>
      <w:rFonts w:ascii="Tahoma" w:hAnsi="Tahoma" w:cs="Tahoma"/>
      <w:sz w:val="16"/>
      <w:szCs w:val="16"/>
      <w:lang w:val="en-US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9</TotalTime>
  <Pages>3</Pages>
  <Words>880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9</cp:revision>
  <cp:lastPrinted>2017-09-19T06:58:00Z</cp:lastPrinted>
  <dcterms:created xsi:type="dcterms:W3CDTF">2017-09-11T09:34:00Z</dcterms:created>
  <dcterms:modified xsi:type="dcterms:W3CDTF">2017-09-19T07:00:00Z</dcterms:modified>
</cp:coreProperties>
</file>