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F559A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F559A8">
            <w:pPr>
              <w:pStyle w:val="xMellanrum"/>
            </w:pPr>
            <w:r>
              <w:pict>
                <v:shape id="_x0000_i1026" type="#_x0000_t75" style="width:3.65pt;height:3.65pt">
                  <v:imagedata r:id="rId10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A31931" w:rsidP="008307D0">
            <w:pPr>
              <w:pStyle w:val="xDokTypNr"/>
            </w:pPr>
            <w:r>
              <w:t>BETÄNKANDE nr 20</w:t>
            </w:r>
            <w:r w:rsidR="002401D0">
              <w:t>/20</w:t>
            </w:r>
            <w:r w:rsidR="00723B93">
              <w:t>1</w:t>
            </w:r>
            <w:r w:rsidR="008307D0">
              <w:t>6</w:t>
            </w:r>
            <w:r w:rsidR="0015337C">
              <w:t>-20</w:t>
            </w:r>
            <w:r w:rsidR="009F7CE2">
              <w:t>1</w:t>
            </w:r>
            <w:r w:rsidR="008307D0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307D0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206AB4">
              <w:t>7-05</w:t>
            </w:r>
            <w:r w:rsidR="00A31931">
              <w:t>-</w:t>
            </w:r>
            <w:r w:rsidR="00206AB4">
              <w:t>31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307D0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8307D0" w:rsidRDefault="008307D0" w:rsidP="008307D0">
      <w:pPr>
        <w:pStyle w:val="ArendeRubrik"/>
      </w:pPr>
      <w:r>
        <w:t>Distribution av alternativa trafikbränslen</w:t>
      </w:r>
    </w:p>
    <w:p w:rsidR="002401D0" w:rsidRDefault="00F559A8">
      <w:pPr>
        <w:pStyle w:val="ArendeUnderRubrik"/>
      </w:pPr>
      <w:hyperlink r:id="rId13" w:history="1">
        <w:r w:rsidR="008307D0" w:rsidRPr="00010647">
          <w:rPr>
            <w:rStyle w:val="Hyperlnk"/>
          </w:rPr>
          <w:t>Landskapsregeringens lagförslag nr 27/2016-2017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06AB4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83904390" w:history="1">
        <w:r w:rsidR="00206AB4" w:rsidRPr="00747FE6">
          <w:rPr>
            <w:rStyle w:val="Hyperlnk"/>
          </w:rPr>
          <w:t>Sammanfattning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_Toc483904390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 w:rsidR="00F559A8">
          <w:rPr>
            <w:webHidden/>
          </w:rPr>
          <w:t>1</w:t>
        </w:r>
        <w:r w:rsidR="00206AB4">
          <w:rPr>
            <w:webHidden/>
          </w:rPr>
          <w:fldChar w:fldCharType="end"/>
        </w:r>
      </w:hyperlink>
    </w:p>
    <w:p w:rsidR="00206AB4" w:rsidRDefault="00F559A8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904391" w:history="1">
        <w:r w:rsidR="00206AB4" w:rsidRPr="00747FE6">
          <w:rPr>
            <w:rStyle w:val="Hyperlnk"/>
          </w:rPr>
          <w:t>Landskapsregeringens förslag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_Toc483904391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>
          <w:rPr>
            <w:webHidden/>
          </w:rPr>
          <w:t>1</w:t>
        </w:r>
        <w:r w:rsidR="00206AB4">
          <w:rPr>
            <w:webHidden/>
          </w:rPr>
          <w:fldChar w:fldCharType="end"/>
        </w:r>
      </w:hyperlink>
    </w:p>
    <w:p w:rsidR="00206AB4" w:rsidRDefault="00F559A8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904392" w:history="1">
        <w:r w:rsidR="00206AB4" w:rsidRPr="00747FE6">
          <w:rPr>
            <w:rStyle w:val="Hyperlnk"/>
          </w:rPr>
          <w:t>Utskottets förslag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_Toc483904392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>
          <w:rPr>
            <w:webHidden/>
          </w:rPr>
          <w:t>1</w:t>
        </w:r>
        <w:r w:rsidR="00206AB4">
          <w:rPr>
            <w:webHidden/>
          </w:rPr>
          <w:fldChar w:fldCharType="end"/>
        </w:r>
      </w:hyperlink>
    </w:p>
    <w:p w:rsidR="00206AB4" w:rsidRDefault="00F559A8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904393" w:history="1">
        <w:r w:rsidR="00206AB4" w:rsidRPr="00747FE6">
          <w:rPr>
            <w:rStyle w:val="Hyperlnk"/>
          </w:rPr>
          <w:t>Utskottets synpunkter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_Toc483904393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>
          <w:rPr>
            <w:webHidden/>
          </w:rPr>
          <w:t>1</w:t>
        </w:r>
        <w:r w:rsidR="00206AB4">
          <w:rPr>
            <w:webHidden/>
          </w:rPr>
          <w:fldChar w:fldCharType="end"/>
        </w:r>
      </w:hyperlink>
    </w:p>
    <w:p w:rsidR="00206AB4" w:rsidRDefault="00F559A8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904394" w:history="1">
        <w:r w:rsidR="00206AB4" w:rsidRPr="00747FE6">
          <w:rPr>
            <w:rStyle w:val="Hyperlnk"/>
          </w:rPr>
          <w:t>Ärendets behandling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_Toc483904394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>
          <w:rPr>
            <w:webHidden/>
          </w:rPr>
          <w:t>2</w:t>
        </w:r>
        <w:r w:rsidR="00206AB4">
          <w:rPr>
            <w:webHidden/>
          </w:rPr>
          <w:fldChar w:fldCharType="end"/>
        </w:r>
      </w:hyperlink>
    </w:p>
    <w:p w:rsidR="00206AB4" w:rsidRDefault="00F559A8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904395" w:history="1">
        <w:r w:rsidR="00206AB4" w:rsidRPr="00747FE6">
          <w:rPr>
            <w:rStyle w:val="Hyperlnk"/>
          </w:rPr>
          <w:t>Utskottets förslag</w:t>
        </w:r>
        <w:r w:rsidR="00206AB4">
          <w:rPr>
            <w:webHidden/>
          </w:rPr>
          <w:tab/>
        </w:r>
        <w:r w:rsidR="00206AB4">
          <w:rPr>
            <w:webHidden/>
          </w:rPr>
          <w:fldChar w:fldCharType="begin"/>
        </w:r>
        <w:r w:rsidR="00206AB4">
          <w:rPr>
            <w:webHidden/>
          </w:rPr>
          <w:instrText xml:space="preserve"> PAGEREF _Toc483904395 \h </w:instrText>
        </w:r>
        <w:r w:rsidR="00206AB4">
          <w:rPr>
            <w:webHidden/>
          </w:rPr>
        </w:r>
        <w:r w:rsidR="00206AB4">
          <w:rPr>
            <w:webHidden/>
          </w:rPr>
          <w:fldChar w:fldCharType="separate"/>
        </w:r>
        <w:r>
          <w:rPr>
            <w:webHidden/>
          </w:rPr>
          <w:t>3</w:t>
        </w:r>
        <w:r w:rsidR="00206AB4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83904390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8307D0">
      <w:pPr>
        <w:pStyle w:val="RubrikB"/>
      </w:pPr>
      <w:bookmarkStart w:id="4" w:name="_Toc529800933"/>
      <w:bookmarkStart w:id="5" w:name="_Toc483904391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8307D0" w:rsidRDefault="008307D0" w:rsidP="008307D0">
      <w:pPr>
        <w:pStyle w:val="ANormal"/>
      </w:pPr>
      <w:r>
        <w:t xml:space="preserve">Landskapsregeringen föreslår att lagtinget antar en landskapslag om </w:t>
      </w:r>
      <w:proofErr w:type="spellStart"/>
      <w:r>
        <w:t>till-lämpning</w:t>
      </w:r>
      <w:proofErr w:type="spellEnd"/>
      <w:r>
        <w:t xml:space="preserve"> på Åland av lagen om distribution av alternativa bränslen.</w:t>
      </w:r>
    </w:p>
    <w:p w:rsidR="008307D0" w:rsidRDefault="008307D0" w:rsidP="008307D0">
      <w:pPr>
        <w:pStyle w:val="ANormal"/>
      </w:pPr>
      <w:r>
        <w:tab/>
        <w:t>Genom den föreslagna lagstiftningen fastställs gemensamma tekniska specifikationer för alternativa drivmedels</w:t>
      </w:r>
      <w:r w:rsidR="00B70664">
        <w:t>-,</w:t>
      </w:r>
      <w:r>
        <w:t xml:space="preserve"> laddnings- och tankstationer och uppgifter som användarna ska ges om de alternativa drivmedlen. Avsikten med förslaget är att genomföra Europaparlamentets och rådets direktiv om </w:t>
      </w:r>
      <w:r w:rsidR="00B70664">
        <w:t xml:space="preserve">en </w:t>
      </w:r>
      <w:r>
        <w:t>utbyggnad av infrastrukturen för alternativa bränslen.</w:t>
      </w:r>
    </w:p>
    <w:p w:rsidR="008307D0" w:rsidRDefault="008307D0" w:rsidP="008307D0">
      <w:pPr>
        <w:pStyle w:val="ANormal"/>
      </w:pPr>
      <w:r>
        <w:tab/>
        <w:t>Lagförslaget bör behandlas i brådskande ordning eftersom implement</w:t>
      </w:r>
      <w:r>
        <w:t>e</w:t>
      </w:r>
      <w:r>
        <w:t>ringstiden för EU-direktivet har gått ut. Kommissionen har inlett ett öve</w:t>
      </w:r>
      <w:r>
        <w:t>r</w:t>
      </w:r>
      <w:r>
        <w:t>trädelseförfarande som har resulterat i ett motiverat yttrande. Följande steg i processen är att en talan väcks vid EU-domstolen.</w:t>
      </w:r>
    </w:p>
    <w:p w:rsidR="002401D0" w:rsidRDefault="008307D0" w:rsidP="008307D0">
      <w:pPr>
        <w:pStyle w:val="ANormal"/>
      </w:pPr>
      <w:r>
        <w:tab/>
        <w:t>Tidpunkten för ikraftträdande lämnas öppen med hänvisning till att de föreslagna lagändringarna bör träda i kraft så snart som möjligt.</w:t>
      </w:r>
    </w:p>
    <w:p w:rsidR="00B70664" w:rsidRDefault="00B70664">
      <w:pPr>
        <w:pStyle w:val="RubrikB"/>
      </w:pPr>
      <w:bookmarkStart w:id="6" w:name="_Toc529800934"/>
    </w:p>
    <w:p w:rsidR="002401D0" w:rsidRDefault="002401D0">
      <w:pPr>
        <w:pStyle w:val="RubrikB"/>
      </w:pPr>
      <w:bookmarkStart w:id="7" w:name="_Toc483904392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B70664" w:rsidRPr="001F679F" w:rsidRDefault="00B70664" w:rsidP="00B70664">
      <w:pPr>
        <w:pStyle w:val="ANormal"/>
      </w:pPr>
      <w:r>
        <w:t>Utskottet föreslår att lagförslaget om tillämpning på Åland av lagen om di</w:t>
      </w:r>
      <w:r>
        <w:t>s</w:t>
      </w:r>
      <w:r>
        <w:t>tribution av alternativa trafikbränslen antas oförändrat.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483904393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130874" w:rsidRPr="00711148" w:rsidRDefault="00711148" w:rsidP="00130874">
      <w:pPr>
        <w:pStyle w:val="ANormal"/>
        <w:rPr>
          <w:i/>
        </w:rPr>
      </w:pPr>
      <w:r w:rsidRPr="00711148">
        <w:rPr>
          <w:i/>
        </w:rPr>
        <w:t>Allmänt</w:t>
      </w:r>
    </w:p>
    <w:p w:rsidR="00007792" w:rsidRDefault="00711148" w:rsidP="00130874">
      <w:pPr>
        <w:pStyle w:val="ANormal"/>
      </w:pPr>
      <w:r>
        <w:t xml:space="preserve">Utskottet anser att det är viktigt att infrastrukturen för bränsleförsörjningen byggs </w:t>
      </w:r>
      <w:r w:rsidR="006E73CB">
        <w:t xml:space="preserve">ut i god tid </w:t>
      </w:r>
      <w:r>
        <w:t>så att för</w:t>
      </w:r>
      <w:r w:rsidR="006E73CB">
        <w:t>nyandet</w:t>
      </w:r>
      <w:r>
        <w:t xml:space="preserve"> av fordonsparken och fartygsbeståndet inte hindras av en bristande infrastruktur. </w:t>
      </w:r>
      <w:r w:rsidR="00AA002A">
        <w:t xml:space="preserve">Införandet av nya trafikbränslen bidrar samtidigt till </w:t>
      </w:r>
      <w:r w:rsidR="000D2CB1">
        <w:t xml:space="preserve">utvecklingen av bioekonomin, nya </w:t>
      </w:r>
      <w:r w:rsidR="00AA002A">
        <w:t>teknisk</w:t>
      </w:r>
      <w:r w:rsidR="000D2CB1">
        <w:t>a innovatio</w:t>
      </w:r>
      <w:r w:rsidR="000D2CB1">
        <w:t>n</w:t>
      </w:r>
      <w:r w:rsidR="000D2CB1">
        <w:t>er och nya affärsmodeller.</w:t>
      </w:r>
      <w:r w:rsidR="00AA002A">
        <w:t xml:space="preserve"> </w:t>
      </w:r>
      <w:r w:rsidR="000D2CB1">
        <w:t xml:space="preserve">I riket har man en målsättning om att ha </w:t>
      </w:r>
      <w:proofErr w:type="gramStart"/>
      <w:r w:rsidR="000D2CB1">
        <w:t>50.000</w:t>
      </w:r>
      <w:proofErr w:type="gramEnd"/>
      <w:r w:rsidR="000D2CB1">
        <w:t xml:space="preserve"> gasdrivna bilar och 250.000 eldrivna bilar år 2030. Omräknat till åländska förhållanden innebär det 250 gasdrivna bilar och </w:t>
      </w:r>
      <w:proofErr w:type="gramStart"/>
      <w:r w:rsidR="000D2CB1">
        <w:t>1.250</w:t>
      </w:r>
      <w:proofErr w:type="gramEnd"/>
      <w:r w:rsidR="000D2CB1">
        <w:t xml:space="preserve"> eldrivna bilar </w:t>
      </w:r>
      <w:r w:rsidR="00007792">
        <w:t>år 2030, vilket kräver att 20 procent av de nyregistrerade bilarna årligen ska vara av denna kategori för att motsvarande målsättning ska uppfyllas.</w:t>
      </w:r>
      <w:r w:rsidR="000D2CB1">
        <w:t xml:space="preserve"> </w:t>
      </w:r>
    </w:p>
    <w:p w:rsidR="006E73CB" w:rsidRDefault="006E73CB" w:rsidP="00130874">
      <w:pPr>
        <w:pStyle w:val="ANormal"/>
      </w:pPr>
      <w:r>
        <w:tab/>
        <w:t xml:space="preserve">Utskottet har </w:t>
      </w:r>
      <w:proofErr w:type="gramStart"/>
      <w:r>
        <w:t>erfarit</w:t>
      </w:r>
      <w:proofErr w:type="gramEnd"/>
      <w:r>
        <w:t xml:space="preserve"> att uppgifterna i allmänna motiveringen gällande</w:t>
      </w:r>
      <w:r w:rsidR="00206AB4">
        <w:t xml:space="preserve"> antalet hybrid- och elbilar</w:t>
      </w:r>
      <w:r>
        <w:t xml:space="preserve"> felaktiga</w:t>
      </w:r>
      <w:r w:rsidR="00206AB4">
        <w:t xml:space="preserve">. Per 31.12.2016 fanns det 130 hybrid-, 19 </w:t>
      </w:r>
      <w:proofErr w:type="spellStart"/>
      <w:r w:rsidR="00206AB4">
        <w:t>laddhybrid</w:t>
      </w:r>
      <w:proofErr w:type="spellEnd"/>
      <w:r w:rsidR="00206AB4">
        <w:t xml:space="preserve">- och 22 elbilar, totalt 171 stycken eller 0,6 procent av hela </w:t>
      </w:r>
      <w:r w:rsidR="00206AB4">
        <w:lastRenderedPageBreak/>
        <w:t>motorfordonsbeståndet.</w:t>
      </w:r>
      <w:r>
        <w:t xml:space="preserve"> </w:t>
      </w:r>
      <w:r w:rsidR="00206AB4">
        <w:t xml:space="preserve">Intressant är att notera att </w:t>
      </w:r>
      <w:r w:rsidR="002807A0">
        <w:t xml:space="preserve">år 2016 kom 8 procent av de nyregistrerade motorfordonen från </w:t>
      </w:r>
      <w:proofErr w:type="gramStart"/>
      <w:r w:rsidR="002807A0">
        <w:t>ovannämnda</w:t>
      </w:r>
      <w:proofErr w:type="gramEnd"/>
      <w:r w:rsidR="002807A0">
        <w:t xml:space="preserve"> kategori av fordon. </w:t>
      </w:r>
      <w:r w:rsidR="00206AB4">
        <w:t xml:space="preserve"> </w:t>
      </w:r>
      <w:r>
        <w:t>V</w:t>
      </w:r>
      <w:r>
        <w:t>i</w:t>
      </w:r>
      <w:r>
        <w:t xml:space="preserve">dare noterar utskottet att hänvisningen till </w:t>
      </w:r>
      <w:proofErr w:type="spellStart"/>
      <w:r>
        <w:t>propositionsnummern</w:t>
      </w:r>
      <w:proofErr w:type="spellEnd"/>
      <w:r>
        <w:t xml:space="preserve"> RP 25/2016 </w:t>
      </w:r>
      <w:proofErr w:type="spellStart"/>
      <w:r>
        <w:t>rd</w:t>
      </w:r>
      <w:proofErr w:type="spellEnd"/>
      <w:r>
        <w:t xml:space="preserve"> på sidan 11 i lagförslaget är ett skrivfel, den korrekta </w:t>
      </w:r>
      <w:proofErr w:type="spellStart"/>
      <w:r>
        <w:t>proposi</w:t>
      </w:r>
      <w:r>
        <w:t>t</w:t>
      </w:r>
      <w:r>
        <w:t>ionsnummern</w:t>
      </w:r>
      <w:proofErr w:type="spellEnd"/>
      <w:r>
        <w:t xml:space="preserve"> </w:t>
      </w:r>
      <w:r w:rsidR="00CE7834">
        <w:t>ska vara</w:t>
      </w:r>
      <w:r>
        <w:t xml:space="preserve"> RP 25/2017 </w:t>
      </w:r>
      <w:proofErr w:type="spellStart"/>
      <w:r>
        <w:t>rd</w:t>
      </w:r>
      <w:proofErr w:type="spellEnd"/>
      <w:r>
        <w:t>.</w:t>
      </w:r>
    </w:p>
    <w:p w:rsidR="00711148" w:rsidRPr="00130874" w:rsidRDefault="00007792" w:rsidP="00130874">
      <w:pPr>
        <w:pStyle w:val="ANormal"/>
      </w:pPr>
      <w:r>
        <w:tab/>
      </w:r>
      <w:r w:rsidR="00711148">
        <w:t xml:space="preserve">Utskottet </w:t>
      </w:r>
      <w:r>
        <w:t>an</w:t>
      </w:r>
      <w:r w:rsidR="00711148">
        <w:t>ser</w:t>
      </w:r>
      <w:r>
        <w:t xml:space="preserve"> att</w:t>
      </w:r>
      <w:r w:rsidR="00711148">
        <w:t xml:space="preserve"> lagförslaget </w:t>
      </w:r>
      <w:r w:rsidR="00AA002A">
        <w:t>fyller sitt syfte</w:t>
      </w:r>
      <w:r w:rsidR="00711148">
        <w:t xml:space="preserve"> och förordar att lagen a</w:t>
      </w:r>
      <w:r w:rsidR="00711148">
        <w:t>n</w:t>
      </w:r>
      <w:r w:rsidR="00711148">
        <w:t>tas.</w:t>
      </w:r>
    </w:p>
    <w:p w:rsidR="00130874" w:rsidRDefault="00130874">
      <w:pPr>
        <w:pStyle w:val="ANormal"/>
        <w:rPr>
          <w:i/>
        </w:rPr>
      </w:pPr>
    </w:p>
    <w:p w:rsidR="002401D0" w:rsidRPr="005856E3" w:rsidRDefault="00D07C70">
      <w:pPr>
        <w:pStyle w:val="ANormal"/>
        <w:rPr>
          <w:i/>
        </w:rPr>
      </w:pPr>
      <w:r w:rsidRPr="005856E3">
        <w:rPr>
          <w:i/>
        </w:rPr>
        <w:t>Behörighet</w:t>
      </w:r>
    </w:p>
    <w:p w:rsidR="00130874" w:rsidRPr="00130874" w:rsidRDefault="00130874">
      <w:pPr>
        <w:pStyle w:val="ANormal"/>
        <w:rPr>
          <w:sz w:val="10"/>
        </w:rPr>
      </w:pPr>
    </w:p>
    <w:p w:rsidR="00B70664" w:rsidRDefault="00130874">
      <w:pPr>
        <w:pStyle w:val="ANormal"/>
      </w:pPr>
      <w:r>
        <w:t>Utskottet konstaterar att lagförslaget delvis berör rättsområde</w:t>
      </w:r>
      <w:r w:rsidR="001216EC">
        <w:t>na</w:t>
      </w:r>
      <w:r>
        <w:t xml:space="preserve"> </w:t>
      </w:r>
      <w:r w:rsidR="001216EC">
        <w:t>kons</w:t>
      </w:r>
      <w:r w:rsidR="001216EC">
        <w:t>u</w:t>
      </w:r>
      <w:r w:rsidR="001216EC">
        <w:t xml:space="preserve">mentskydd, </w:t>
      </w:r>
      <w:r w:rsidR="002A03DC">
        <w:t xml:space="preserve">utrikeshandel, </w:t>
      </w:r>
      <w:r w:rsidR="001216EC">
        <w:t>handelssjöfart</w:t>
      </w:r>
      <w:r w:rsidR="002A03DC">
        <w:t xml:space="preserve"> och</w:t>
      </w:r>
      <w:r w:rsidR="001216EC">
        <w:t xml:space="preserve"> </w:t>
      </w:r>
      <w:r>
        <w:t>standardisering</w:t>
      </w:r>
      <w:r w:rsidR="001216EC">
        <w:t>,</w:t>
      </w:r>
      <w:r>
        <w:t xml:space="preserve"> vilk</w:t>
      </w:r>
      <w:r w:rsidR="001216EC">
        <w:t>a</w:t>
      </w:r>
      <w:r>
        <w:t xml:space="preserve"> är rik</w:t>
      </w:r>
      <w:r>
        <w:t>s</w:t>
      </w:r>
      <w:r>
        <w:t xml:space="preserve">behörighet enligt 27 § </w:t>
      </w:r>
      <w:r w:rsidR="001216EC">
        <w:t xml:space="preserve">10, </w:t>
      </w:r>
      <w:r w:rsidR="000A4E3E">
        <w:t xml:space="preserve">12, </w:t>
      </w:r>
      <w:r w:rsidR="001216EC">
        <w:t>13</w:t>
      </w:r>
      <w:r w:rsidR="000A4E3E">
        <w:t xml:space="preserve"> och</w:t>
      </w:r>
      <w:r w:rsidR="001216EC">
        <w:t xml:space="preserve"> </w:t>
      </w:r>
      <w:r>
        <w:t>19</w:t>
      </w:r>
      <w:r w:rsidR="001216EC">
        <w:t xml:space="preserve"> </w:t>
      </w:r>
      <w:r>
        <w:t>punkte</w:t>
      </w:r>
      <w:r w:rsidR="001216EC">
        <w:t>rna</w:t>
      </w:r>
      <w:r>
        <w:t xml:space="preserve"> i självstyrelselagen.</w:t>
      </w:r>
      <w:r w:rsidR="00711148">
        <w:t xml:space="preserve"> E</w:t>
      </w:r>
      <w:r w:rsidR="00711148">
        <w:t>n</w:t>
      </w:r>
      <w:r w:rsidR="00711148">
        <w:t>ligt självstyrelselagens 19 § 3 mom. kan i en landskapslag intas bestämme</w:t>
      </w:r>
      <w:r w:rsidR="00711148">
        <w:t>l</w:t>
      </w:r>
      <w:r w:rsidR="00711148">
        <w:t xml:space="preserve">ser av rikslagsstiftningsnatur som i sak överensstämmer med motsvarande stadganden i </w:t>
      </w:r>
      <w:proofErr w:type="spellStart"/>
      <w:r w:rsidR="00711148">
        <w:t>rikslag</w:t>
      </w:r>
      <w:proofErr w:type="spellEnd"/>
      <w:r w:rsidR="001216EC">
        <w:t xml:space="preserve"> för att vinna enhetlighet och överskådlighet</w:t>
      </w:r>
      <w:r w:rsidR="00711148">
        <w:t>. I detta fall är det fråga om stadganden direkt kopplade till rikslagen och eventuella ändringar i rikslagen träder i kraft i landskapet samtidigt som i riket varför lagförslaget inte torde överskrida lagstiftningsbehörigheten.</w:t>
      </w:r>
    </w:p>
    <w:p w:rsidR="00106FC8" w:rsidRDefault="00106FC8">
      <w:pPr>
        <w:pStyle w:val="ANormal"/>
      </w:pPr>
    </w:p>
    <w:p w:rsidR="00B70664" w:rsidRDefault="00B70664">
      <w:pPr>
        <w:pStyle w:val="ANormal"/>
        <w:rPr>
          <w:i/>
        </w:rPr>
      </w:pPr>
      <w:r w:rsidRPr="00B70664">
        <w:rPr>
          <w:i/>
        </w:rPr>
        <w:t>Lagstiftningsförfarandet</w:t>
      </w:r>
    </w:p>
    <w:p w:rsidR="00106FC8" w:rsidRPr="00106FC8" w:rsidRDefault="00106FC8">
      <w:pPr>
        <w:pStyle w:val="ANormal"/>
        <w:rPr>
          <w:sz w:val="10"/>
        </w:rPr>
      </w:pPr>
    </w:p>
    <w:p w:rsidR="008225A4" w:rsidRDefault="00B70664">
      <w:pPr>
        <w:pStyle w:val="ANormal"/>
      </w:pPr>
      <w:r>
        <w:t xml:space="preserve">Utskottet konstaterar att </w:t>
      </w:r>
      <w:proofErr w:type="gramStart"/>
      <w:r>
        <w:t>den</w:t>
      </w:r>
      <w:proofErr w:type="gramEnd"/>
      <w:r>
        <w:t xml:space="preserve"> </w:t>
      </w:r>
      <w:proofErr w:type="spellStart"/>
      <w:r>
        <w:t>rikslag</w:t>
      </w:r>
      <w:proofErr w:type="spellEnd"/>
      <w:r>
        <w:t xml:space="preserve"> som ligger som underlag för blanket</w:t>
      </w:r>
      <w:r>
        <w:t>t</w:t>
      </w:r>
      <w:r>
        <w:t>lagen antogs av riksdagen i andra behandling den 30 maj 2017. Lagen är således inte stadfäst av presidenten vid tidpunkten för utskottets behan</w:t>
      </w:r>
      <w:r>
        <w:t>d</w:t>
      </w:r>
      <w:r>
        <w:t xml:space="preserve">ling. </w:t>
      </w:r>
    </w:p>
    <w:p w:rsidR="00B70664" w:rsidRDefault="008225A4">
      <w:pPr>
        <w:pStyle w:val="ANormal"/>
      </w:pPr>
      <w:r>
        <w:tab/>
      </w:r>
      <w:r w:rsidR="00B70664">
        <w:t xml:space="preserve">Ett motsvarande fall var senast aktuellt då lagtinget </w:t>
      </w:r>
      <w:r w:rsidR="00316B4B">
        <w:t xml:space="preserve">den </w:t>
      </w:r>
      <w:r w:rsidR="00305F17">
        <w:t xml:space="preserve">9 november 2016 </w:t>
      </w:r>
      <w:r w:rsidR="00B70664">
        <w:t xml:space="preserve">antog </w:t>
      </w:r>
      <w:r w:rsidR="00305F17">
        <w:t>två blankettlagar (LTB 39</w:t>
      </w:r>
      <w:r w:rsidR="00316B4B">
        <w:t>/2016</w:t>
      </w:r>
      <w:r w:rsidR="00305F17">
        <w:t xml:space="preserve"> och 40/2016) som ännu inte var antagna av riksdagen, vilket skedde först </w:t>
      </w:r>
      <w:r>
        <w:t xml:space="preserve">den </w:t>
      </w:r>
      <w:r w:rsidR="00305F17">
        <w:t xml:space="preserve">15 november 2016. </w:t>
      </w:r>
      <w:r>
        <w:t xml:space="preserve">I </w:t>
      </w:r>
      <w:r w:rsidR="00305F17">
        <w:t>Åland</w:t>
      </w:r>
      <w:r w:rsidR="00305F17">
        <w:t>s</w:t>
      </w:r>
      <w:r w:rsidR="00305F17">
        <w:t>delegationens utlåtande (ÅD 27</w:t>
      </w:r>
      <w:r w:rsidR="00316B4B">
        <w:t>/16</w:t>
      </w:r>
      <w:r w:rsidR="00305F17">
        <w:t xml:space="preserve"> och 28/16) förordade</w:t>
      </w:r>
      <w:r>
        <w:t>s</w:t>
      </w:r>
      <w:r w:rsidR="00305F17">
        <w:t xml:space="preserve"> att landskapsl</w:t>
      </w:r>
      <w:r w:rsidR="00305F17">
        <w:t>a</w:t>
      </w:r>
      <w:r w:rsidR="00305F17">
        <w:t>garna skulle förfalla med hänvisning till det faktum att de rikslagar som ingick i landskapslagarna inte var antagna</w:t>
      </w:r>
      <w:r>
        <w:t xml:space="preserve"> eller </w:t>
      </w:r>
      <w:proofErr w:type="gramStart"/>
      <w:r>
        <w:t>stadfästa</w:t>
      </w:r>
      <w:proofErr w:type="gramEnd"/>
      <w:r>
        <w:t xml:space="preserve"> vid tidpunkten för lagtingets beslut</w:t>
      </w:r>
      <w:r w:rsidR="00305F17">
        <w:t>. Justitieministeriet inhämtade Högsta domstolens</w:t>
      </w:r>
      <w:r w:rsidR="00D75982">
        <w:t xml:space="preserve"> (HD) </w:t>
      </w:r>
      <w:r w:rsidR="00305F17">
        <w:t>u</w:t>
      </w:r>
      <w:r w:rsidR="00305F17">
        <w:t>t</w:t>
      </w:r>
      <w:r w:rsidR="00305F17">
        <w:t xml:space="preserve">låtande </w:t>
      </w:r>
      <w:r w:rsidR="00D75982">
        <w:t xml:space="preserve">(nr 6 och 7/2017) </w:t>
      </w:r>
      <w:r w:rsidR="00305F17">
        <w:t xml:space="preserve">som förde ett längre resonemang kring </w:t>
      </w:r>
      <w:proofErr w:type="gramStart"/>
      <w:r w:rsidR="00305F17">
        <w:t>ifrågav</w:t>
      </w:r>
      <w:r w:rsidR="00305F17">
        <w:t>a</w:t>
      </w:r>
      <w:r w:rsidR="00305F17">
        <w:t>rande</w:t>
      </w:r>
      <w:proofErr w:type="gramEnd"/>
      <w:r w:rsidR="00305F17">
        <w:t xml:space="preserve"> lagstiftningsförfarande.</w:t>
      </w:r>
      <w:r w:rsidR="00D75982">
        <w:t xml:space="preserve"> </w:t>
      </w:r>
      <w:r>
        <w:t xml:space="preserve">HD gick på en annan linje i sitt utlåtande och ansåg att inget hinder förelåg för lagarnas stadfästande. </w:t>
      </w:r>
      <w:r w:rsidR="00D75982">
        <w:t>HD konstaterar att det i vissa fall är önskvärt eller nödvändigt att landskaps- och rikslagstif</w:t>
      </w:r>
      <w:r w:rsidR="00D75982">
        <w:t>t</w:t>
      </w:r>
      <w:r w:rsidR="00D75982">
        <w:t>ningen bringas i kraft samtidigt, vilket ofta är fallet med Europeiska unio</w:t>
      </w:r>
      <w:r w:rsidR="00D75982">
        <w:t>n</w:t>
      </w:r>
      <w:r w:rsidR="00D75982">
        <w:t>ens rättsakter. Eftersom det inte är ovanligt att implementeringen av EU-lagstiftning är sen</w:t>
      </w:r>
      <w:r>
        <w:t xml:space="preserve"> i riket</w:t>
      </w:r>
      <w:r w:rsidR="00C52084">
        <w:t>,</w:t>
      </w:r>
      <w:r>
        <w:t xml:space="preserve"> vilket kan leda till</w:t>
      </w:r>
      <w:r w:rsidR="00D75982">
        <w:t xml:space="preserve"> hot</w:t>
      </w:r>
      <w:r w:rsidR="00C52084">
        <w:t xml:space="preserve"> om</w:t>
      </w:r>
      <w:r w:rsidR="00D75982">
        <w:t xml:space="preserve"> implementeringspåföl</w:t>
      </w:r>
      <w:r w:rsidR="00D75982">
        <w:t>j</w:t>
      </w:r>
      <w:r w:rsidR="00D75982">
        <w:t>der</w:t>
      </w:r>
      <w:r>
        <w:t xml:space="preserve"> i form av böter, vilket </w:t>
      </w:r>
      <w:r w:rsidR="00C52084">
        <w:t xml:space="preserve">också </w:t>
      </w:r>
      <w:r>
        <w:t>är fallet i det nu aktuella lagförslaget, blir det en nödvändighet med parallella lagstiftningsprocesser</w:t>
      </w:r>
      <w:r w:rsidR="00C52084">
        <w:t xml:space="preserve"> i landskapet och riket</w:t>
      </w:r>
      <w:r w:rsidR="00D75982">
        <w:t>.</w:t>
      </w:r>
      <w:r w:rsidR="00305F17">
        <w:t xml:space="preserve"> </w:t>
      </w:r>
      <w:r>
        <w:t>Som huvudregel anser HD att rikslagstiftningen ska existera innan den tas in i landskapslagstiftningen, men att det inte kan utgöra ett ovillko</w:t>
      </w:r>
      <w:r>
        <w:t>r</w:t>
      </w:r>
      <w:r>
        <w:t xml:space="preserve">ligt </w:t>
      </w:r>
      <w:r w:rsidR="00C52084">
        <w:t>krav</w:t>
      </w:r>
      <w:r>
        <w:t xml:space="preserve"> </w:t>
      </w:r>
      <w:r w:rsidR="00316B4B">
        <w:t xml:space="preserve">ifall </w:t>
      </w:r>
      <w:r>
        <w:t>omständigheterna motiverar</w:t>
      </w:r>
      <w:r w:rsidR="00316B4B">
        <w:t xml:space="preserve"> ett avvikande förfarande</w:t>
      </w:r>
      <w:r>
        <w:t>.</w:t>
      </w:r>
      <w:r w:rsidR="00B70664">
        <w:t xml:space="preserve"> </w:t>
      </w:r>
    </w:p>
    <w:p w:rsidR="002401D0" w:rsidRDefault="00C52084">
      <w:pPr>
        <w:pStyle w:val="ANormal"/>
      </w:pPr>
      <w:r>
        <w:tab/>
        <w:t xml:space="preserve">Utskottet konstaterar att riksdagen </w:t>
      </w:r>
      <w:r w:rsidR="00316B4B">
        <w:t xml:space="preserve">den </w:t>
      </w:r>
      <w:r>
        <w:t>30 maj 2017 antagit den lag som lagförslaget bygger på och att endast presidentens stadfäst</w:t>
      </w:r>
      <w:r w:rsidR="000C237F">
        <w:t>ande</w:t>
      </w:r>
      <w:r>
        <w:t xml:space="preserve"> och </w:t>
      </w:r>
      <w:r w:rsidR="000C237F">
        <w:t xml:space="preserve">lagens </w:t>
      </w:r>
      <w:r>
        <w:t>ikraftträdandedatum</w:t>
      </w:r>
      <w:r w:rsidR="000C237F">
        <w:t xml:space="preserve"> </w:t>
      </w:r>
      <w:r>
        <w:t xml:space="preserve">återstår. Utskottet anser därför, med hänvisning </w:t>
      </w:r>
      <w:r w:rsidR="00316B4B">
        <w:t xml:space="preserve">till </w:t>
      </w:r>
      <w:r>
        <w:t>ovanstående resonemang, att något hinder för lagtinget att anta lagförslaget inte föreligger</w:t>
      </w:r>
      <w:r w:rsidR="005B0D63">
        <w:t>.</w:t>
      </w:r>
    </w:p>
    <w:p w:rsidR="006F49A2" w:rsidRDefault="006F49A2">
      <w:pPr>
        <w:pStyle w:val="ANormal"/>
      </w:pPr>
    </w:p>
    <w:p w:rsidR="002401D0" w:rsidRDefault="002401D0" w:rsidP="008307D0">
      <w:pPr>
        <w:pStyle w:val="RubrikA"/>
      </w:pPr>
      <w:bookmarkStart w:id="10" w:name="_Toc529800936"/>
      <w:bookmarkStart w:id="11" w:name="_Toc483904394"/>
      <w:r>
        <w:t>Ärendets behandlin</w:t>
      </w:r>
      <w:bookmarkEnd w:id="10"/>
      <w:r w:rsidR="008307D0">
        <w:t>g</w:t>
      </w:r>
      <w:bookmarkEnd w:id="11"/>
    </w:p>
    <w:p w:rsidR="008307D0" w:rsidRDefault="008307D0" w:rsidP="008307D0">
      <w:pPr>
        <w:pStyle w:val="Rubrikmellanrum"/>
      </w:pPr>
    </w:p>
    <w:p w:rsidR="008307D0" w:rsidRDefault="008307D0" w:rsidP="008307D0">
      <w:pPr>
        <w:pStyle w:val="ANormal"/>
      </w:pPr>
      <w:r>
        <w:rPr>
          <w:szCs w:val="22"/>
        </w:rPr>
        <w:tab/>
        <w:t xml:space="preserve">Lagtinget har den 29 </w:t>
      </w:r>
      <w:r w:rsidR="00B70664">
        <w:rPr>
          <w:szCs w:val="22"/>
        </w:rPr>
        <w:t>maj</w:t>
      </w:r>
      <w:r>
        <w:rPr>
          <w:szCs w:val="22"/>
        </w:rPr>
        <w:t xml:space="preserve"> 2017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finans- och näringsutskottets yttrande över lagförslaget.</w:t>
      </w:r>
    </w:p>
    <w:p w:rsidR="008307D0" w:rsidRDefault="008307D0" w:rsidP="008307D0">
      <w:pPr>
        <w:pStyle w:val="ANormal"/>
      </w:pPr>
      <w:r w:rsidRPr="0004644E">
        <w:tab/>
      </w:r>
      <w:r>
        <w:t>Utskottet har i ärendet hört</w:t>
      </w:r>
      <w:r w:rsidR="00B70664">
        <w:t xml:space="preserve"> ministern Camilla Gunell och inspektören Henrik Juslin.</w:t>
      </w:r>
      <w:r>
        <w:tab/>
      </w:r>
    </w:p>
    <w:p w:rsidR="008307D0" w:rsidRPr="00DB5ECA" w:rsidRDefault="008307D0" w:rsidP="008307D0">
      <w:pPr>
        <w:pStyle w:val="ANormal"/>
      </w:pPr>
      <w:r>
        <w:lastRenderedPageBreak/>
        <w:tab/>
      </w:r>
      <w:r w:rsidRPr="00445762">
        <w:t>I ärendets a</w:t>
      </w:r>
      <w:r>
        <w:t>vgörande behandling deltog</w:t>
      </w:r>
      <w:r w:rsidRPr="00445762">
        <w:t xml:space="preserve"> </w:t>
      </w:r>
      <w:r>
        <w:t xml:space="preserve">ordföranden Tage Silander, vice ordförande Göte </w:t>
      </w:r>
      <w:proofErr w:type="spellStart"/>
      <w:r>
        <w:t>Winé</w:t>
      </w:r>
      <w:proofErr w:type="spellEnd"/>
      <w:r w:rsidRPr="00DB5ECA">
        <w:t xml:space="preserve"> </w:t>
      </w:r>
      <w:r>
        <w:t>samt</w:t>
      </w:r>
      <w:r w:rsidRPr="00DB5ECA">
        <w:t xml:space="preserve"> ledamöterna John Holmberg,</w:t>
      </w:r>
      <w:r>
        <w:t xml:space="preserve"> Lars Häggblom, </w:t>
      </w:r>
      <w:r w:rsidR="006F49A2">
        <w:t xml:space="preserve">vicetalman </w:t>
      </w:r>
      <w:r>
        <w:t xml:space="preserve">Veronica </w:t>
      </w:r>
      <w:proofErr w:type="spellStart"/>
      <w:r>
        <w:t>Thörnroos</w:t>
      </w:r>
      <w:proofErr w:type="spellEnd"/>
      <w:r w:rsidRPr="00D35574">
        <w:t xml:space="preserve"> och </w:t>
      </w:r>
      <w:r>
        <w:t>Stephan Toivonen</w:t>
      </w:r>
      <w:r w:rsidRPr="00D35574">
        <w:t>.</w:t>
      </w:r>
      <w:r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483904395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8307D0">
        <w:t xml:space="preserve"> antar lagförslaget i </w:t>
      </w:r>
      <w:r w:rsidR="00225B02">
        <w:t>oförändrad</w:t>
      </w:r>
      <w:r w:rsidR="008307D0">
        <w:t xml:space="preserve"> lydelse</w:t>
      </w:r>
      <w:r w:rsidR="00225B02">
        <w:t>.</w:t>
      </w:r>
      <w:proofErr w:type="gramEnd"/>
    </w:p>
    <w:p w:rsidR="008307D0" w:rsidRPr="008307D0" w:rsidRDefault="008307D0" w:rsidP="008307D0">
      <w:pPr>
        <w:pStyle w:val="ANormal"/>
      </w:pPr>
    </w:p>
    <w:p w:rsidR="008307D0" w:rsidRPr="00965018" w:rsidRDefault="00F559A8" w:rsidP="008307D0">
      <w:pPr>
        <w:pStyle w:val="ANormal"/>
        <w:jc w:val="center"/>
      </w:pPr>
      <w:hyperlink w:anchor="_top" w:tooltip="Klicka för att gå till toppen av dokumentet" w:history="1">
        <w:r w:rsidR="008307D0" w:rsidRPr="00965018">
          <w:rPr>
            <w:rStyle w:val="Hyperlnk"/>
          </w:rPr>
          <w:t>__________________</w:t>
        </w:r>
      </w:hyperlink>
    </w:p>
    <w:p w:rsidR="008307D0" w:rsidRPr="008307D0" w:rsidRDefault="008307D0" w:rsidP="008307D0">
      <w:pPr>
        <w:pStyle w:val="ANormal"/>
      </w:pPr>
    </w:p>
    <w:p w:rsidR="002401D0" w:rsidRDefault="002401D0">
      <w:pPr>
        <w:pStyle w:val="ANormal"/>
        <w:jc w:val="center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225B02">
            <w:pPr>
              <w:pStyle w:val="ANormal"/>
              <w:keepNext/>
            </w:pPr>
            <w:r>
              <w:t xml:space="preserve">Mariehamn den </w:t>
            </w:r>
            <w:r w:rsidR="00225B02">
              <w:t>31 maj</w:t>
            </w:r>
            <w:r w:rsidR="008307D0">
              <w:t xml:space="preserve">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25B02" w:rsidRDefault="00225B02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8307D0">
            <w:pPr>
              <w:pStyle w:val="ANormal"/>
              <w:keepNext/>
            </w:pPr>
            <w:r>
              <w:t>Tage Silander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8307D0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3E" w:rsidRDefault="000A4E3E">
      <w:r>
        <w:separator/>
      </w:r>
    </w:p>
  </w:endnote>
  <w:endnote w:type="continuationSeparator" w:id="0">
    <w:p w:rsidR="000A4E3E" w:rsidRDefault="000A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559A8">
      <w:rPr>
        <w:noProof/>
        <w:lang w:val="fi-FI"/>
      </w:rPr>
      <w:t>FNU2020162017.docx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3E" w:rsidRDefault="000A4E3E">
      <w:r>
        <w:separator/>
      </w:r>
    </w:p>
  </w:footnote>
  <w:footnote w:type="continuationSeparator" w:id="0">
    <w:p w:rsidR="000A4E3E" w:rsidRDefault="000A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59A8">
      <w:rPr>
        <w:rStyle w:val="Sidnummer"/>
        <w:noProof/>
      </w:rPr>
      <w:t>2</w:t>
    </w:r>
    <w:r>
      <w:rPr>
        <w:rStyle w:val="Sidnummer"/>
      </w:rPr>
      <w:fldChar w:fldCharType="end"/>
    </w:r>
  </w:p>
  <w:p w:rsidR="000A4E3E" w:rsidRDefault="000A4E3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59A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7D0"/>
    <w:rsid w:val="00007792"/>
    <w:rsid w:val="00010647"/>
    <w:rsid w:val="00015E9C"/>
    <w:rsid w:val="00051556"/>
    <w:rsid w:val="00092660"/>
    <w:rsid w:val="000A4E3E"/>
    <w:rsid w:val="000B2DC9"/>
    <w:rsid w:val="000C237F"/>
    <w:rsid w:val="000D2CB1"/>
    <w:rsid w:val="000F7417"/>
    <w:rsid w:val="00106FC8"/>
    <w:rsid w:val="001216EC"/>
    <w:rsid w:val="00130874"/>
    <w:rsid w:val="0015337C"/>
    <w:rsid w:val="00206AB4"/>
    <w:rsid w:val="00225B02"/>
    <w:rsid w:val="002401D0"/>
    <w:rsid w:val="002807A0"/>
    <w:rsid w:val="002A03DC"/>
    <w:rsid w:val="00305F17"/>
    <w:rsid w:val="00316B4B"/>
    <w:rsid w:val="0036359C"/>
    <w:rsid w:val="005856E3"/>
    <w:rsid w:val="00587877"/>
    <w:rsid w:val="005B0D63"/>
    <w:rsid w:val="00600333"/>
    <w:rsid w:val="00671352"/>
    <w:rsid w:val="006B2E9E"/>
    <w:rsid w:val="006E73CB"/>
    <w:rsid w:val="006F49A2"/>
    <w:rsid w:val="00711148"/>
    <w:rsid w:val="00723B93"/>
    <w:rsid w:val="00811D50"/>
    <w:rsid w:val="00817B04"/>
    <w:rsid w:val="008225A4"/>
    <w:rsid w:val="008307D0"/>
    <w:rsid w:val="00957C36"/>
    <w:rsid w:val="009939D4"/>
    <w:rsid w:val="009D73B2"/>
    <w:rsid w:val="009F7CE2"/>
    <w:rsid w:val="00A31931"/>
    <w:rsid w:val="00AA002A"/>
    <w:rsid w:val="00B32E91"/>
    <w:rsid w:val="00B36A8F"/>
    <w:rsid w:val="00B70664"/>
    <w:rsid w:val="00B90DEC"/>
    <w:rsid w:val="00C52084"/>
    <w:rsid w:val="00CB087E"/>
    <w:rsid w:val="00CE7834"/>
    <w:rsid w:val="00CF700E"/>
    <w:rsid w:val="00D07C70"/>
    <w:rsid w:val="00D75982"/>
    <w:rsid w:val="00DC45B2"/>
    <w:rsid w:val="00F07219"/>
    <w:rsid w:val="00F559A8"/>
    <w:rsid w:val="00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7D0"/>
    <w:pPr>
      <w:spacing w:after="200" w:line="276" w:lineRule="auto"/>
    </w:pPr>
    <w:rPr>
      <w:rFonts w:ascii="Calibri" w:eastAsia="Calibri" w:hAnsi="Calibri"/>
      <w:sz w:val="22"/>
      <w:szCs w:val="22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307D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31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6B4B"/>
    <w:rPr>
      <w:rFonts w:ascii="Tahoma" w:eastAsia="Calibri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LF272016201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ED33-687D-44D7-BDB9-92AF6F1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1069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ocn näringsutskottets betänkande nr 20/2016-2017</vt:lpstr>
    </vt:vector>
  </TitlesOfParts>
  <Company>Ålands lagting</Company>
  <LinksUpToDate>false</LinksUpToDate>
  <CharactersWithSpaces>6724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ocn näringsutskottets betänkande nr 20/2016-2017</dc:title>
  <dc:creator>Jessica Laaksonen</dc:creator>
  <cp:lastModifiedBy>Jessica Laaksonen</cp:lastModifiedBy>
  <cp:revision>4</cp:revision>
  <cp:lastPrinted>2017-05-31T07:02:00Z</cp:lastPrinted>
  <dcterms:created xsi:type="dcterms:W3CDTF">2017-05-31T07:00:00Z</dcterms:created>
  <dcterms:modified xsi:type="dcterms:W3CDTF">2017-05-31T07:02:00Z</dcterms:modified>
</cp:coreProperties>
</file>