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010F45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735AFC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010F45" w:rsidP="00EC279A">
            <w:pPr>
              <w:pStyle w:val="xDokTypNr"/>
            </w:pPr>
            <w:r>
              <w:t>BETÄNKANDE nr 17</w:t>
            </w:r>
            <w:r w:rsidR="002401D0">
              <w:t>/20</w:t>
            </w:r>
            <w:r w:rsidR="00723B93">
              <w:t>1</w:t>
            </w:r>
            <w:r w:rsidR="00EC279A">
              <w:t>6</w:t>
            </w:r>
            <w:r w:rsidR="0015337C">
              <w:t>-20</w:t>
            </w:r>
            <w:r w:rsidR="009F7CE2">
              <w:t>1</w:t>
            </w:r>
            <w:r w:rsidR="00EC279A">
              <w:t>7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EA4353">
            <w:pPr>
              <w:pStyle w:val="xAvsandare2"/>
            </w:pPr>
            <w:r>
              <w:t>Lag- och kul</w:t>
            </w:r>
            <w:r w:rsidR="00EC279A">
              <w:t>tur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EA4353">
            <w:pPr>
              <w:pStyle w:val="xDatum1"/>
            </w:pPr>
            <w:r>
              <w:t>20</w:t>
            </w:r>
            <w:r w:rsidR="00B32E91">
              <w:t>1</w:t>
            </w:r>
            <w:r w:rsidR="00EC279A">
              <w:t>7-</w:t>
            </w:r>
            <w:r w:rsidR="00EA4353">
              <w:t>06-01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EC279A">
      <w:pPr>
        <w:pStyle w:val="ArendeOverRubrik"/>
      </w:pPr>
      <w:r>
        <w:lastRenderedPageBreak/>
        <w:t>Lag- och kultur</w:t>
      </w:r>
      <w:r w:rsidR="002401D0">
        <w:t>utskottets betänkande</w:t>
      </w:r>
    </w:p>
    <w:p w:rsidR="002401D0" w:rsidRDefault="00EC279A">
      <w:pPr>
        <w:pStyle w:val="ArendeRubrik"/>
      </w:pPr>
      <w:r>
        <w:t>Elektronisk förvaltning</w:t>
      </w:r>
    </w:p>
    <w:p w:rsidR="002401D0" w:rsidRDefault="00735AFC">
      <w:pPr>
        <w:pStyle w:val="ArendeUnderRubrik"/>
      </w:pPr>
      <w:hyperlink r:id="rId12" w:history="1">
        <w:r w:rsidR="00EC279A" w:rsidRPr="00735AFC">
          <w:rPr>
            <w:rStyle w:val="Hyperlnk"/>
          </w:rPr>
          <w:t>Landskapsregeringens lagförslag nr 26/2016-2017</w:t>
        </w:r>
      </w:hyperlink>
      <w:bookmarkStart w:id="1" w:name="_GoBack"/>
      <w:bookmarkEnd w:id="1"/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21449E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484087517" w:history="1">
        <w:r w:rsidR="0021449E" w:rsidRPr="009E6523">
          <w:rPr>
            <w:rStyle w:val="Hyperlnk"/>
          </w:rPr>
          <w:t>Landskapsregeringens förslag</w:t>
        </w:r>
        <w:r w:rsidR="0021449E">
          <w:rPr>
            <w:webHidden/>
          </w:rPr>
          <w:tab/>
        </w:r>
        <w:r w:rsidR="0021449E">
          <w:rPr>
            <w:webHidden/>
          </w:rPr>
          <w:fldChar w:fldCharType="begin"/>
        </w:r>
        <w:r w:rsidR="0021449E">
          <w:rPr>
            <w:webHidden/>
          </w:rPr>
          <w:instrText xml:space="preserve"> PAGEREF _Toc484087517 \h </w:instrText>
        </w:r>
        <w:r w:rsidR="0021449E">
          <w:rPr>
            <w:webHidden/>
          </w:rPr>
        </w:r>
        <w:r w:rsidR="0021449E">
          <w:rPr>
            <w:webHidden/>
          </w:rPr>
          <w:fldChar w:fldCharType="separate"/>
        </w:r>
        <w:r w:rsidR="00B63684">
          <w:rPr>
            <w:webHidden/>
          </w:rPr>
          <w:t>1</w:t>
        </w:r>
        <w:r w:rsidR="0021449E">
          <w:rPr>
            <w:webHidden/>
          </w:rPr>
          <w:fldChar w:fldCharType="end"/>
        </w:r>
      </w:hyperlink>
    </w:p>
    <w:p w:rsidR="0021449E" w:rsidRDefault="00735AFC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84087518" w:history="1">
        <w:r w:rsidR="0021449E" w:rsidRPr="009E6523">
          <w:rPr>
            <w:rStyle w:val="Hyperlnk"/>
          </w:rPr>
          <w:t>Utskottets förslag</w:t>
        </w:r>
        <w:r w:rsidR="0021449E">
          <w:rPr>
            <w:webHidden/>
          </w:rPr>
          <w:tab/>
        </w:r>
        <w:r w:rsidR="0021449E">
          <w:rPr>
            <w:webHidden/>
          </w:rPr>
          <w:fldChar w:fldCharType="begin"/>
        </w:r>
        <w:r w:rsidR="0021449E">
          <w:rPr>
            <w:webHidden/>
          </w:rPr>
          <w:instrText xml:space="preserve"> PAGEREF _Toc484087518 \h </w:instrText>
        </w:r>
        <w:r w:rsidR="0021449E">
          <w:rPr>
            <w:webHidden/>
          </w:rPr>
        </w:r>
        <w:r w:rsidR="0021449E">
          <w:rPr>
            <w:webHidden/>
          </w:rPr>
          <w:fldChar w:fldCharType="separate"/>
        </w:r>
        <w:r w:rsidR="00B63684">
          <w:rPr>
            <w:webHidden/>
          </w:rPr>
          <w:t>2</w:t>
        </w:r>
        <w:r w:rsidR="0021449E">
          <w:rPr>
            <w:webHidden/>
          </w:rPr>
          <w:fldChar w:fldCharType="end"/>
        </w:r>
      </w:hyperlink>
    </w:p>
    <w:p w:rsidR="0021449E" w:rsidRDefault="00735AFC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84087519" w:history="1">
        <w:r w:rsidR="0021449E" w:rsidRPr="009E6523">
          <w:rPr>
            <w:rStyle w:val="Hyperlnk"/>
          </w:rPr>
          <w:t>Ärendets behandling</w:t>
        </w:r>
        <w:r w:rsidR="0021449E">
          <w:rPr>
            <w:webHidden/>
          </w:rPr>
          <w:tab/>
        </w:r>
        <w:r w:rsidR="0021449E">
          <w:rPr>
            <w:webHidden/>
          </w:rPr>
          <w:fldChar w:fldCharType="begin"/>
        </w:r>
        <w:r w:rsidR="0021449E">
          <w:rPr>
            <w:webHidden/>
          </w:rPr>
          <w:instrText xml:space="preserve"> PAGEREF _Toc484087519 \h </w:instrText>
        </w:r>
        <w:r w:rsidR="0021449E">
          <w:rPr>
            <w:webHidden/>
          </w:rPr>
        </w:r>
        <w:r w:rsidR="0021449E">
          <w:rPr>
            <w:webHidden/>
          </w:rPr>
          <w:fldChar w:fldCharType="separate"/>
        </w:r>
        <w:r w:rsidR="00B63684">
          <w:rPr>
            <w:webHidden/>
          </w:rPr>
          <w:t>2</w:t>
        </w:r>
        <w:r w:rsidR="0021449E">
          <w:rPr>
            <w:webHidden/>
          </w:rPr>
          <w:fldChar w:fldCharType="end"/>
        </w:r>
      </w:hyperlink>
    </w:p>
    <w:p w:rsidR="0021449E" w:rsidRDefault="00735AFC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84087520" w:history="1">
        <w:r w:rsidR="0021449E" w:rsidRPr="009E6523">
          <w:rPr>
            <w:rStyle w:val="Hyperlnk"/>
          </w:rPr>
          <w:t>Utskottets förslag</w:t>
        </w:r>
        <w:r w:rsidR="0021449E">
          <w:rPr>
            <w:webHidden/>
          </w:rPr>
          <w:tab/>
        </w:r>
        <w:r w:rsidR="0021449E">
          <w:rPr>
            <w:webHidden/>
          </w:rPr>
          <w:fldChar w:fldCharType="begin"/>
        </w:r>
        <w:r w:rsidR="0021449E">
          <w:rPr>
            <w:webHidden/>
          </w:rPr>
          <w:instrText xml:space="preserve"> PAGEREF _Toc484087520 \h </w:instrText>
        </w:r>
        <w:r w:rsidR="0021449E">
          <w:rPr>
            <w:webHidden/>
          </w:rPr>
        </w:r>
        <w:r w:rsidR="0021449E">
          <w:rPr>
            <w:webHidden/>
          </w:rPr>
          <w:fldChar w:fldCharType="separate"/>
        </w:r>
        <w:r w:rsidR="00B63684">
          <w:rPr>
            <w:webHidden/>
          </w:rPr>
          <w:t>2</w:t>
        </w:r>
        <w:r w:rsidR="0021449E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mellanrum"/>
      </w:pPr>
    </w:p>
    <w:p w:rsidR="002401D0" w:rsidRDefault="00EC279A" w:rsidP="0021449E">
      <w:pPr>
        <w:pStyle w:val="RubrikA"/>
      </w:pPr>
      <w:bookmarkStart w:id="2" w:name="_Toc529800933"/>
      <w:bookmarkStart w:id="3" w:name="_Toc484087517"/>
      <w:r>
        <w:t>Landskapsregeringens</w:t>
      </w:r>
      <w:r w:rsidR="002401D0">
        <w:t xml:space="preserve"> förslag</w:t>
      </w:r>
      <w:bookmarkEnd w:id="2"/>
      <w:bookmarkEnd w:id="3"/>
    </w:p>
    <w:p w:rsidR="002401D0" w:rsidRDefault="002401D0">
      <w:pPr>
        <w:pStyle w:val="Rubrikmellanrum"/>
      </w:pPr>
    </w:p>
    <w:p w:rsidR="00EC279A" w:rsidRDefault="00EC279A" w:rsidP="00EC279A">
      <w:pPr>
        <w:pStyle w:val="ANormal"/>
      </w:pPr>
      <w:r w:rsidRPr="00F5578D">
        <w:t>Syftet med detta lagförslag är att anpassa förvaltningsförfarandet inom landskaps- och kommunalförvaltningen till den digitala utvecklingen. E</w:t>
      </w:r>
      <w:r w:rsidRPr="00F5578D">
        <w:t>n</w:t>
      </w:r>
      <w:r w:rsidRPr="00F5578D">
        <w:t xml:space="preserve">ligt lagförslaget ska de fysiska anslagstavlorna ersättas med elektroniska anslagstavlor på myndigheternas webbplatser. Samtliga myndigheter inom landskaps- och kommunalförvaltningen förutsätts ha en webbplats </w:t>
      </w:r>
      <w:r>
        <w:t xml:space="preserve">med en </w:t>
      </w:r>
      <w:r w:rsidRPr="00F5578D">
        <w:t xml:space="preserve">elektronisk anslagstavla </w:t>
      </w:r>
      <w:r>
        <w:t xml:space="preserve">som </w:t>
      </w:r>
      <w:r w:rsidRPr="00F5578D">
        <w:t xml:space="preserve">är lättillgänglig och </w:t>
      </w:r>
      <w:r>
        <w:t xml:space="preserve">som </w:t>
      </w:r>
      <w:r w:rsidRPr="00F5578D">
        <w:t>kan särskiljas från övrigt innehåll på webbplatsen.</w:t>
      </w:r>
      <w:r>
        <w:t xml:space="preserve"> </w:t>
      </w:r>
      <w:r w:rsidRPr="008239FA">
        <w:t>På de elektroniska anslagslagstavlorna ska publiceras de tillkännagivanden</w:t>
      </w:r>
      <w:r>
        <w:t xml:space="preserve"> </w:t>
      </w:r>
      <w:r w:rsidRPr="008239FA">
        <w:t xml:space="preserve">och meddelanden som i dagsläget sätts upp på de fysiska anslagstavlorna. </w:t>
      </w:r>
      <w:r>
        <w:t xml:space="preserve">Myndigheterna ska på webbplatsen publicera de handlingar som delges offentligen, men publiceringen på webbplatsen får inte stå i strid med </w:t>
      </w:r>
      <w:r w:rsidRPr="008239FA">
        <w:t xml:space="preserve">sekretessbestämmelser </w:t>
      </w:r>
      <w:r>
        <w:t>eller annan lagstiftning.</w:t>
      </w:r>
    </w:p>
    <w:p w:rsidR="00EC279A" w:rsidRDefault="00EC279A" w:rsidP="00EC279A">
      <w:pPr>
        <w:pStyle w:val="ANormal"/>
      </w:pPr>
      <w:r>
        <w:tab/>
        <w:t>För att beakta de personer som inte har tillgång till internet föreslås att m</w:t>
      </w:r>
      <w:r w:rsidRPr="00A1311D">
        <w:t>yndighete</w:t>
      </w:r>
      <w:r>
        <w:t>r</w:t>
      </w:r>
      <w:r w:rsidRPr="00A1311D">
        <w:t>n</w:t>
      </w:r>
      <w:r>
        <w:t>a</w:t>
      </w:r>
      <w:r w:rsidRPr="00A1311D">
        <w:t xml:space="preserve"> i sina lokaler eller på an</w:t>
      </w:r>
      <w:r>
        <w:t>nan anvisad plats ska ge var och en möj</w:t>
      </w:r>
      <w:r w:rsidRPr="00A1311D">
        <w:t>lighet att ta del av innehållet på den elektroniska anslagstavlan och i de handlingar som hålls tillgängliga på myndighetens webbplats.</w:t>
      </w:r>
      <w:r>
        <w:t xml:space="preserve"> Vid behov kan myndigheterna komplettera den webbaserade offentliga delgivningen med andra former av offentliggörande som är ändamålsenliga. Till exempel kan det röra sig om annonsering i lokala tidningar. </w:t>
      </w:r>
      <w:r w:rsidRPr="004A4BA5">
        <w:t>Förslaget om införandet av elektroniska anslagstavlor föranleder ändringar i förvaltningslagens b</w:t>
      </w:r>
      <w:r w:rsidRPr="004A4BA5">
        <w:t>e</w:t>
      </w:r>
      <w:r w:rsidRPr="004A4BA5">
        <w:t>stämmelser om offentlig delgivning, i kommunallagen och i ett antal lan</w:t>
      </w:r>
      <w:r w:rsidRPr="004A4BA5">
        <w:t>d</w:t>
      </w:r>
      <w:r w:rsidRPr="004A4BA5">
        <w:t>skapslagar.</w:t>
      </w:r>
    </w:p>
    <w:p w:rsidR="00EC279A" w:rsidRPr="008239FA" w:rsidRDefault="00EC279A" w:rsidP="00EC279A">
      <w:pPr>
        <w:pStyle w:val="ANormal"/>
      </w:pPr>
      <w:r>
        <w:tab/>
      </w:r>
      <w:r w:rsidRPr="008239FA">
        <w:t>Landskapsregeringen föreslår också andra ändringar i landskapslagstif</w:t>
      </w:r>
      <w:r w:rsidRPr="008239FA">
        <w:t>t</w:t>
      </w:r>
      <w:r w:rsidRPr="008239FA">
        <w:t xml:space="preserve">ningen. Förvaltningslagens bestämmelser om elektronisk delgivning ska ändras, huvudsakligen för att </w:t>
      </w:r>
      <w:r>
        <w:t xml:space="preserve">göra det enklare att delge parter elektroniskt. Ett annat förslag är att </w:t>
      </w:r>
      <w:r w:rsidRPr="008239FA">
        <w:t xml:space="preserve">i förvaltningslagen föra in bestämmelser </w:t>
      </w:r>
      <w:r>
        <w:t>s</w:t>
      </w:r>
      <w:r w:rsidRPr="008239FA">
        <w:t xml:space="preserve">om </w:t>
      </w:r>
      <w:r>
        <w:t>mö</w:t>
      </w:r>
      <w:r>
        <w:t>j</w:t>
      </w:r>
      <w:r>
        <w:t xml:space="preserve">liggör att myndigheter kan underteckna handlingar </w:t>
      </w:r>
      <w:r w:rsidRPr="008239FA">
        <w:t>elektronisk</w:t>
      </w:r>
      <w:r>
        <w:t xml:space="preserve">t eller med </w:t>
      </w:r>
      <w:r w:rsidRPr="008239FA">
        <w:t xml:space="preserve">underskrifter som inte är handskrivna. </w:t>
      </w:r>
      <w:r>
        <w:t>Slutligen föreslår l</w:t>
      </w:r>
      <w:r w:rsidRPr="008239FA">
        <w:t>andskapsregerin</w:t>
      </w:r>
      <w:r w:rsidRPr="008239FA">
        <w:t>g</w:t>
      </w:r>
      <w:r w:rsidRPr="008239FA">
        <w:t>en att myndigheter ska vara skyldiga att bekräfta mottagandet av me</w:t>
      </w:r>
      <w:r w:rsidRPr="008239FA">
        <w:t>d</w:t>
      </w:r>
      <w:r w:rsidRPr="008239FA">
        <w:t>delande som skickats med elektronisk post till myndighetens huvudsakliga elektroniska postadress.</w:t>
      </w:r>
    </w:p>
    <w:p w:rsidR="00EC279A" w:rsidRPr="00F5578D" w:rsidRDefault="00EC279A" w:rsidP="00EC279A">
      <w:pPr>
        <w:pStyle w:val="ANormal"/>
      </w:pPr>
      <w:r w:rsidRPr="00F5578D">
        <w:tab/>
        <w:t xml:space="preserve">Avsikten är att de föreslagna lagarna ska träda i kraft efter en tillräcklig tidsperiod för anpassning till de föreslagna bestämmelserna, dock senast </w:t>
      </w:r>
      <w:r>
        <w:t xml:space="preserve">den </w:t>
      </w:r>
      <w:r w:rsidRPr="00F5578D">
        <w:t>1</w:t>
      </w:r>
      <w:r>
        <w:t xml:space="preserve"> januari </w:t>
      </w:r>
      <w:r w:rsidRPr="00F5578D">
        <w:t>2019.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 w:rsidP="0021449E">
      <w:pPr>
        <w:pStyle w:val="RubrikA"/>
      </w:pPr>
      <w:bookmarkStart w:id="4" w:name="_Toc529800934"/>
      <w:bookmarkStart w:id="5" w:name="_Toc484087518"/>
      <w:r>
        <w:lastRenderedPageBreak/>
        <w:t>Utskottets förslag</w:t>
      </w:r>
      <w:bookmarkEnd w:id="4"/>
      <w:bookmarkEnd w:id="5"/>
    </w:p>
    <w:p w:rsidR="002401D0" w:rsidRDefault="002401D0">
      <w:pPr>
        <w:pStyle w:val="Rubrikmellanrum"/>
      </w:pPr>
    </w:p>
    <w:p w:rsidR="0021449E" w:rsidRDefault="0021449E">
      <w:pPr>
        <w:pStyle w:val="ANormal"/>
      </w:pPr>
      <w:r>
        <w:t>Utskottet har inga invändningar mot de föreslagna lagarna och föreslår dä</w:t>
      </w:r>
      <w:r>
        <w:t>r</w:t>
      </w:r>
      <w:r>
        <w:t xml:space="preserve">för att lagtinget antar dem utan några ändringar. </w:t>
      </w:r>
    </w:p>
    <w:p w:rsidR="0021449E" w:rsidRDefault="0021449E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6" w:name="_Toc529800936"/>
      <w:bookmarkStart w:id="7" w:name="_Toc484087519"/>
      <w:r>
        <w:t>Ärendets behandling</w:t>
      </w:r>
      <w:bookmarkEnd w:id="6"/>
      <w:bookmarkEnd w:id="7"/>
    </w:p>
    <w:p w:rsidR="002401D0" w:rsidRDefault="002401D0">
      <w:pPr>
        <w:pStyle w:val="Rubrikmellanrum"/>
      </w:pPr>
    </w:p>
    <w:p w:rsidR="00EC279A" w:rsidRDefault="00EC279A" w:rsidP="00EC279A">
      <w:pPr>
        <w:pStyle w:val="ANormal"/>
      </w:pPr>
      <w:r>
        <w:t xml:space="preserve">Lagtinget har den 24 maj 2017 </w:t>
      </w:r>
      <w:proofErr w:type="spellStart"/>
      <w:r>
        <w:t>inbegärt</w:t>
      </w:r>
      <w:proofErr w:type="spellEnd"/>
      <w:r>
        <w:t xml:space="preserve"> lag- och kulturutskottets yttrande över lagförslagen. </w:t>
      </w:r>
    </w:p>
    <w:p w:rsidR="00EC279A" w:rsidRDefault="00EC279A" w:rsidP="00EC279A">
      <w:pPr>
        <w:pStyle w:val="ANormal"/>
      </w:pPr>
      <w:r>
        <w:tab/>
        <w:t>Utskottet har i ärendet hört</w:t>
      </w:r>
      <w:r w:rsidR="0021449E">
        <w:t xml:space="preserve"> ministern Nina Fellman och lagberedaren Sören Silverström.</w:t>
      </w:r>
      <w:r>
        <w:t xml:space="preserve"> </w:t>
      </w:r>
    </w:p>
    <w:p w:rsidR="00EC279A" w:rsidRDefault="00EC279A" w:rsidP="00EC279A">
      <w:pPr>
        <w:pStyle w:val="ANormal"/>
      </w:pPr>
      <w:r>
        <w:tab/>
        <w:t>I ärendets avgörande behandling deltog ordföranden Harry Jansson, viceordföranden Roger Eriksson samt ledamöterna Petri Carlsson, Bert Häggblom och Tony Wikström</w:t>
      </w:r>
      <w:r w:rsidR="0021449E">
        <w:t xml:space="preserve"> samt ersättaren Göte </w:t>
      </w:r>
      <w:proofErr w:type="spellStart"/>
      <w:r w:rsidR="0021449E">
        <w:t>Winé</w:t>
      </w:r>
      <w:proofErr w:type="spellEnd"/>
      <w:r>
        <w:t>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8" w:name="_Toc529800937"/>
      <w:bookmarkStart w:id="9" w:name="_Toc484087520"/>
      <w:r>
        <w:t>Utskottets förslag</w:t>
      </w:r>
      <w:bookmarkEnd w:id="8"/>
      <w:bookmarkEnd w:id="9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2401D0" w:rsidRDefault="002401D0">
      <w:pPr>
        <w:pStyle w:val="Klam"/>
      </w:pPr>
      <w:proofErr w:type="gramStart"/>
      <w:r>
        <w:t>att lagtinget</w:t>
      </w:r>
      <w:r w:rsidR="00EC279A">
        <w:t xml:space="preserve"> antar lagförslagen i </w:t>
      </w:r>
      <w:r w:rsidR="00EA4353">
        <w:t>oförändrad lydelse.</w:t>
      </w:r>
      <w:proofErr w:type="gramEnd"/>
    </w:p>
    <w:p w:rsidR="00EA4353" w:rsidRDefault="00EA4353" w:rsidP="00EA4353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EA4353">
            <w:pPr>
              <w:pStyle w:val="ANormal"/>
              <w:keepNext/>
            </w:pPr>
            <w:r>
              <w:t xml:space="preserve">Mariehamn den </w:t>
            </w:r>
            <w:r w:rsidR="00EA4353">
              <w:t>1 juni 2017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EC279A">
            <w:pPr>
              <w:pStyle w:val="ANormal"/>
              <w:keepNext/>
            </w:pPr>
            <w:r>
              <w:t>Harry Jansson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EC279A">
            <w:pPr>
              <w:pStyle w:val="ANormal"/>
              <w:keepNext/>
            </w:pPr>
            <w:r>
              <w:t>Susanne Eriksson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79A" w:rsidRDefault="00EC279A">
      <w:r>
        <w:separator/>
      </w:r>
    </w:p>
  </w:endnote>
  <w:endnote w:type="continuationSeparator" w:id="0">
    <w:p w:rsidR="00EC279A" w:rsidRDefault="00EC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B63684">
      <w:rPr>
        <w:noProof/>
        <w:lang w:val="fi-FI"/>
      </w:rPr>
      <w:t>LKU1720162017.docx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79A" w:rsidRDefault="00EC279A">
      <w:r>
        <w:separator/>
      </w:r>
    </w:p>
  </w:footnote>
  <w:footnote w:type="continuationSeparator" w:id="0">
    <w:p w:rsidR="00EC279A" w:rsidRDefault="00EC2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63684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A4353">
      <w:rPr>
        <w:rStyle w:val="Sidnummer"/>
        <w:noProof/>
      </w:rPr>
      <w:t>19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2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79A"/>
    <w:rsid w:val="00010F45"/>
    <w:rsid w:val="00015E9C"/>
    <w:rsid w:val="00051556"/>
    <w:rsid w:val="000B2DC9"/>
    <w:rsid w:val="000F7417"/>
    <w:rsid w:val="0015337C"/>
    <w:rsid w:val="001D08F2"/>
    <w:rsid w:val="0021449E"/>
    <w:rsid w:val="002401D0"/>
    <w:rsid w:val="00277FBB"/>
    <w:rsid w:val="0036359C"/>
    <w:rsid w:val="006B2E9E"/>
    <w:rsid w:val="00723B93"/>
    <w:rsid w:val="00735AFC"/>
    <w:rsid w:val="00811D50"/>
    <w:rsid w:val="00817B04"/>
    <w:rsid w:val="008C471D"/>
    <w:rsid w:val="00957C36"/>
    <w:rsid w:val="009D73B2"/>
    <w:rsid w:val="009F7CE2"/>
    <w:rsid w:val="00B32E91"/>
    <w:rsid w:val="00B36A8F"/>
    <w:rsid w:val="00B63684"/>
    <w:rsid w:val="00B83362"/>
    <w:rsid w:val="00B90DEC"/>
    <w:rsid w:val="00CB087E"/>
    <w:rsid w:val="00CF700E"/>
    <w:rsid w:val="00DC45B2"/>
    <w:rsid w:val="00EA4353"/>
    <w:rsid w:val="00EC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79A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10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1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2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uiPriority w:val="39"/>
    <w:pPr>
      <w:ind w:left="561"/>
    </w:pPr>
  </w:style>
  <w:style w:type="paragraph" w:styleId="Innehll5">
    <w:name w:val="toc 5"/>
    <w:basedOn w:val="Normal"/>
    <w:next w:val="Normal"/>
    <w:autoRedefine/>
    <w:uiPriority w:val="39"/>
    <w:pPr>
      <w:ind w:left="960"/>
    </w:pPr>
  </w:style>
  <w:style w:type="paragraph" w:styleId="Innehll6">
    <w:name w:val="toc 6"/>
    <w:basedOn w:val="Normal"/>
    <w:next w:val="Normal"/>
    <w:autoRedefine/>
    <w:uiPriority w:val="39"/>
    <w:pPr>
      <w:ind w:left="1200"/>
    </w:pPr>
  </w:style>
  <w:style w:type="paragraph" w:styleId="Innehll7">
    <w:name w:val="toc 7"/>
    <w:basedOn w:val="Normal"/>
    <w:next w:val="Normal"/>
    <w:autoRedefine/>
    <w:uiPriority w:val="39"/>
    <w:pPr>
      <w:ind w:left="1440"/>
    </w:pPr>
  </w:style>
  <w:style w:type="paragraph" w:styleId="Innehll8">
    <w:name w:val="toc 8"/>
    <w:basedOn w:val="Normal"/>
    <w:next w:val="Normal"/>
    <w:autoRedefine/>
    <w:uiPriority w:val="39"/>
    <w:pPr>
      <w:ind w:left="1680"/>
    </w:pPr>
  </w:style>
  <w:style w:type="paragraph" w:styleId="Innehll9">
    <w:name w:val="toc 9"/>
    <w:basedOn w:val="Normal"/>
    <w:next w:val="Normal"/>
    <w:autoRedefine/>
    <w:uiPriority w:val="39"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styleId="Kommentarsreferens">
    <w:name w:val="annotation reference"/>
    <w:basedOn w:val="Standardstycketeckensnitt"/>
    <w:uiPriority w:val="99"/>
    <w:unhideWhenUsed/>
    <w:rsid w:val="00EC279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EC279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C279A"/>
    <w:rPr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EC279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EC279A"/>
    <w:rPr>
      <w:b/>
      <w:bCs/>
      <w:lang w:val="sv-SE" w:eastAsia="sv-SE"/>
    </w:rPr>
  </w:style>
  <w:style w:type="paragraph" w:styleId="Ballongtext">
    <w:name w:val="Balloon Text"/>
    <w:basedOn w:val="Normal"/>
    <w:link w:val="BallongtextChar"/>
    <w:uiPriority w:val="99"/>
    <w:unhideWhenUsed/>
    <w:rsid w:val="00EC27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EC279A"/>
    <w:rPr>
      <w:rFonts w:ascii="Tahoma" w:hAnsi="Tahoma" w:cs="Tahoma"/>
      <w:sz w:val="16"/>
      <w:szCs w:val="16"/>
      <w:lang w:val="sv-SE" w:eastAsia="sv-SE"/>
    </w:rPr>
  </w:style>
  <w:style w:type="table" w:styleId="Tabellrutnt">
    <w:name w:val="Table Grid"/>
    <w:basedOn w:val="Normaltabell"/>
    <w:uiPriority w:val="59"/>
    <w:rsid w:val="00EC2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unhideWhenUsed/>
    <w:rsid w:val="00EC279A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EC279A"/>
    <w:rPr>
      <w:lang w:val="sv-SE" w:eastAsia="sv-SE"/>
    </w:rPr>
  </w:style>
  <w:style w:type="character" w:styleId="Fotnotsreferens">
    <w:name w:val="footnote reference"/>
    <w:basedOn w:val="Standardstycketeckensnitt"/>
    <w:uiPriority w:val="99"/>
    <w:unhideWhenUsed/>
    <w:rsid w:val="00EC27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lf2620162017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2</TotalTime>
  <Pages>2</Pages>
  <Words>600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Lag-och kulturutskottets betänkande nr 17/2016-2017</vt:lpstr>
    </vt:vector>
  </TitlesOfParts>
  <Company>Ålands lagting</Company>
  <LinksUpToDate>false</LinksUpToDate>
  <CharactersWithSpaces>3773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Lag-och kulturutskottets betänkande nr 17/2016-2017</dc:title>
  <dc:creator>Jessica Laaksonen</dc:creator>
  <cp:lastModifiedBy>Jessica Laaksonen</cp:lastModifiedBy>
  <cp:revision>3</cp:revision>
  <cp:lastPrinted>2017-06-02T05:53:00Z</cp:lastPrinted>
  <dcterms:created xsi:type="dcterms:W3CDTF">2017-06-02T05:53:00Z</dcterms:created>
  <dcterms:modified xsi:type="dcterms:W3CDTF">2017-06-02T05:54:00Z</dcterms:modified>
</cp:coreProperties>
</file>