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4B094D">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3.65pt;mso-wrap-edited:f" wrapcoords="-408 0 -408 21316 21600 21316 21600 0 -408 0" o:allowoverlap="f">
                  <v:imagedata r:id="rId8" o:title="LSvapen"/>
                </v:shape>
              </w:pict>
            </w:r>
          </w:p>
        </w:tc>
        <w:tc>
          <w:tcPr>
            <w:tcW w:w="8736" w:type="dxa"/>
            <w:gridSpan w:val="3"/>
            <w:vAlign w:val="bottom"/>
          </w:tcPr>
          <w:p w:rsidR="002401D0" w:rsidRDefault="004B094D">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029A3">
            <w:pPr>
              <w:pStyle w:val="xDokTypNr"/>
            </w:pPr>
            <w:r>
              <w:t xml:space="preserve">BETÄNKANDE nr </w:t>
            </w:r>
            <w:r w:rsidR="001029A3">
              <w:t>7</w:t>
            </w:r>
            <w:r>
              <w:t>/20</w:t>
            </w:r>
            <w:r w:rsidR="00723B93">
              <w:t>1</w:t>
            </w:r>
            <w:r w:rsidR="007314A6">
              <w:t>6</w:t>
            </w:r>
            <w:r w:rsidR="0015337C">
              <w:t>-20</w:t>
            </w:r>
            <w:r w:rsidR="009F7CE2">
              <w:t>1</w:t>
            </w:r>
            <w:r w:rsidR="007314A6">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7314A6">
            <w:pPr>
              <w:pStyle w:val="xAvsandare2"/>
            </w:pPr>
            <w:r>
              <w:t>Social- och miljö</w:t>
            </w:r>
            <w:r w:rsidR="002401D0">
              <w:t>utskottet</w:t>
            </w:r>
          </w:p>
        </w:tc>
        <w:tc>
          <w:tcPr>
            <w:tcW w:w="1725" w:type="dxa"/>
            <w:vAlign w:val="center"/>
          </w:tcPr>
          <w:p w:rsidR="002401D0" w:rsidRDefault="002401D0" w:rsidP="001029A3">
            <w:pPr>
              <w:pStyle w:val="xDatum1"/>
            </w:pPr>
            <w:r>
              <w:t>20</w:t>
            </w:r>
            <w:r w:rsidR="00B32E91">
              <w:t>1</w:t>
            </w:r>
            <w:r w:rsidR="007314A6">
              <w:t>7-03-</w:t>
            </w:r>
            <w:r w:rsidR="001029A3">
              <w:t>23</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7314A6">
      <w:pPr>
        <w:pStyle w:val="ArendeOverRubrik"/>
      </w:pPr>
      <w:r>
        <w:lastRenderedPageBreak/>
        <w:t>Social- och miljö</w:t>
      </w:r>
      <w:r w:rsidR="002401D0">
        <w:t>utskottets betänkande</w:t>
      </w:r>
    </w:p>
    <w:p w:rsidR="002401D0" w:rsidRDefault="007314A6">
      <w:pPr>
        <w:pStyle w:val="ArendeRubrik"/>
      </w:pPr>
      <w:r w:rsidRPr="009240B5">
        <w:t>Ändring av barnomsorgslagen</w:t>
      </w:r>
    </w:p>
    <w:p w:rsidR="002401D0" w:rsidRDefault="004B094D">
      <w:pPr>
        <w:pStyle w:val="ArendeUnderRubrik"/>
      </w:pPr>
      <w:hyperlink r:id="rId12" w:history="1">
        <w:r w:rsidR="007314A6" w:rsidRPr="004B094D">
          <w:rPr>
            <w:rStyle w:val="Hyperlnk"/>
          </w:rPr>
          <w:t>Landskapsregeringens lagförslag nr 13/2016-2017</w:t>
        </w:r>
      </w:hyperlink>
      <w:bookmarkStart w:id="1" w:name="_GoBack"/>
      <w:bookmarkEnd w:id="1"/>
    </w:p>
    <w:p w:rsidR="002401D0" w:rsidRDefault="002401D0">
      <w:pPr>
        <w:pStyle w:val="ANormal"/>
      </w:pPr>
    </w:p>
    <w:p w:rsidR="002401D0" w:rsidRDefault="002401D0">
      <w:pPr>
        <w:pStyle w:val="Innehll1"/>
      </w:pPr>
      <w:r>
        <w:t>INNEHÅLL</w:t>
      </w:r>
    </w:p>
    <w:p w:rsidR="00CD15EA" w:rsidRPr="00D82E1D" w:rsidRDefault="002401D0">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476559894" w:history="1">
        <w:r w:rsidR="00CD15EA" w:rsidRPr="00F00832">
          <w:rPr>
            <w:rStyle w:val="Hyperlnk"/>
          </w:rPr>
          <w:t>Sammanfattning</w:t>
        </w:r>
        <w:r w:rsidR="00CD15EA">
          <w:rPr>
            <w:webHidden/>
          </w:rPr>
          <w:tab/>
        </w:r>
        <w:r w:rsidR="00CD15EA">
          <w:rPr>
            <w:webHidden/>
          </w:rPr>
          <w:fldChar w:fldCharType="begin"/>
        </w:r>
        <w:r w:rsidR="00CD15EA">
          <w:rPr>
            <w:webHidden/>
          </w:rPr>
          <w:instrText xml:space="preserve"> PAGEREF _Toc476559894 \h </w:instrText>
        </w:r>
        <w:r w:rsidR="00CD15EA">
          <w:rPr>
            <w:webHidden/>
          </w:rPr>
        </w:r>
        <w:r w:rsidR="00CD15EA">
          <w:rPr>
            <w:webHidden/>
          </w:rPr>
          <w:fldChar w:fldCharType="separate"/>
        </w:r>
        <w:r w:rsidR="00625F55">
          <w:rPr>
            <w:webHidden/>
          </w:rPr>
          <w:t>1</w:t>
        </w:r>
        <w:r w:rsidR="00CD15EA">
          <w:rPr>
            <w:webHidden/>
          </w:rPr>
          <w:fldChar w:fldCharType="end"/>
        </w:r>
      </w:hyperlink>
    </w:p>
    <w:p w:rsidR="00CD15EA" w:rsidRPr="00D82E1D" w:rsidRDefault="004B094D">
      <w:pPr>
        <w:pStyle w:val="Innehll2"/>
        <w:rPr>
          <w:rFonts w:ascii="Calibri" w:hAnsi="Calibri"/>
          <w:sz w:val="22"/>
          <w:szCs w:val="22"/>
          <w:lang w:val="sv-FI" w:eastAsia="sv-FI"/>
        </w:rPr>
      </w:pPr>
      <w:hyperlink w:anchor="_Toc476559895" w:history="1">
        <w:r w:rsidR="00CD15EA" w:rsidRPr="00F00832">
          <w:rPr>
            <w:rStyle w:val="Hyperlnk"/>
          </w:rPr>
          <w:t>Landskapsregeringens förslag</w:t>
        </w:r>
        <w:r w:rsidR="00CD15EA">
          <w:rPr>
            <w:webHidden/>
          </w:rPr>
          <w:tab/>
        </w:r>
        <w:r w:rsidR="00CD15EA">
          <w:rPr>
            <w:webHidden/>
          </w:rPr>
          <w:fldChar w:fldCharType="begin"/>
        </w:r>
        <w:r w:rsidR="00CD15EA">
          <w:rPr>
            <w:webHidden/>
          </w:rPr>
          <w:instrText xml:space="preserve"> PAGEREF _Toc476559895 \h </w:instrText>
        </w:r>
        <w:r w:rsidR="00CD15EA">
          <w:rPr>
            <w:webHidden/>
          </w:rPr>
        </w:r>
        <w:r w:rsidR="00CD15EA">
          <w:rPr>
            <w:webHidden/>
          </w:rPr>
          <w:fldChar w:fldCharType="separate"/>
        </w:r>
        <w:r w:rsidR="00625F55">
          <w:rPr>
            <w:webHidden/>
          </w:rPr>
          <w:t>1</w:t>
        </w:r>
        <w:r w:rsidR="00CD15EA">
          <w:rPr>
            <w:webHidden/>
          </w:rPr>
          <w:fldChar w:fldCharType="end"/>
        </w:r>
      </w:hyperlink>
    </w:p>
    <w:p w:rsidR="00CD15EA" w:rsidRPr="00D82E1D" w:rsidRDefault="004B094D">
      <w:pPr>
        <w:pStyle w:val="Innehll2"/>
        <w:rPr>
          <w:rFonts w:ascii="Calibri" w:hAnsi="Calibri"/>
          <w:sz w:val="22"/>
          <w:szCs w:val="22"/>
          <w:lang w:val="sv-FI" w:eastAsia="sv-FI"/>
        </w:rPr>
      </w:pPr>
      <w:hyperlink w:anchor="_Toc476559896" w:history="1">
        <w:r w:rsidR="00CD15EA" w:rsidRPr="00F00832">
          <w:rPr>
            <w:rStyle w:val="Hyperlnk"/>
          </w:rPr>
          <w:t>Utskottets förslag</w:t>
        </w:r>
        <w:r w:rsidR="00CD15EA">
          <w:rPr>
            <w:webHidden/>
          </w:rPr>
          <w:tab/>
        </w:r>
        <w:r w:rsidR="00CD15EA">
          <w:rPr>
            <w:webHidden/>
          </w:rPr>
          <w:fldChar w:fldCharType="begin"/>
        </w:r>
        <w:r w:rsidR="00CD15EA">
          <w:rPr>
            <w:webHidden/>
          </w:rPr>
          <w:instrText xml:space="preserve"> PAGEREF _Toc476559896 \h </w:instrText>
        </w:r>
        <w:r w:rsidR="00CD15EA">
          <w:rPr>
            <w:webHidden/>
          </w:rPr>
        </w:r>
        <w:r w:rsidR="00CD15EA">
          <w:rPr>
            <w:webHidden/>
          </w:rPr>
          <w:fldChar w:fldCharType="separate"/>
        </w:r>
        <w:r w:rsidR="00625F55">
          <w:rPr>
            <w:webHidden/>
          </w:rPr>
          <w:t>1</w:t>
        </w:r>
        <w:r w:rsidR="00CD15EA">
          <w:rPr>
            <w:webHidden/>
          </w:rPr>
          <w:fldChar w:fldCharType="end"/>
        </w:r>
      </w:hyperlink>
    </w:p>
    <w:p w:rsidR="00CD15EA" w:rsidRPr="00D82E1D" w:rsidRDefault="004B094D">
      <w:pPr>
        <w:pStyle w:val="Innehll1"/>
        <w:rPr>
          <w:rFonts w:ascii="Calibri" w:hAnsi="Calibri"/>
          <w:sz w:val="22"/>
          <w:szCs w:val="22"/>
          <w:lang w:val="sv-FI" w:eastAsia="sv-FI"/>
        </w:rPr>
      </w:pPr>
      <w:hyperlink w:anchor="_Toc476559897" w:history="1">
        <w:r w:rsidR="00CD15EA" w:rsidRPr="00F00832">
          <w:rPr>
            <w:rStyle w:val="Hyperlnk"/>
          </w:rPr>
          <w:t>Utskottets synpunkter</w:t>
        </w:r>
        <w:r w:rsidR="00CD15EA">
          <w:rPr>
            <w:webHidden/>
          </w:rPr>
          <w:tab/>
        </w:r>
        <w:r w:rsidR="00CD15EA">
          <w:rPr>
            <w:webHidden/>
          </w:rPr>
          <w:fldChar w:fldCharType="begin"/>
        </w:r>
        <w:r w:rsidR="00CD15EA">
          <w:rPr>
            <w:webHidden/>
          </w:rPr>
          <w:instrText xml:space="preserve"> PAGEREF _Toc476559897 \h </w:instrText>
        </w:r>
        <w:r w:rsidR="00CD15EA">
          <w:rPr>
            <w:webHidden/>
          </w:rPr>
        </w:r>
        <w:r w:rsidR="00CD15EA">
          <w:rPr>
            <w:webHidden/>
          </w:rPr>
          <w:fldChar w:fldCharType="separate"/>
        </w:r>
        <w:r w:rsidR="00625F55">
          <w:rPr>
            <w:webHidden/>
          </w:rPr>
          <w:t>1</w:t>
        </w:r>
        <w:r w:rsidR="00CD15EA">
          <w:rPr>
            <w:webHidden/>
          </w:rPr>
          <w:fldChar w:fldCharType="end"/>
        </w:r>
      </w:hyperlink>
    </w:p>
    <w:p w:rsidR="00CD15EA" w:rsidRPr="00D82E1D" w:rsidRDefault="004B094D">
      <w:pPr>
        <w:pStyle w:val="Innehll1"/>
        <w:rPr>
          <w:rFonts w:ascii="Calibri" w:hAnsi="Calibri"/>
          <w:sz w:val="22"/>
          <w:szCs w:val="22"/>
          <w:lang w:val="sv-FI" w:eastAsia="sv-FI"/>
        </w:rPr>
      </w:pPr>
      <w:hyperlink w:anchor="_Toc476559898" w:history="1">
        <w:r w:rsidR="00CD15EA" w:rsidRPr="00F00832">
          <w:rPr>
            <w:rStyle w:val="Hyperlnk"/>
          </w:rPr>
          <w:t>Ärendets behandling</w:t>
        </w:r>
        <w:r w:rsidR="00CD15EA">
          <w:rPr>
            <w:webHidden/>
          </w:rPr>
          <w:tab/>
        </w:r>
        <w:r w:rsidR="00CD15EA">
          <w:rPr>
            <w:webHidden/>
          </w:rPr>
          <w:fldChar w:fldCharType="begin"/>
        </w:r>
        <w:r w:rsidR="00CD15EA">
          <w:rPr>
            <w:webHidden/>
          </w:rPr>
          <w:instrText xml:space="preserve"> PAGEREF _Toc476559898 \h </w:instrText>
        </w:r>
        <w:r w:rsidR="00CD15EA">
          <w:rPr>
            <w:webHidden/>
          </w:rPr>
        </w:r>
        <w:r w:rsidR="00CD15EA">
          <w:rPr>
            <w:webHidden/>
          </w:rPr>
          <w:fldChar w:fldCharType="separate"/>
        </w:r>
        <w:r w:rsidR="00625F55">
          <w:rPr>
            <w:webHidden/>
          </w:rPr>
          <w:t>2</w:t>
        </w:r>
        <w:r w:rsidR="00CD15EA">
          <w:rPr>
            <w:webHidden/>
          </w:rPr>
          <w:fldChar w:fldCharType="end"/>
        </w:r>
      </w:hyperlink>
    </w:p>
    <w:p w:rsidR="00CD15EA" w:rsidRPr="00D82E1D" w:rsidRDefault="004B094D">
      <w:pPr>
        <w:pStyle w:val="Innehll1"/>
        <w:rPr>
          <w:rFonts w:ascii="Calibri" w:hAnsi="Calibri"/>
          <w:sz w:val="22"/>
          <w:szCs w:val="22"/>
          <w:lang w:val="sv-FI" w:eastAsia="sv-FI"/>
        </w:rPr>
      </w:pPr>
      <w:hyperlink w:anchor="_Toc476559899" w:history="1">
        <w:r w:rsidR="00CD15EA" w:rsidRPr="00F00832">
          <w:rPr>
            <w:rStyle w:val="Hyperlnk"/>
          </w:rPr>
          <w:t>Utskottets förslag</w:t>
        </w:r>
        <w:r w:rsidR="00CD15EA">
          <w:rPr>
            <w:webHidden/>
          </w:rPr>
          <w:tab/>
        </w:r>
        <w:r w:rsidR="00CD15EA">
          <w:rPr>
            <w:webHidden/>
          </w:rPr>
          <w:fldChar w:fldCharType="begin"/>
        </w:r>
        <w:r w:rsidR="00CD15EA">
          <w:rPr>
            <w:webHidden/>
          </w:rPr>
          <w:instrText xml:space="preserve"> PAGEREF _Toc476559899 \h </w:instrText>
        </w:r>
        <w:r w:rsidR="00CD15EA">
          <w:rPr>
            <w:webHidden/>
          </w:rPr>
        </w:r>
        <w:r w:rsidR="00CD15EA">
          <w:rPr>
            <w:webHidden/>
          </w:rPr>
          <w:fldChar w:fldCharType="separate"/>
        </w:r>
        <w:r w:rsidR="00625F55">
          <w:rPr>
            <w:webHidden/>
          </w:rPr>
          <w:t>2</w:t>
        </w:r>
        <w:r w:rsidR="00CD15EA">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76559894"/>
      <w:r>
        <w:t>Sammanfattning</w:t>
      </w:r>
      <w:bookmarkEnd w:id="2"/>
      <w:bookmarkEnd w:id="3"/>
    </w:p>
    <w:p w:rsidR="002401D0" w:rsidRDefault="002401D0">
      <w:pPr>
        <w:pStyle w:val="Rubrikmellanrum"/>
      </w:pPr>
    </w:p>
    <w:p w:rsidR="002401D0" w:rsidRDefault="007314A6">
      <w:pPr>
        <w:pStyle w:val="RubrikB"/>
      </w:pPr>
      <w:bookmarkStart w:id="4" w:name="_Toc529800933"/>
      <w:bookmarkStart w:id="5" w:name="_Toc476559895"/>
      <w:r>
        <w:t>Landskapsregeringens</w:t>
      </w:r>
      <w:r w:rsidR="002401D0">
        <w:t xml:space="preserve"> förslag</w:t>
      </w:r>
      <w:bookmarkEnd w:id="4"/>
      <w:bookmarkEnd w:id="5"/>
    </w:p>
    <w:p w:rsidR="0093410B" w:rsidRPr="0093410B" w:rsidRDefault="0093410B" w:rsidP="0093410B">
      <w:pPr>
        <w:pStyle w:val="Rubrikmellanrum"/>
      </w:pPr>
    </w:p>
    <w:p w:rsidR="007314A6" w:rsidRPr="009240B5" w:rsidRDefault="007314A6" w:rsidP="007314A6">
      <w:pPr>
        <w:pStyle w:val="ANormal"/>
      </w:pPr>
      <w:r w:rsidRPr="009240B5">
        <w:t>Landskapsregeringen föreslår att kommunerna ges ökad befogenhet att flexibelt anpassa fördelningen av personal i förhållande till vistelsetiderna för barn med vårdlediga föräldrar samt att barnomsorgslagstiftningen än</w:t>
      </w:r>
      <w:r w:rsidRPr="009240B5">
        <w:t>d</w:t>
      </w:r>
      <w:r w:rsidRPr="009240B5">
        <w:t>ras med beaktande av penningvärdesförsämringen. Således höjs såväl i</w:t>
      </w:r>
      <w:r w:rsidRPr="009240B5">
        <w:t>n</w:t>
      </w:r>
      <w:r w:rsidRPr="009240B5">
        <w:t>komstgränsbeloppen för att betala barnomsorgsavgift som den högsta a</w:t>
      </w:r>
      <w:r w:rsidRPr="009240B5">
        <w:t>v</w:t>
      </w:r>
      <w:r w:rsidRPr="009240B5">
        <w:t>giften per barn och månad.</w:t>
      </w:r>
    </w:p>
    <w:p w:rsidR="002401D0" w:rsidRDefault="002401D0">
      <w:pPr>
        <w:pStyle w:val="Rubrikmellanrum"/>
      </w:pPr>
    </w:p>
    <w:p w:rsidR="002401D0" w:rsidRDefault="002401D0">
      <w:pPr>
        <w:pStyle w:val="ANormal"/>
      </w:pPr>
    </w:p>
    <w:p w:rsidR="002401D0" w:rsidRDefault="002401D0">
      <w:pPr>
        <w:pStyle w:val="RubrikB"/>
      </w:pPr>
      <w:bookmarkStart w:id="6" w:name="_Toc529800934"/>
      <w:bookmarkStart w:id="7" w:name="_Toc476559896"/>
      <w:r>
        <w:t>Utskottets förslag</w:t>
      </w:r>
      <w:bookmarkEnd w:id="6"/>
      <w:bookmarkEnd w:id="7"/>
    </w:p>
    <w:p w:rsidR="002401D0" w:rsidRDefault="002401D0">
      <w:pPr>
        <w:pStyle w:val="Rubrikmellanrum"/>
      </w:pPr>
    </w:p>
    <w:p w:rsidR="002401D0" w:rsidRDefault="00356E59">
      <w:pPr>
        <w:pStyle w:val="ANormal"/>
      </w:pPr>
      <w:r>
        <w:t>Utskottet föreslår att lagförslaget antas med de ändringar som framgår av betänkandet.</w:t>
      </w:r>
    </w:p>
    <w:p w:rsidR="002401D0" w:rsidRDefault="002401D0">
      <w:pPr>
        <w:pStyle w:val="ANormal"/>
      </w:pPr>
    </w:p>
    <w:p w:rsidR="002401D0" w:rsidRDefault="002401D0">
      <w:pPr>
        <w:pStyle w:val="RubrikA"/>
      </w:pPr>
      <w:bookmarkStart w:id="8" w:name="_Toc529800935"/>
      <w:bookmarkStart w:id="9" w:name="_Toc476559897"/>
      <w:r>
        <w:t>Utskottets synpunkter</w:t>
      </w:r>
      <w:bookmarkEnd w:id="8"/>
      <w:bookmarkEnd w:id="9"/>
    </w:p>
    <w:p w:rsidR="002401D0" w:rsidRDefault="002401D0">
      <w:pPr>
        <w:pStyle w:val="Rubrikmellanrum"/>
      </w:pPr>
    </w:p>
    <w:p w:rsidR="002401D0" w:rsidRDefault="00DD607F">
      <w:pPr>
        <w:pStyle w:val="ANormal"/>
        <w:rPr>
          <w:sz w:val="26"/>
          <w:szCs w:val="26"/>
        </w:rPr>
      </w:pPr>
      <w:r w:rsidRPr="00DD607F">
        <w:rPr>
          <w:sz w:val="26"/>
          <w:szCs w:val="26"/>
        </w:rPr>
        <w:t>Allmän motivering</w:t>
      </w:r>
    </w:p>
    <w:p w:rsidR="0052107E" w:rsidRDefault="0052107E">
      <w:pPr>
        <w:pStyle w:val="ANormal"/>
        <w:rPr>
          <w:sz w:val="10"/>
          <w:szCs w:val="10"/>
        </w:rPr>
      </w:pPr>
    </w:p>
    <w:p w:rsidR="00B57287" w:rsidRDefault="00B57287">
      <w:pPr>
        <w:pStyle w:val="ANormal"/>
        <w:rPr>
          <w:szCs w:val="22"/>
        </w:rPr>
      </w:pPr>
      <w:r>
        <w:rPr>
          <w:szCs w:val="22"/>
        </w:rPr>
        <w:t>U</w:t>
      </w:r>
      <w:r w:rsidR="00305E43">
        <w:rPr>
          <w:szCs w:val="22"/>
        </w:rPr>
        <w:t>tskottet konstaterar att lag</w:t>
      </w:r>
      <w:r w:rsidR="00B67C07">
        <w:rPr>
          <w:szCs w:val="22"/>
        </w:rPr>
        <w:t>förslaget</w:t>
      </w:r>
      <w:r w:rsidR="00A850E7">
        <w:rPr>
          <w:szCs w:val="22"/>
        </w:rPr>
        <w:t xml:space="preserve"> </w:t>
      </w:r>
      <w:r w:rsidR="006A58A3">
        <w:rPr>
          <w:szCs w:val="22"/>
        </w:rPr>
        <w:t xml:space="preserve">huvudsakligen </w:t>
      </w:r>
      <w:r w:rsidR="00A850E7">
        <w:rPr>
          <w:szCs w:val="22"/>
        </w:rPr>
        <w:t>syftar till att ge ko</w:t>
      </w:r>
      <w:r w:rsidR="00A850E7">
        <w:rPr>
          <w:szCs w:val="22"/>
        </w:rPr>
        <w:t>m</w:t>
      </w:r>
      <w:r w:rsidR="00A850E7">
        <w:rPr>
          <w:szCs w:val="22"/>
        </w:rPr>
        <w:t xml:space="preserve">munerna </w:t>
      </w:r>
      <w:r w:rsidR="006A58A3">
        <w:rPr>
          <w:szCs w:val="22"/>
        </w:rPr>
        <w:t xml:space="preserve">ökade </w:t>
      </w:r>
      <w:r w:rsidR="00A850E7">
        <w:rPr>
          <w:szCs w:val="22"/>
        </w:rPr>
        <w:t xml:space="preserve">möjligheter att anordna barnomsorgen och </w:t>
      </w:r>
      <w:proofErr w:type="gramStart"/>
      <w:r w:rsidR="00A850E7">
        <w:rPr>
          <w:szCs w:val="22"/>
        </w:rPr>
        <w:t>nyttja</w:t>
      </w:r>
      <w:proofErr w:type="gramEnd"/>
      <w:r w:rsidR="00A850E7">
        <w:rPr>
          <w:szCs w:val="22"/>
        </w:rPr>
        <w:t xml:space="preserve"> persona</w:t>
      </w:r>
      <w:r w:rsidR="00A850E7">
        <w:rPr>
          <w:szCs w:val="22"/>
        </w:rPr>
        <w:t>l</w:t>
      </w:r>
      <w:r w:rsidR="00A850E7">
        <w:rPr>
          <w:szCs w:val="22"/>
        </w:rPr>
        <w:t>resursen på ett mer flexibelt sätt än hittills utan att samtidigt ge avkall på barnomsorgens målsättningar om en god omsorg och ett pedagogiskt inn</w:t>
      </w:r>
      <w:r w:rsidR="00A850E7">
        <w:rPr>
          <w:szCs w:val="22"/>
        </w:rPr>
        <w:t>e</w:t>
      </w:r>
      <w:r w:rsidR="00A850E7">
        <w:rPr>
          <w:szCs w:val="22"/>
        </w:rPr>
        <w:t xml:space="preserve">håll som främjar barnens utveckling. </w:t>
      </w:r>
      <w:r w:rsidR="00305E43">
        <w:rPr>
          <w:szCs w:val="22"/>
        </w:rPr>
        <w:t xml:space="preserve"> </w:t>
      </w:r>
    </w:p>
    <w:p w:rsidR="00B57287" w:rsidRDefault="00860B4B">
      <w:pPr>
        <w:pStyle w:val="ANormal"/>
        <w:rPr>
          <w:szCs w:val="22"/>
        </w:rPr>
      </w:pPr>
      <w:r>
        <w:rPr>
          <w:szCs w:val="22"/>
        </w:rPr>
        <w:tab/>
        <w:t xml:space="preserve">Utskottet finner det </w:t>
      </w:r>
      <w:r w:rsidR="00E348D9">
        <w:rPr>
          <w:szCs w:val="22"/>
        </w:rPr>
        <w:t xml:space="preserve">ändamålsenligt </w:t>
      </w:r>
      <w:r>
        <w:rPr>
          <w:szCs w:val="22"/>
        </w:rPr>
        <w:t xml:space="preserve">att </w:t>
      </w:r>
      <w:r w:rsidR="00E348D9">
        <w:rPr>
          <w:szCs w:val="22"/>
        </w:rPr>
        <w:t>kommunerna ges rätt att med b</w:t>
      </w:r>
      <w:r w:rsidR="00E348D9">
        <w:rPr>
          <w:szCs w:val="22"/>
        </w:rPr>
        <w:t>i</w:t>
      </w:r>
      <w:r w:rsidR="00E348D9">
        <w:rPr>
          <w:szCs w:val="22"/>
        </w:rPr>
        <w:t xml:space="preserve">behållen personaldimensionering </w:t>
      </w:r>
      <w:r w:rsidR="000A133B">
        <w:rPr>
          <w:szCs w:val="22"/>
        </w:rPr>
        <w:t xml:space="preserve">och utgående från olika vårdnadshavares olika behov </w:t>
      </w:r>
      <w:r w:rsidR="00E348D9">
        <w:rPr>
          <w:szCs w:val="22"/>
        </w:rPr>
        <w:t>styra de</w:t>
      </w:r>
      <w:r w:rsidR="00E31A20">
        <w:rPr>
          <w:szCs w:val="22"/>
        </w:rPr>
        <w:t xml:space="preserve"> tider under dagen som ett barn får vistas i barnomso</w:t>
      </w:r>
      <w:r w:rsidR="00E31A20">
        <w:rPr>
          <w:szCs w:val="22"/>
        </w:rPr>
        <w:t>r</w:t>
      </w:r>
      <w:r w:rsidR="00E31A20">
        <w:rPr>
          <w:szCs w:val="22"/>
        </w:rPr>
        <w:t>gen</w:t>
      </w:r>
      <w:r w:rsidR="00730172">
        <w:rPr>
          <w:szCs w:val="22"/>
        </w:rPr>
        <w:t xml:space="preserve"> samtidigt som daghemsföreståndarna ges ansvar för </w:t>
      </w:r>
      <w:r w:rsidR="00702D91">
        <w:rPr>
          <w:szCs w:val="22"/>
        </w:rPr>
        <w:t xml:space="preserve">att </w:t>
      </w:r>
      <w:r w:rsidR="00730172">
        <w:rPr>
          <w:szCs w:val="22"/>
        </w:rPr>
        <w:t>personalresu</w:t>
      </w:r>
      <w:r w:rsidR="00730172">
        <w:rPr>
          <w:szCs w:val="22"/>
        </w:rPr>
        <w:t>r</w:t>
      </w:r>
      <w:r w:rsidR="00730172">
        <w:rPr>
          <w:szCs w:val="22"/>
        </w:rPr>
        <w:t xml:space="preserve">sen fördelas på ett ändamålsenligt sätt i förhållande till barnens närvaro. </w:t>
      </w:r>
      <w:r w:rsidR="00E31A20">
        <w:rPr>
          <w:szCs w:val="22"/>
        </w:rPr>
        <w:t xml:space="preserve">Kommunen kan på så sätt </w:t>
      </w:r>
      <w:r w:rsidR="00761472">
        <w:rPr>
          <w:szCs w:val="22"/>
        </w:rPr>
        <w:t xml:space="preserve">använda befintliga resurser på effektivast möjliga sätt och styra </w:t>
      </w:r>
      <w:r>
        <w:rPr>
          <w:szCs w:val="22"/>
        </w:rPr>
        <w:t xml:space="preserve">närvarotiden för barn </w:t>
      </w:r>
      <w:r w:rsidR="00F0461A">
        <w:rPr>
          <w:szCs w:val="22"/>
        </w:rPr>
        <w:t>i halvtidsomsorg</w:t>
      </w:r>
      <w:r w:rsidR="000A133B">
        <w:rPr>
          <w:szCs w:val="22"/>
        </w:rPr>
        <w:t xml:space="preserve"> ti</w:t>
      </w:r>
      <w:r>
        <w:rPr>
          <w:szCs w:val="22"/>
        </w:rPr>
        <w:t>ll tider som</w:t>
      </w:r>
      <w:r w:rsidR="00730172">
        <w:rPr>
          <w:szCs w:val="22"/>
        </w:rPr>
        <w:t xml:space="preserve"> </w:t>
      </w:r>
      <w:r>
        <w:rPr>
          <w:szCs w:val="22"/>
        </w:rPr>
        <w:t>är a</w:t>
      </w:r>
      <w:r w:rsidR="00E348D9">
        <w:rPr>
          <w:szCs w:val="22"/>
        </w:rPr>
        <w:t>v</w:t>
      </w:r>
      <w:r w:rsidR="00E348D9">
        <w:rPr>
          <w:szCs w:val="22"/>
        </w:rPr>
        <w:t>sedda för</w:t>
      </w:r>
      <w:r>
        <w:rPr>
          <w:szCs w:val="22"/>
        </w:rPr>
        <w:t xml:space="preserve"> daghemmens </w:t>
      </w:r>
      <w:r w:rsidR="006D148D">
        <w:rPr>
          <w:szCs w:val="22"/>
        </w:rPr>
        <w:t xml:space="preserve">planerade </w:t>
      </w:r>
      <w:r>
        <w:rPr>
          <w:szCs w:val="22"/>
        </w:rPr>
        <w:t>pedagogiska verksamhet</w:t>
      </w:r>
      <w:r w:rsidR="00702D91">
        <w:rPr>
          <w:szCs w:val="22"/>
        </w:rPr>
        <w:t>.</w:t>
      </w:r>
      <w:r w:rsidR="00E31A20">
        <w:rPr>
          <w:szCs w:val="22"/>
        </w:rPr>
        <w:t xml:space="preserve"> </w:t>
      </w:r>
    </w:p>
    <w:p w:rsidR="005C0E3C" w:rsidRDefault="00702D91">
      <w:pPr>
        <w:pStyle w:val="ANormal"/>
        <w:rPr>
          <w:szCs w:val="22"/>
        </w:rPr>
      </w:pPr>
      <w:r>
        <w:rPr>
          <w:szCs w:val="22"/>
        </w:rPr>
        <w:tab/>
        <w:t xml:space="preserve">I lagförslagets 4 § föreslås </w:t>
      </w:r>
      <w:r w:rsidR="008E20A0">
        <w:rPr>
          <w:szCs w:val="22"/>
        </w:rPr>
        <w:t xml:space="preserve">att </w:t>
      </w:r>
      <w:r>
        <w:rPr>
          <w:szCs w:val="22"/>
        </w:rPr>
        <w:t xml:space="preserve">definitionen av </w:t>
      </w:r>
      <w:r w:rsidR="008E20A0">
        <w:rPr>
          <w:szCs w:val="22"/>
        </w:rPr>
        <w:t>”</w:t>
      </w:r>
      <w:r>
        <w:rPr>
          <w:i/>
          <w:szCs w:val="22"/>
        </w:rPr>
        <w:t xml:space="preserve">barn i behov av särskilt </w:t>
      </w:r>
      <w:r w:rsidR="000E7C8C">
        <w:rPr>
          <w:i/>
          <w:szCs w:val="22"/>
        </w:rPr>
        <w:t>stöd</w:t>
      </w:r>
      <w:r>
        <w:rPr>
          <w:i/>
          <w:szCs w:val="22"/>
        </w:rPr>
        <w:t xml:space="preserve">” </w:t>
      </w:r>
      <w:r w:rsidR="006A58A3">
        <w:rPr>
          <w:szCs w:val="22"/>
        </w:rPr>
        <w:t>vidgas till att även omfatta barn som har svårigheter på grund av en kognitiv, sensorisk eller intellektuell funktionsnedsättning.</w:t>
      </w:r>
      <w:r w:rsidR="008E20A0">
        <w:rPr>
          <w:szCs w:val="22"/>
        </w:rPr>
        <w:t xml:space="preserve"> Utskottet finner det positivt att definitionen av barn i behov av särskilt </w:t>
      </w:r>
      <w:r w:rsidR="000E7C8C">
        <w:rPr>
          <w:szCs w:val="22"/>
        </w:rPr>
        <w:t>stöd</w:t>
      </w:r>
      <w:r w:rsidR="008E20A0">
        <w:rPr>
          <w:szCs w:val="22"/>
        </w:rPr>
        <w:t xml:space="preserve"> klargörs och att </w:t>
      </w:r>
      <w:r w:rsidR="008E20A0">
        <w:rPr>
          <w:szCs w:val="22"/>
        </w:rPr>
        <w:lastRenderedPageBreak/>
        <w:t>det uttryckligen framgår att även ett barns förmåga att hantera intryck och impulser ska beaktas</w:t>
      </w:r>
      <w:r w:rsidR="000E7C8C">
        <w:rPr>
          <w:szCs w:val="22"/>
        </w:rPr>
        <w:t xml:space="preserve">. </w:t>
      </w:r>
      <w:r w:rsidR="008E20A0">
        <w:rPr>
          <w:szCs w:val="22"/>
        </w:rPr>
        <w:t xml:space="preserve">   </w:t>
      </w:r>
      <w:r w:rsidR="00B57287">
        <w:rPr>
          <w:szCs w:val="22"/>
        </w:rPr>
        <w:t xml:space="preserve"> </w:t>
      </w:r>
      <w:r w:rsidR="00E31A20">
        <w:rPr>
          <w:szCs w:val="22"/>
        </w:rPr>
        <w:t xml:space="preserve"> </w:t>
      </w:r>
    </w:p>
    <w:p w:rsidR="00850225" w:rsidRDefault="00850225">
      <w:pPr>
        <w:pStyle w:val="ANormal"/>
        <w:rPr>
          <w:sz w:val="26"/>
          <w:szCs w:val="26"/>
        </w:rPr>
      </w:pPr>
    </w:p>
    <w:p w:rsidR="00DD607F" w:rsidRDefault="00DD607F">
      <w:pPr>
        <w:pStyle w:val="ANormal"/>
        <w:rPr>
          <w:sz w:val="26"/>
          <w:szCs w:val="26"/>
        </w:rPr>
      </w:pPr>
      <w:r>
        <w:rPr>
          <w:sz w:val="26"/>
          <w:szCs w:val="26"/>
        </w:rPr>
        <w:t>Detaljmotivering</w:t>
      </w:r>
    </w:p>
    <w:p w:rsidR="003E26A4" w:rsidRDefault="003E26A4">
      <w:pPr>
        <w:pStyle w:val="ANormal"/>
        <w:rPr>
          <w:sz w:val="10"/>
          <w:szCs w:val="10"/>
        </w:rPr>
      </w:pPr>
    </w:p>
    <w:p w:rsidR="003E26A4" w:rsidRDefault="003E26A4">
      <w:pPr>
        <w:pStyle w:val="ANormal"/>
        <w:rPr>
          <w:szCs w:val="22"/>
        </w:rPr>
      </w:pPr>
      <w:r>
        <w:rPr>
          <w:b/>
          <w:szCs w:val="22"/>
        </w:rPr>
        <w:t xml:space="preserve">Ingressen </w:t>
      </w:r>
      <w:r w:rsidR="00D10014">
        <w:rPr>
          <w:szCs w:val="22"/>
        </w:rPr>
        <w:t xml:space="preserve">Ändringarna är av språklig </w:t>
      </w:r>
      <w:r w:rsidR="003C5AB3">
        <w:rPr>
          <w:szCs w:val="22"/>
        </w:rPr>
        <w:t xml:space="preserve">eller teknisk </w:t>
      </w:r>
      <w:r w:rsidR="00D10014">
        <w:rPr>
          <w:szCs w:val="22"/>
        </w:rPr>
        <w:t>karaktär.</w:t>
      </w:r>
    </w:p>
    <w:p w:rsidR="00D10014" w:rsidRDefault="00D10014">
      <w:pPr>
        <w:pStyle w:val="ANormal"/>
        <w:rPr>
          <w:b/>
          <w:szCs w:val="22"/>
        </w:rPr>
      </w:pPr>
    </w:p>
    <w:p w:rsidR="00DD607F" w:rsidRDefault="002E3F91">
      <w:pPr>
        <w:pStyle w:val="ANormal"/>
        <w:rPr>
          <w:szCs w:val="22"/>
        </w:rPr>
      </w:pPr>
      <w:r>
        <w:rPr>
          <w:b/>
          <w:szCs w:val="22"/>
        </w:rPr>
        <w:t xml:space="preserve">9a § </w:t>
      </w:r>
      <w:r>
        <w:rPr>
          <w:szCs w:val="22"/>
        </w:rPr>
        <w:t xml:space="preserve">Utskottet föreslår att ”med lämplig pedagogisk inriktning” </w:t>
      </w:r>
      <w:r w:rsidR="00A21B3B">
        <w:rPr>
          <w:szCs w:val="22"/>
        </w:rPr>
        <w:t xml:space="preserve">i 2, 3 och </w:t>
      </w:r>
      <w:r w:rsidR="005A5AB7">
        <w:rPr>
          <w:szCs w:val="22"/>
        </w:rPr>
        <w:t xml:space="preserve">4 mom. </w:t>
      </w:r>
      <w:r w:rsidR="003E26A4">
        <w:rPr>
          <w:szCs w:val="22"/>
        </w:rPr>
        <w:t xml:space="preserve">stryks </w:t>
      </w:r>
      <w:r w:rsidR="005A5AB7">
        <w:rPr>
          <w:szCs w:val="22"/>
        </w:rPr>
        <w:t xml:space="preserve">då behörighetskraven för personal i daghem </w:t>
      </w:r>
      <w:r w:rsidR="003E26A4">
        <w:rPr>
          <w:szCs w:val="22"/>
        </w:rPr>
        <w:t>beskrivs</w:t>
      </w:r>
      <w:r w:rsidR="005A5AB7">
        <w:rPr>
          <w:szCs w:val="22"/>
        </w:rPr>
        <w:t xml:space="preserve"> i lan</w:t>
      </w:r>
      <w:r w:rsidR="005A5AB7">
        <w:rPr>
          <w:szCs w:val="22"/>
        </w:rPr>
        <w:t>d</w:t>
      </w:r>
      <w:r w:rsidR="005A5AB7">
        <w:rPr>
          <w:szCs w:val="22"/>
        </w:rPr>
        <w:t>skapsförordning (2011:90) om behörighetskrav för personal anställd i da</w:t>
      </w:r>
      <w:r w:rsidR="005A5AB7">
        <w:rPr>
          <w:szCs w:val="22"/>
        </w:rPr>
        <w:t>g</w:t>
      </w:r>
      <w:r w:rsidR="005A5AB7">
        <w:rPr>
          <w:szCs w:val="22"/>
        </w:rPr>
        <w:t xml:space="preserve">hem och fritidshem. </w:t>
      </w:r>
    </w:p>
    <w:p w:rsidR="00BC260C" w:rsidRDefault="00BC260C">
      <w:pPr>
        <w:pStyle w:val="ANormal"/>
        <w:rPr>
          <w:szCs w:val="22"/>
        </w:rPr>
      </w:pPr>
    </w:p>
    <w:p w:rsidR="00BC260C" w:rsidRPr="0030340F" w:rsidRDefault="00BC260C" w:rsidP="00BC260C">
      <w:pPr>
        <w:pStyle w:val="ANormal"/>
        <w:rPr>
          <w:szCs w:val="22"/>
        </w:rPr>
      </w:pPr>
      <w:r>
        <w:rPr>
          <w:b/>
          <w:szCs w:val="22"/>
        </w:rPr>
        <w:t xml:space="preserve">16 § </w:t>
      </w:r>
      <w:r>
        <w:rPr>
          <w:szCs w:val="22"/>
        </w:rPr>
        <w:t>Ändringarna är av språklig karaktär.</w:t>
      </w:r>
    </w:p>
    <w:p w:rsidR="00BC260C" w:rsidRDefault="00BC260C" w:rsidP="00BC260C">
      <w:pPr>
        <w:pStyle w:val="ANormal"/>
        <w:rPr>
          <w:szCs w:val="22"/>
        </w:rPr>
      </w:pPr>
    </w:p>
    <w:p w:rsidR="00BC260C" w:rsidRDefault="00BC260C" w:rsidP="00BC260C">
      <w:pPr>
        <w:pStyle w:val="ANormal"/>
        <w:rPr>
          <w:szCs w:val="22"/>
        </w:rPr>
      </w:pPr>
      <w:r>
        <w:rPr>
          <w:b/>
          <w:szCs w:val="22"/>
        </w:rPr>
        <w:t xml:space="preserve">22 § </w:t>
      </w:r>
      <w:r>
        <w:rPr>
          <w:szCs w:val="22"/>
        </w:rPr>
        <w:t>Ändringarna är av språklig karaktär.</w:t>
      </w:r>
    </w:p>
    <w:p w:rsidR="002401D0" w:rsidRDefault="002401D0">
      <w:pPr>
        <w:pStyle w:val="ANormal"/>
      </w:pPr>
    </w:p>
    <w:p w:rsidR="002401D0" w:rsidRDefault="002401D0">
      <w:pPr>
        <w:pStyle w:val="RubrikA"/>
      </w:pPr>
      <w:bookmarkStart w:id="10" w:name="_Toc529800936"/>
      <w:bookmarkStart w:id="11" w:name="_Toc476559898"/>
      <w:r>
        <w:t>Ärendets behandling</w:t>
      </w:r>
      <w:bookmarkEnd w:id="10"/>
      <w:bookmarkEnd w:id="11"/>
    </w:p>
    <w:p w:rsidR="002401D0" w:rsidRDefault="002401D0">
      <w:pPr>
        <w:pStyle w:val="Rubrikmellanrum"/>
      </w:pPr>
    </w:p>
    <w:p w:rsidR="007314A6" w:rsidRDefault="007314A6" w:rsidP="007314A6">
      <w:pPr>
        <w:pStyle w:val="ANormal"/>
      </w:pPr>
      <w:r>
        <w:t xml:space="preserve">Lagtinget har den </w:t>
      </w:r>
      <w:r w:rsidR="00B954B4">
        <w:t>8</w:t>
      </w:r>
      <w:r>
        <w:t xml:space="preserve"> mars 2017</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p>
    <w:p w:rsidR="007314A6" w:rsidRDefault="007314A6" w:rsidP="007314A6">
      <w:pPr>
        <w:pStyle w:val="ANormal"/>
      </w:pPr>
      <w:r>
        <w:tab/>
        <w:t>Utskottet har i ärendet hört</w:t>
      </w:r>
      <w:r w:rsidR="00B954B4">
        <w:t xml:space="preserve"> ministern Wille </w:t>
      </w:r>
      <w:proofErr w:type="spellStart"/>
      <w:r w:rsidR="00B954B4">
        <w:t>Valve</w:t>
      </w:r>
      <w:proofErr w:type="spellEnd"/>
      <w:r w:rsidR="00B954B4">
        <w:t xml:space="preserve">, styrelsemedlemmen i Ålands Barnträdgårdslärare r.f. Alexandra Andersson, lagberedaren Olle Ekström, föreståndaren för Österkulla daghem Ann </w:t>
      </w:r>
      <w:proofErr w:type="spellStart"/>
      <w:r w:rsidR="00B954B4">
        <w:t>Grunér</w:t>
      </w:r>
      <w:proofErr w:type="spellEnd"/>
      <w:r w:rsidR="00B954B4">
        <w:t>-Jansson, ordf</w:t>
      </w:r>
      <w:r w:rsidR="00B954B4">
        <w:t>ö</w:t>
      </w:r>
      <w:r w:rsidR="00B954B4">
        <w:t>randen i Ålands Barnträdgårdslärare r.f. Annett Jansson, styrelsemedle</w:t>
      </w:r>
      <w:r w:rsidR="00B954B4">
        <w:t>m</w:t>
      </w:r>
      <w:r w:rsidR="00B954B4">
        <w:t xml:space="preserve">men i Pusselfamiljen r.f. </w:t>
      </w:r>
      <w:proofErr w:type="spellStart"/>
      <w:r w:rsidR="00B954B4">
        <w:t>Leeles</w:t>
      </w:r>
      <w:proofErr w:type="spellEnd"/>
      <w:r w:rsidR="00B954B4">
        <w:t xml:space="preserve"> </w:t>
      </w:r>
      <w:proofErr w:type="spellStart"/>
      <w:r w:rsidR="00B954B4">
        <w:t>Nurk</w:t>
      </w:r>
      <w:proofErr w:type="spellEnd"/>
      <w:r w:rsidR="006D148D">
        <w:t>,</w:t>
      </w:r>
      <w:r w:rsidR="00B954B4">
        <w:t xml:space="preserve"> socialinspektören Ulla </w:t>
      </w:r>
      <w:proofErr w:type="spellStart"/>
      <w:r w:rsidR="00B954B4">
        <w:t>Rindler</w:t>
      </w:r>
      <w:proofErr w:type="spellEnd"/>
      <w:r w:rsidR="00B954B4">
        <w:t>-Wrede</w:t>
      </w:r>
      <w:r w:rsidR="003C5AB3">
        <w:t xml:space="preserve"> och</w:t>
      </w:r>
      <w:r w:rsidR="00B954B4">
        <w:t xml:space="preserve"> ordföranden i Pusselfamiljen r.f. Mari Stenlund.</w:t>
      </w:r>
    </w:p>
    <w:p w:rsidR="006D148D" w:rsidRDefault="006D148D" w:rsidP="007314A6">
      <w:pPr>
        <w:pStyle w:val="ANormal"/>
      </w:pPr>
      <w:r>
        <w:tab/>
        <w:t>Utskottet har i samband med ärendets behandling besökt Österkulla daghem i Jomala kommun.</w:t>
      </w:r>
    </w:p>
    <w:p w:rsidR="007314A6" w:rsidRPr="00D91EE7" w:rsidRDefault="007314A6" w:rsidP="007314A6">
      <w:pPr>
        <w:pStyle w:val="ANormal"/>
      </w:pPr>
      <w:r>
        <w:tab/>
      </w:r>
      <w:r w:rsidRPr="009A273F">
        <w:t xml:space="preserve">I ärendets avgörande behandling deltog ordföranden </w:t>
      </w:r>
      <w:r w:rsidRPr="00D91EE7">
        <w:t xml:space="preserve">Carina Aaltonen, </w:t>
      </w:r>
    </w:p>
    <w:p w:rsidR="007314A6" w:rsidRPr="00D91EE7" w:rsidRDefault="007314A6" w:rsidP="007314A6">
      <w:pPr>
        <w:pStyle w:val="ANormal"/>
      </w:pPr>
      <w:r w:rsidRPr="00D91EE7">
        <w:t>viceordföranden Mikael Lindholm</w:t>
      </w:r>
      <w:r>
        <w:t xml:space="preserve"> samt </w:t>
      </w:r>
      <w:r w:rsidRPr="00D91EE7">
        <w:t xml:space="preserve">ledamöterna </w:t>
      </w:r>
      <w:r>
        <w:t xml:space="preserve">Fredrik Fredlund, </w:t>
      </w:r>
      <w:proofErr w:type="spellStart"/>
      <w:r>
        <w:t>I</w:t>
      </w:r>
      <w:r w:rsidRPr="00D91EE7">
        <w:t>gge</w:t>
      </w:r>
      <w:proofErr w:type="spellEnd"/>
      <w:r w:rsidRPr="00D91EE7">
        <w:t xml:space="preserve"> Holmberg, Annette Holmberg-Jansson, Torsten Sundblom och Pe</w:t>
      </w:r>
      <w:r w:rsidRPr="00D91EE7">
        <w:t>r</w:t>
      </w:r>
      <w:r w:rsidRPr="00D91EE7">
        <w:t>nilla Söderlund.</w:t>
      </w: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476559899"/>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7314A6">
        <w:t xml:space="preserve"> antar lagförslaget i följande lydelse</w:t>
      </w:r>
    </w:p>
    <w:p w:rsidR="007314A6" w:rsidRPr="007314A6" w:rsidRDefault="007314A6" w:rsidP="007314A6">
      <w:pPr>
        <w:pStyle w:val="ANormal"/>
      </w:pPr>
    </w:p>
    <w:p w:rsidR="007314A6" w:rsidRPr="009240B5" w:rsidRDefault="007314A6" w:rsidP="007314A6">
      <w:pPr>
        <w:pStyle w:val="LagHuvRubr"/>
      </w:pPr>
      <w:bookmarkStart w:id="14" w:name="_Toc474399406"/>
      <w:r w:rsidRPr="009240B5">
        <w:rPr>
          <w:lang w:val="sv-FI"/>
        </w:rPr>
        <w:t>L A N D S K A P S L A G</w:t>
      </w:r>
      <w:r w:rsidRPr="009240B5">
        <w:rPr>
          <w:lang w:val="sv-FI"/>
        </w:rPr>
        <w:br/>
        <w:t xml:space="preserve">om ändring av </w:t>
      </w:r>
      <w:r w:rsidRPr="009240B5">
        <w:t>barnomsorgslagen för landskapet Åland</w:t>
      </w:r>
      <w:bookmarkEnd w:id="14"/>
    </w:p>
    <w:p w:rsidR="007314A6" w:rsidRPr="009240B5" w:rsidRDefault="007314A6" w:rsidP="007314A6">
      <w:pPr>
        <w:pStyle w:val="ANormal"/>
      </w:pPr>
    </w:p>
    <w:p w:rsidR="007314A6" w:rsidRPr="009240B5" w:rsidRDefault="007314A6" w:rsidP="007314A6">
      <w:pPr>
        <w:pStyle w:val="ANormal"/>
      </w:pPr>
      <w:r w:rsidRPr="009240B5">
        <w:tab/>
        <w:t>I enlighet med lagtingets beslut</w:t>
      </w:r>
    </w:p>
    <w:p w:rsidR="007314A6" w:rsidRPr="009240B5" w:rsidRDefault="007314A6" w:rsidP="007314A6">
      <w:pPr>
        <w:pStyle w:val="ANormal"/>
      </w:pPr>
      <w:r w:rsidRPr="009240B5">
        <w:tab/>
      </w:r>
      <w:r w:rsidRPr="009240B5">
        <w:rPr>
          <w:b/>
        </w:rPr>
        <w:t>ändras</w:t>
      </w:r>
      <w:r w:rsidRPr="009240B5">
        <w:t xml:space="preserve"> 3 § 1 mom. 3 </w:t>
      </w:r>
      <w:r w:rsidR="00117225">
        <w:rPr>
          <w:i/>
        </w:rPr>
        <w:t>punkten</w:t>
      </w:r>
      <w:r w:rsidRPr="009240B5">
        <w:t>, 3 § 2 mom. 2 </w:t>
      </w:r>
      <w:r w:rsidR="00117225">
        <w:rPr>
          <w:i/>
        </w:rPr>
        <w:t>punkten</w:t>
      </w:r>
      <w:r w:rsidRPr="009240B5">
        <w:t>, 4 § 2 mom., 9 §, 16 § 1 mom., 17 § 1 mom. 2 </w:t>
      </w:r>
      <w:r w:rsidR="00117225">
        <w:rPr>
          <w:i/>
        </w:rPr>
        <w:t>punkten</w:t>
      </w:r>
      <w:r w:rsidRPr="009240B5">
        <w:t>, 22 § 1-3 mom., 24 § 3 och 4 mom. och 26 § 1 mom. barnomsorgslagen (2011:86) för landskapet Åland</w:t>
      </w:r>
      <w:r w:rsidR="00B37AB2">
        <w:t xml:space="preserve"> </w:t>
      </w:r>
      <w:r w:rsidRPr="009240B5">
        <w:t>samt</w:t>
      </w:r>
    </w:p>
    <w:p w:rsidR="007314A6" w:rsidRPr="009240B5" w:rsidRDefault="007314A6" w:rsidP="007314A6">
      <w:pPr>
        <w:pStyle w:val="ANormal"/>
      </w:pPr>
      <w:r w:rsidRPr="009240B5">
        <w:tab/>
      </w:r>
      <w:r w:rsidRPr="009240B5">
        <w:rPr>
          <w:b/>
        </w:rPr>
        <w:t>fogas</w:t>
      </w:r>
      <w:r w:rsidRPr="009240B5">
        <w:t xml:space="preserve"> till lagen </w:t>
      </w:r>
      <w:r w:rsidR="00494F3E">
        <w:rPr>
          <w:i/>
        </w:rPr>
        <w:t xml:space="preserve">en </w:t>
      </w:r>
      <w:r w:rsidR="00494F3E" w:rsidRPr="00494F3E">
        <w:rPr>
          <w:i/>
        </w:rPr>
        <w:t>ny</w:t>
      </w:r>
      <w:r w:rsidR="00494F3E" w:rsidRPr="009240B5">
        <w:t xml:space="preserve"> </w:t>
      </w:r>
      <w:r w:rsidRPr="009240B5">
        <w:t xml:space="preserve">9a §, </w:t>
      </w:r>
      <w:r w:rsidR="00494F3E">
        <w:rPr>
          <w:i/>
        </w:rPr>
        <w:t xml:space="preserve">till </w:t>
      </w:r>
      <w:r w:rsidRPr="009240B5">
        <w:t xml:space="preserve">17 § 1 mom. </w:t>
      </w:r>
      <w:r w:rsidR="00494F3E">
        <w:rPr>
          <w:i/>
        </w:rPr>
        <w:t xml:space="preserve">en ny </w:t>
      </w:r>
      <w:r w:rsidRPr="009240B5">
        <w:t>2a punkt</w:t>
      </w:r>
      <w:r>
        <w:t xml:space="preserve">, </w:t>
      </w:r>
      <w:r w:rsidR="00494F3E">
        <w:rPr>
          <w:i/>
        </w:rPr>
        <w:t xml:space="preserve">till </w:t>
      </w:r>
      <w:r>
        <w:t xml:space="preserve">17 § </w:t>
      </w:r>
      <w:r w:rsidR="00494F3E">
        <w:rPr>
          <w:i/>
        </w:rPr>
        <w:t xml:space="preserve">ett nytt </w:t>
      </w:r>
      <w:r>
        <w:t>3 mom., varvid nuvarande 3 och 4 mom. blir 4 och 5 mom.,</w:t>
      </w:r>
      <w:r w:rsidRPr="009240B5">
        <w:t xml:space="preserve"> och </w:t>
      </w:r>
      <w:r w:rsidR="00494F3E">
        <w:rPr>
          <w:i/>
        </w:rPr>
        <w:t xml:space="preserve">till </w:t>
      </w:r>
      <w:r w:rsidRPr="009240B5">
        <w:t xml:space="preserve">22 § </w:t>
      </w:r>
      <w:r w:rsidR="00494F3E">
        <w:rPr>
          <w:i/>
        </w:rPr>
        <w:t xml:space="preserve">ett nytt </w:t>
      </w:r>
      <w:r w:rsidRPr="009240B5">
        <w:t>7 mom.</w:t>
      </w:r>
      <w:r>
        <w:t xml:space="preserve">, av dessa lagrum </w:t>
      </w:r>
      <w:r w:rsidR="007B4F3C">
        <w:rPr>
          <w:i/>
        </w:rPr>
        <w:t xml:space="preserve">17 och </w:t>
      </w:r>
      <w:r>
        <w:t>22 </w:t>
      </w:r>
      <w:proofErr w:type="gramStart"/>
      <w:r w:rsidR="00183E93" w:rsidRPr="00183E93">
        <w:rPr>
          <w:i/>
        </w:rPr>
        <w:t>§</w:t>
      </w:r>
      <w:r w:rsidRPr="00183E93">
        <w:rPr>
          <w:i/>
        </w:rPr>
        <w:t>§</w:t>
      </w:r>
      <w:proofErr w:type="gramEnd"/>
      <w:r>
        <w:t xml:space="preserve"> </w:t>
      </w:r>
      <w:r w:rsidRPr="007B4F3C">
        <w:rPr>
          <w:i/>
        </w:rPr>
        <w:t>sådan</w:t>
      </w:r>
      <w:r w:rsidR="007B4F3C">
        <w:rPr>
          <w:i/>
        </w:rPr>
        <w:t>a</w:t>
      </w:r>
      <w:r w:rsidRPr="007B4F3C">
        <w:rPr>
          <w:i/>
        </w:rPr>
        <w:t xml:space="preserve"> de</w:t>
      </w:r>
      <w:r>
        <w:t xml:space="preserve"> lyder i lan</w:t>
      </w:r>
      <w:r>
        <w:t>d</w:t>
      </w:r>
      <w:r>
        <w:t>skapslagen 2013/60,</w:t>
      </w:r>
      <w:r w:rsidR="00325CD0">
        <w:t xml:space="preserve"> </w:t>
      </w:r>
      <w:r w:rsidRPr="009240B5">
        <w:t>som följer:</w:t>
      </w:r>
    </w:p>
    <w:p w:rsidR="007314A6" w:rsidRPr="009240B5" w:rsidRDefault="007314A6" w:rsidP="007314A6">
      <w:pPr>
        <w:pStyle w:val="ANormal"/>
      </w:pPr>
    </w:p>
    <w:p w:rsidR="007314A6" w:rsidRPr="009240B5" w:rsidRDefault="007314A6" w:rsidP="007314A6">
      <w:pPr>
        <w:pStyle w:val="LagParagraf"/>
      </w:pPr>
      <w:r w:rsidRPr="009240B5">
        <w:t>3 </w:t>
      </w:r>
      <w:r w:rsidR="00494F3E">
        <w:t xml:space="preserve">– 4 </w:t>
      </w:r>
      <w:proofErr w:type="gramStart"/>
      <w:r w:rsidR="00494F3E">
        <w:t>§</w:t>
      </w:r>
      <w:r w:rsidRPr="009240B5">
        <w:t>§</w:t>
      </w:r>
      <w:proofErr w:type="gramEnd"/>
    </w:p>
    <w:p w:rsidR="007314A6" w:rsidRPr="009240B5" w:rsidRDefault="007314A6" w:rsidP="007314A6">
      <w:pPr>
        <w:pStyle w:val="ANormal"/>
      </w:pPr>
      <w:r w:rsidRPr="009240B5">
        <w:tab/>
      </w:r>
      <w:r w:rsidR="00494F3E">
        <w:t>(Lika som i lagförslaget).</w:t>
      </w:r>
    </w:p>
    <w:p w:rsidR="007314A6" w:rsidRPr="009240B5" w:rsidRDefault="007314A6" w:rsidP="007314A6">
      <w:pPr>
        <w:pStyle w:val="ANormal"/>
      </w:pPr>
    </w:p>
    <w:p w:rsidR="007314A6" w:rsidRPr="009240B5" w:rsidRDefault="007314A6" w:rsidP="007314A6">
      <w:pPr>
        <w:pStyle w:val="LagParagraf"/>
      </w:pPr>
      <w:r w:rsidRPr="009240B5">
        <w:t>9 §</w:t>
      </w:r>
    </w:p>
    <w:p w:rsidR="007314A6" w:rsidRPr="009240B5" w:rsidRDefault="007314A6" w:rsidP="007314A6">
      <w:pPr>
        <w:pStyle w:val="ANormal"/>
      </w:pPr>
      <w:r w:rsidRPr="009240B5">
        <w:tab/>
      </w:r>
      <w:r w:rsidR="00494F3E">
        <w:t>(Lika som i lagförslaget).</w:t>
      </w:r>
    </w:p>
    <w:p w:rsidR="007314A6" w:rsidRPr="009240B5" w:rsidRDefault="007314A6" w:rsidP="007314A6">
      <w:pPr>
        <w:pStyle w:val="ANormal"/>
      </w:pPr>
    </w:p>
    <w:p w:rsidR="007314A6" w:rsidRPr="009240B5" w:rsidRDefault="007314A6" w:rsidP="007314A6">
      <w:pPr>
        <w:pStyle w:val="LagParagraf"/>
      </w:pPr>
      <w:r w:rsidRPr="009240B5">
        <w:t>9a §</w:t>
      </w:r>
    </w:p>
    <w:p w:rsidR="007314A6" w:rsidRPr="009240B5" w:rsidRDefault="007314A6" w:rsidP="007314A6">
      <w:pPr>
        <w:pStyle w:val="LagPararubrik"/>
      </w:pPr>
      <w:r w:rsidRPr="009240B5">
        <w:t>Verksamheternas behörighetskrav</w:t>
      </w:r>
    </w:p>
    <w:p w:rsidR="007314A6" w:rsidRPr="009240B5" w:rsidRDefault="007314A6" w:rsidP="007314A6">
      <w:pPr>
        <w:pStyle w:val="ANormal"/>
      </w:pPr>
      <w:r w:rsidRPr="009240B5">
        <w:tab/>
      </w:r>
      <w:r w:rsidR="00E25027">
        <w:t>(1 mom. lika som i lagförslaget).</w:t>
      </w:r>
    </w:p>
    <w:p w:rsidR="007314A6" w:rsidRPr="009240B5" w:rsidRDefault="007314A6" w:rsidP="007314A6">
      <w:pPr>
        <w:pStyle w:val="ANormal"/>
      </w:pPr>
      <w:r w:rsidRPr="009240B5">
        <w:tab/>
        <w:t>På en avdelning ska det finnas minst en anställd med avslutad högskol</w:t>
      </w:r>
      <w:r w:rsidRPr="009240B5">
        <w:t>e</w:t>
      </w:r>
      <w:r w:rsidRPr="009240B5">
        <w:t xml:space="preserve">utbildning </w:t>
      </w:r>
      <w:r w:rsidR="00E25027">
        <w:rPr>
          <w:i/>
        </w:rPr>
        <w:t>(uteslutning)</w:t>
      </w:r>
      <w:r w:rsidRPr="009240B5">
        <w:t>.</w:t>
      </w:r>
    </w:p>
    <w:p w:rsidR="007314A6" w:rsidRPr="009240B5" w:rsidRDefault="007314A6" w:rsidP="007314A6">
      <w:pPr>
        <w:pStyle w:val="ANormal"/>
      </w:pPr>
      <w:r w:rsidRPr="009240B5">
        <w:tab/>
        <w:t>På ett fritidshem som har fler än 13 barn ska det finnas minst en fr</w:t>
      </w:r>
      <w:r w:rsidRPr="009240B5">
        <w:t>i</w:t>
      </w:r>
      <w:r w:rsidRPr="009240B5">
        <w:t xml:space="preserve">tidspedagog med avslutad högskoleutbildning </w:t>
      </w:r>
      <w:r w:rsidR="00E25027">
        <w:rPr>
          <w:i/>
        </w:rPr>
        <w:t>(uteslutning)</w:t>
      </w:r>
      <w:r w:rsidRPr="009240B5">
        <w:t>.</w:t>
      </w:r>
    </w:p>
    <w:p w:rsidR="007314A6" w:rsidRPr="009240B5" w:rsidRDefault="007314A6" w:rsidP="007314A6">
      <w:pPr>
        <w:pStyle w:val="ANormal"/>
      </w:pPr>
      <w:r w:rsidRPr="009240B5">
        <w:tab/>
        <w:t xml:space="preserve">Med </w:t>
      </w:r>
      <w:r w:rsidRPr="009240B5">
        <w:rPr>
          <w:i/>
        </w:rPr>
        <w:t>avdelning</w:t>
      </w:r>
      <w:r w:rsidRPr="009240B5">
        <w:t xml:space="preserve"> avses en organisatorisk och återkommande administrativ indelning av barn i ett daghem. I samband med tillfälliga gruppindelningar eller helg-, kvälls- och nattetid kan verksamheten ledas av en anställd med avslutad gymnasieutbildning </w:t>
      </w:r>
      <w:r w:rsidR="00E25027">
        <w:rPr>
          <w:i/>
        </w:rPr>
        <w:t>(uteslutning)</w:t>
      </w:r>
      <w:r w:rsidRPr="009240B5">
        <w:t xml:space="preserve">. Med </w:t>
      </w:r>
      <w:r w:rsidRPr="009240B5">
        <w:rPr>
          <w:i/>
        </w:rPr>
        <w:t>grupp</w:t>
      </w:r>
      <w:r w:rsidRPr="009240B5">
        <w:t xml:space="preserve"> avses en tillfällig funktionell indelning av barn som hör till en avdelning, varvid i en grupp kan ingå barn från en eller flera avdelningar.</w:t>
      </w:r>
    </w:p>
    <w:p w:rsidR="007314A6" w:rsidRPr="009240B5" w:rsidRDefault="007314A6" w:rsidP="007314A6">
      <w:pPr>
        <w:pStyle w:val="ANormal"/>
      </w:pPr>
    </w:p>
    <w:p w:rsidR="007314A6" w:rsidRPr="009240B5" w:rsidRDefault="007314A6" w:rsidP="007314A6">
      <w:pPr>
        <w:pStyle w:val="LagParagraf"/>
      </w:pPr>
      <w:r w:rsidRPr="009240B5">
        <w:t>16 §</w:t>
      </w:r>
    </w:p>
    <w:p w:rsidR="007314A6" w:rsidRPr="009240B5" w:rsidRDefault="007314A6" w:rsidP="007314A6">
      <w:pPr>
        <w:pStyle w:val="LagPararubrik"/>
      </w:pPr>
      <w:r w:rsidRPr="009240B5">
        <w:t>Rättighetsgrunder</w:t>
      </w:r>
    </w:p>
    <w:p w:rsidR="007314A6" w:rsidRPr="009240B5" w:rsidRDefault="007314A6" w:rsidP="007314A6">
      <w:pPr>
        <w:pStyle w:val="ANormal"/>
      </w:pPr>
      <w:r w:rsidRPr="009240B5">
        <w:tab/>
        <w:t>Efter att föräldrapenningsperioden har upphört har vårdnadshavare, i den omfattning som föreskrivs i detta kapitel, rätt till barnomsorg ordnad av sin hemkommun för sitt barn. Barnomsorg beviljas av hemkommunen efter ansökan av vårdnadshavare. Om vårdnadshavarna har olika hemkommun gäller rätten till barnomsorg den kommun som är barnets hemkommun och ansökan ska riktas till den kommunen. Barnomsorg ska i möjligaste mån ordnas i den verksamhetsform som barnets vårdnadshavare önskar. En kommun kan vid behov</w:t>
      </w:r>
      <w:r w:rsidR="00800CFE">
        <w:t>,</w:t>
      </w:r>
      <w:r w:rsidRPr="009240B5">
        <w:t xml:space="preserve"> med beaktande av bestämmelserna i 2 och 3 </w:t>
      </w:r>
      <w:proofErr w:type="gramStart"/>
      <w:r w:rsidRPr="009240B5">
        <w:t>§§</w:t>
      </w:r>
      <w:proofErr w:type="gramEnd"/>
      <w:r w:rsidR="00800CFE">
        <w:t>,</w:t>
      </w:r>
      <w:r w:rsidRPr="009240B5">
        <w:t xml:space="preserve"> besluta om barnets vistelsetid under dagen, så att vårdnadshavare </w:t>
      </w:r>
      <w:r w:rsidR="0030340F">
        <w:rPr>
          <w:i/>
        </w:rPr>
        <w:t>(uteslu</w:t>
      </w:r>
      <w:r w:rsidR="0030340F">
        <w:rPr>
          <w:i/>
        </w:rPr>
        <w:t>t</w:t>
      </w:r>
      <w:r w:rsidR="0030340F">
        <w:rPr>
          <w:i/>
        </w:rPr>
        <w:t xml:space="preserve">ning) som avses i </w:t>
      </w:r>
      <w:r w:rsidRPr="009240B5">
        <w:t xml:space="preserve">17 § 1 mom. 2 </w:t>
      </w:r>
      <w:r w:rsidRPr="00512E9C">
        <w:rPr>
          <w:i/>
        </w:rPr>
        <w:t>punkt</w:t>
      </w:r>
      <w:r w:rsidR="00512E9C" w:rsidRPr="00512E9C">
        <w:rPr>
          <w:i/>
        </w:rPr>
        <w:t>en</w:t>
      </w:r>
      <w:r w:rsidRPr="009240B5">
        <w:t>, får barnomsorg för sitt barn u</w:t>
      </w:r>
      <w:r w:rsidRPr="009240B5">
        <w:t>n</w:t>
      </w:r>
      <w:r w:rsidRPr="009240B5">
        <w:t xml:space="preserve">der den tid </w:t>
      </w:r>
      <w:r w:rsidR="00BC260C">
        <w:rPr>
          <w:i/>
        </w:rPr>
        <w:t>(uteslutning)som</w:t>
      </w:r>
      <w:r w:rsidRPr="009240B5">
        <w:t xml:space="preserve"> krävs.</w:t>
      </w:r>
    </w:p>
    <w:p w:rsidR="007314A6" w:rsidRPr="009240B5" w:rsidRDefault="007314A6" w:rsidP="007314A6">
      <w:pPr>
        <w:pStyle w:val="ANormal"/>
      </w:pPr>
      <w:proofErr w:type="gramStart"/>
      <w:r w:rsidRPr="009240B5">
        <w:t>-</w:t>
      </w:r>
      <w:proofErr w:type="gramEnd"/>
      <w:r w:rsidRPr="009240B5">
        <w:t xml:space="preserve"> - - - - - - - - - - - - - - - - - - - - - - - - - - - - - - - - - - - - - - - - - - - - - - - - - - -</w:t>
      </w:r>
    </w:p>
    <w:p w:rsidR="007314A6" w:rsidRPr="009240B5" w:rsidRDefault="007314A6" w:rsidP="007314A6">
      <w:pPr>
        <w:pStyle w:val="ANormal"/>
      </w:pPr>
    </w:p>
    <w:p w:rsidR="007314A6" w:rsidRPr="009240B5" w:rsidRDefault="007314A6" w:rsidP="007314A6">
      <w:pPr>
        <w:pStyle w:val="LagParagraf"/>
      </w:pPr>
      <w:r w:rsidRPr="009240B5">
        <w:t>17 §</w:t>
      </w:r>
    </w:p>
    <w:p w:rsidR="007314A6" w:rsidRDefault="008F64B3" w:rsidP="007314A6">
      <w:pPr>
        <w:pStyle w:val="ANormal"/>
      </w:pPr>
      <w:r>
        <w:tab/>
        <w:t>(Lika som i lagförslaget).</w:t>
      </w:r>
    </w:p>
    <w:p w:rsidR="007314A6" w:rsidRPr="009240B5" w:rsidRDefault="007314A6" w:rsidP="007314A6">
      <w:pPr>
        <w:pStyle w:val="ANormal"/>
      </w:pPr>
    </w:p>
    <w:p w:rsidR="007314A6" w:rsidRPr="009240B5" w:rsidRDefault="007314A6" w:rsidP="007314A6">
      <w:pPr>
        <w:pStyle w:val="LagParagraf"/>
      </w:pPr>
      <w:r w:rsidRPr="009240B5">
        <w:t>22 §</w:t>
      </w:r>
    </w:p>
    <w:p w:rsidR="007314A6" w:rsidRPr="009240B5" w:rsidRDefault="007314A6" w:rsidP="007314A6">
      <w:pPr>
        <w:pStyle w:val="LagPararubrik"/>
      </w:pPr>
      <w:r w:rsidRPr="009240B5">
        <w:t>Avgift för kommunal barnomsorg</w:t>
      </w:r>
    </w:p>
    <w:p w:rsidR="007314A6" w:rsidRPr="009240B5" w:rsidRDefault="007314A6" w:rsidP="007314A6">
      <w:pPr>
        <w:pStyle w:val="ANormal"/>
      </w:pPr>
      <w:r w:rsidRPr="009240B5">
        <w:tab/>
        <w:t xml:space="preserve">Kommunen ska, med beaktande av bestämmelserna i denna paragraf och bestämmelserna i 23 §, fastställa en taxa för </w:t>
      </w:r>
      <w:r w:rsidRPr="008F64B3">
        <w:rPr>
          <w:i/>
        </w:rPr>
        <w:t>de</w:t>
      </w:r>
      <w:r w:rsidR="008F64B3">
        <w:rPr>
          <w:i/>
        </w:rPr>
        <w:t>n</w:t>
      </w:r>
      <w:r w:rsidRPr="008F64B3">
        <w:rPr>
          <w:i/>
        </w:rPr>
        <w:t xml:space="preserve"> avgift</w:t>
      </w:r>
      <w:r w:rsidRPr="009240B5">
        <w:t xml:space="preserve"> som barnets vårdnadshavare ska betala för barnomsorg. Av en sådan taxa ska minst framgå </w:t>
      </w:r>
      <w:r w:rsidR="008F64B3" w:rsidRPr="008F64B3">
        <w:rPr>
          <w:i/>
        </w:rPr>
        <w:t>avgifte</w:t>
      </w:r>
      <w:r w:rsidR="008F64B3">
        <w:rPr>
          <w:i/>
        </w:rPr>
        <w:t>n</w:t>
      </w:r>
      <w:r w:rsidR="008F64B3" w:rsidRPr="009240B5">
        <w:t xml:space="preserve"> </w:t>
      </w:r>
      <w:r w:rsidRPr="009240B5">
        <w:t xml:space="preserve">för heltidsomsorg och </w:t>
      </w:r>
      <w:r w:rsidRPr="008F64B3">
        <w:rPr>
          <w:i/>
        </w:rPr>
        <w:t>avgifte</w:t>
      </w:r>
      <w:r w:rsidR="008F64B3">
        <w:rPr>
          <w:i/>
        </w:rPr>
        <w:t>n</w:t>
      </w:r>
      <w:r w:rsidRPr="008F64B3">
        <w:rPr>
          <w:i/>
        </w:rPr>
        <w:t xml:space="preserve"> </w:t>
      </w:r>
      <w:r w:rsidRPr="009240B5">
        <w:t>per timme, i de fall en kommun har beslutat om en timtaxa. Månadsavgiften ska fastställas för k</w:t>
      </w:r>
      <w:r w:rsidRPr="009240B5">
        <w:t>a</w:t>
      </w:r>
      <w:r w:rsidRPr="009240B5">
        <w:t>lenderåret. Avgiften ska avse årets alla månader</w:t>
      </w:r>
      <w:r w:rsidR="008F64B3">
        <w:t xml:space="preserve">. </w:t>
      </w:r>
      <w:r w:rsidR="008F64B3" w:rsidRPr="008F64B3">
        <w:rPr>
          <w:i/>
        </w:rPr>
        <w:t>E</w:t>
      </w:r>
      <w:r w:rsidRPr="008F64B3">
        <w:rPr>
          <w:i/>
        </w:rPr>
        <w:t>n</w:t>
      </w:r>
      <w:r w:rsidRPr="009240B5">
        <w:t xml:space="preserve"> kommun kan besluta om avgiftsfria månader.</w:t>
      </w:r>
    </w:p>
    <w:p w:rsidR="007314A6" w:rsidRPr="009240B5" w:rsidRDefault="007314A6" w:rsidP="007314A6">
      <w:pPr>
        <w:pStyle w:val="ANormal"/>
      </w:pPr>
      <w:r w:rsidRPr="009240B5">
        <w:tab/>
        <w:t xml:space="preserve">Som grund för beräkningen av </w:t>
      </w:r>
      <w:r w:rsidRPr="008F64B3">
        <w:rPr>
          <w:i/>
        </w:rPr>
        <w:t>barnomsorgsavgifte</w:t>
      </w:r>
      <w:r w:rsidR="008F64B3">
        <w:rPr>
          <w:i/>
        </w:rPr>
        <w:t>n</w:t>
      </w:r>
      <w:r w:rsidRPr="008F64B3">
        <w:rPr>
          <w:i/>
        </w:rPr>
        <w:t xml:space="preserve"> </w:t>
      </w:r>
      <w:r w:rsidRPr="009240B5">
        <w:t>får läggas de i</w:t>
      </w:r>
      <w:r w:rsidRPr="009240B5">
        <w:t>n</w:t>
      </w:r>
      <w:r w:rsidRPr="009240B5">
        <w:t>komster som överskrider bruttoinkomstgränserna i tabellen nedan. Barno</w:t>
      </w:r>
      <w:r w:rsidRPr="009240B5">
        <w:t>m</w:t>
      </w:r>
      <w:r w:rsidRPr="009240B5">
        <w:t>sorgsavgift får inte tas ut av den familj som har en inkomst som uppgår till högst de belopp som anges i tabellen nedan.</w:t>
      </w:r>
    </w:p>
    <w:p w:rsidR="007314A6" w:rsidRDefault="007314A6" w:rsidP="007314A6">
      <w:pPr>
        <w:pStyle w:val="ANormal"/>
      </w:pPr>
    </w:p>
    <w:p w:rsidR="007314A6" w:rsidRDefault="007314A6" w:rsidP="007314A6">
      <w:pPr>
        <w:pStyle w:val="ANormal"/>
      </w:pPr>
    </w:p>
    <w:p w:rsidR="007314A6" w:rsidRPr="009240B5" w:rsidRDefault="007314A6" w:rsidP="007314A6">
      <w:pPr>
        <w:pStyle w:val="ANormal"/>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5"/>
      </w:tblGrid>
      <w:tr w:rsidR="007314A6" w:rsidRPr="009240B5" w:rsidTr="00D82E1D">
        <w:tc>
          <w:tcPr>
            <w:tcW w:w="2552" w:type="dxa"/>
            <w:shd w:val="clear" w:color="auto" w:fill="auto"/>
          </w:tcPr>
          <w:p w:rsidR="007314A6" w:rsidRPr="009240B5" w:rsidRDefault="007314A6" w:rsidP="00D82E1D">
            <w:pPr>
              <w:pStyle w:val="ANormal"/>
              <w:jc w:val="center"/>
            </w:pPr>
            <w:r w:rsidRPr="009240B5">
              <w:t>Familjens storlek</w:t>
            </w:r>
          </w:p>
          <w:p w:rsidR="007314A6" w:rsidRPr="009240B5" w:rsidRDefault="007314A6" w:rsidP="00D82E1D">
            <w:pPr>
              <w:pStyle w:val="ANormal"/>
              <w:jc w:val="center"/>
            </w:pPr>
            <w:r w:rsidRPr="009240B5">
              <w:t>inkomstgräns</w:t>
            </w:r>
          </w:p>
        </w:tc>
        <w:tc>
          <w:tcPr>
            <w:tcW w:w="2405" w:type="dxa"/>
            <w:shd w:val="clear" w:color="auto" w:fill="auto"/>
          </w:tcPr>
          <w:p w:rsidR="007314A6" w:rsidRPr="009240B5" w:rsidRDefault="007314A6" w:rsidP="00D82E1D">
            <w:pPr>
              <w:pStyle w:val="ANormal"/>
              <w:jc w:val="center"/>
            </w:pPr>
            <w:r w:rsidRPr="009240B5">
              <w:t>Inkomstgräns</w:t>
            </w:r>
          </w:p>
          <w:p w:rsidR="007314A6" w:rsidRPr="009240B5" w:rsidRDefault="007314A6" w:rsidP="00D82E1D">
            <w:pPr>
              <w:pStyle w:val="ANormal"/>
              <w:jc w:val="center"/>
            </w:pPr>
            <w:r w:rsidRPr="009240B5">
              <w:t>(euro/mån)</w:t>
            </w:r>
          </w:p>
        </w:tc>
      </w:tr>
      <w:tr w:rsidR="007314A6" w:rsidRPr="009240B5" w:rsidTr="00D82E1D">
        <w:tc>
          <w:tcPr>
            <w:tcW w:w="2552" w:type="dxa"/>
            <w:shd w:val="clear" w:color="auto" w:fill="auto"/>
          </w:tcPr>
          <w:p w:rsidR="007314A6" w:rsidRPr="009240B5" w:rsidRDefault="007314A6" w:rsidP="00D82E1D">
            <w:pPr>
              <w:pStyle w:val="ANormal"/>
              <w:jc w:val="center"/>
            </w:pPr>
            <w:r w:rsidRPr="009240B5">
              <w:t>2</w:t>
            </w:r>
          </w:p>
        </w:tc>
        <w:tc>
          <w:tcPr>
            <w:tcW w:w="2405" w:type="dxa"/>
            <w:shd w:val="clear" w:color="auto" w:fill="auto"/>
          </w:tcPr>
          <w:p w:rsidR="007314A6" w:rsidRPr="009240B5" w:rsidRDefault="007314A6" w:rsidP="00D82E1D">
            <w:pPr>
              <w:jc w:val="center"/>
            </w:pPr>
            <w:r w:rsidRPr="009240B5">
              <w:t>1 248</w:t>
            </w:r>
          </w:p>
        </w:tc>
      </w:tr>
      <w:tr w:rsidR="007314A6" w:rsidRPr="009240B5" w:rsidTr="00D82E1D">
        <w:tc>
          <w:tcPr>
            <w:tcW w:w="2552" w:type="dxa"/>
            <w:shd w:val="clear" w:color="auto" w:fill="auto"/>
          </w:tcPr>
          <w:p w:rsidR="007314A6" w:rsidRPr="009240B5" w:rsidRDefault="007314A6" w:rsidP="00D82E1D">
            <w:pPr>
              <w:pStyle w:val="ANormal"/>
              <w:jc w:val="center"/>
            </w:pPr>
            <w:r w:rsidRPr="009240B5">
              <w:t>3</w:t>
            </w:r>
          </w:p>
        </w:tc>
        <w:tc>
          <w:tcPr>
            <w:tcW w:w="2405" w:type="dxa"/>
            <w:shd w:val="clear" w:color="auto" w:fill="auto"/>
          </w:tcPr>
          <w:p w:rsidR="007314A6" w:rsidRPr="009240B5" w:rsidRDefault="007314A6" w:rsidP="00D82E1D">
            <w:pPr>
              <w:jc w:val="center"/>
            </w:pPr>
            <w:r w:rsidRPr="009240B5">
              <w:t>1 456</w:t>
            </w:r>
          </w:p>
        </w:tc>
      </w:tr>
      <w:tr w:rsidR="007314A6" w:rsidRPr="009240B5" w:rsidTr="00D82E1D">
        <w:tc>
          <w:tcPr>
            <w:tcW w:w="2552" w:type="dxa"/>
            <w:shd w:val="clear" w:color="auto" w:fill="auto"/>
          </w:tcPr>
          <w:p w:rsidR="007314A6" w:rsidRPr="009240B5" w:rsidRDefault="007314A6" w:rsidP="00D82E1D">
            <w:pPr>
              <w:pStyle w:val="ANormal"/>
              <w:jc w:val="center"/>
            </w:pPr>
            <w:r w:rsidRPr="009240B5">
              <w:t>4</w:t>
            </w:r>
          </w:p>
        </w:tc>
        <w:tc>
          <w:tcPr>
            <w:tcW w:w="2405" w:type="dxa"/>
            <w:shd w:val="clear" w:color="auto" w:fill="auto"/>
          </w:tcPr>
          <w:p w:rsidR="007314A6" w:rsidRPr="009240B5" w:rsidRDefault="007314A6" w:rsidP="00D82E1D">
            <w:pPr>
              <w:jc w:val="center"/>
            </w:pPr>
            <w:r w:rsidRPr="009240B5">
              <w:t>1 664</w:t>
            </w:r>
          </w:p>
        </w:tc>
      </w:tr>
      <w:tr w:rsidR="007314A6" w:rsidRPr="009240B5" w:rsidTr="00D82E1D">
        <w:tc>
          <w:tcPr>
            <w:tcW w:w="2552" w:type="dxa"/>
            <w:shd w:val="clear" w:color="auto" w:fill="auto"/>
          </w:tcPr>
          <w:p w:rsidR="007314A6" w:rsidRPr="009240B5" w:rsidRDefault="007314A6" w:rsidP="00D82E1D">
            <w:pPr>
              <w:pStyle w:val="ANormal"/>
              <w:jc w:val="center"/>
            </w:pPr>
            <w:r w:rsidRPr="009240B5">
              <w:t>5</w:t>
            </w:r>
          </w:p>
        </w:tc>
        <w:tc>
          <w:tcPr>
            <w:tcW w:w="2405" w:type="dxa"/>
            <w:shd w:val="clear" w:color="auto" w:fill="auto"/>
          </w:tcPr>
          <w:p w:rsidR="007314A6" w:rsidRPr="009240B5" w:rsidRDefault="007314A6" w:rsidP="00D82E1D">
            <w:pPr>
              <w:jc w:val="center"/>
            </w:pPr>
            <w:r w:rsidRPr="009240B5">
              <w:t>1 872</w:t>
            </w:r>
          </w:p>
        </w:tc>
      </w:tr>
      <w:tr w:rsidR="007314A6" w:rsidRPr="009240B5" w:rsidTr="00D82E1D">
        <w:tc>
          <w:tcPr>
            <w:tcW w:w="2552" w:type="dxa"/>
            <w:shd w:val="clear" w:color="auto" w:fill="auto"/>
          </w:tcPr>
          <w:p w:rsidR="007314A6" w:rsidRPr="009240B5" w:rsidRDefault="007314A6" w:rsidP="00D82E1D">
            <w:pPr>
              <w:pStyle w:val="ANormal"/>
              <w:jc w:val="center"/>
            </w:pPr>
            <w:r w:rsidRPr="009240B5">
              <w:t>6</w:t>
            </w:r>
          </w:p>
        </w:tc>
        <w:tc>
          <w:tcPr>
            <w:tcW w:w="2405" w:type="dxa"/>
            <w:shd w:val="clear" w:color="auto" w:fill="auto"/>
          </w:tcPr>
          <w:p w:rsidR="007314A6" w:rsidRPr="009240B5" w:rsidRDefault="007314A6" w:rsidP="00D82E1D">
            <w:pPr>
              <w:jc w:val="center"/>
            </w:pPr>
            <w:r w:rsidRPr="009240B5">
              <w:t>2 080</w:t>
            </w:r>
          </w:p>
        </w:tc>
      </w:tr>
    </w:tbl>
    <w:p w:rsidR="007314A6" w:rsidRPr="009240B5" w:rsidRDefault="007314A6" w:rsidP="007314A6">
      <w:pPr>
        <w:pStyle w:val="ANormal"/>
      </w:pPr>
    </w:p>
    <w:p w:rsidR="007314A6" w:rsidRPr="009240B5" w:rsidRDefault="007314A6" w:rsidP="007314A6">
      <w:pPr>
        <w:pStyle w:val="ANormal"/>
      </w:pPr>
      <w:r w:rsidRPr="009240B5">
        <w:tab/>
      </w:r>
      <w:r w:rsidR="008F64B3">
        <w:t xml:space="preserve">(3 mom. lika som i lagförslaget). </w:t>
      </w:r>
    </w:p>
    <w:p w:rsidR="007314A6" w:rsidRPr="009240B5" w:rsidRDefault="008E2896" w:rsidP="007314A6">
      <w:pPr>
        <w:pStyle w:val="ANormal"/>
      </w:pPr>
      <w:r>
        <w:tab/>
        <w:t>(7 mom. lika som i lagförslaget).</w:t>
      </w:r>
    </w:p>
    <w:p w:rsidR="007314A6" w:rsidRPr="009240B5" w:rsidRDefault="007314A6" w:rsidP="007314A6">
      <w:pPr>
        <w:pStyle w:val="ANormal"/>
      </w:pPr>
    </w:p>
    <w:p w:rsidR="007314A6" w:rsidRPr="009240B5" w:rsidRDefault="007314A6" w:rsidP="007314A6">
      <w:pPr>
        <w:pStyle w:val="LagParagraf"/>
      </w:pPr>
      <w:r w:rsidRPr="009240B5">
        <w:t>24 §</w:t>
      </w:r>
    </w:p>
    <w:p w:rsidR="007314A6" w:rsidRPr="009240B5" w:rsidRDefault="00EF0023" w:rsidP="007314A6">
      <w:pPr>
        <w:pStyle w:val="ANormal"/>
      </w:pPr>
      <w:r>
        <w:tab/>
        <w:t>(Lika som i lagförslaget).</w:t>
      </w:r>
    </w:p>
    <w:p w:rsidR="007314A6" w:rsidRPr="009240B5" w:rsidRDefault="007314A6" w:rsidP="007314A6">
      <w:pPr>
        <w:pStyle w:val="ANormal"/>
      </w:pPr>
    </w:p>
    <w:p w:rsidR="007314A6" w:rsidRPr="009240B5" w:rsidRDefault="007314A6" w:rsidP="007314A6">
      <w:pPr>
        <w:pStyle w:val="LagParagraf"/>
      </w:pPr>
      <w:r w:rsidRPr="009240B5">
        <w:t>26 §</w:t>
      </w:r>
    </w:p>
    <w:p w:rsidR="007314A6" w:rsidRPr="009240B5" w:rsidRDefault="007314A6" w:rsidP="007314A6">
      <w:pPr>
        <w:pStyle w:val="ANormal"/>
      </w:pPr>
      <w:r w:rsidRPr="009240B5">
        <w:tab/>
      </w:r>
      <w:r w:rsidR="007225BB">
        <w:t>(Lika som i lagförslaget).</w:t>
      </w:r>
    </w:p>
    <w:p w:rsidR="007314A6" w:rsidRPr="009240B5" w:rsidRDefault="007314A6" w:rsidP="007314A6">
      <w:pPr>
        <w:pStyle w:val="ANormal"/>
      </w:pPr>
    </w:p>
    <w:p w:rsidR="007314A6" w:rsidRPr="009240B5" w:rsidRDefault="004B094D" w:rsidP="007314A6">
      <w:pPr>
        <w:pStyle w:val="ANormal"/>
        <w:jc w:val="center"/>
      </w:pPr>
      <w:hyperlink w:anchor="_top" w:tooltip="Klicka för att gå till toppen av dokumentet" w:history="1">
        <w:r w:rsidR="007314A6" w:rsidRPr="009240B5">
          <w:rPr>
            <w:rStyle w:val="Hyperlnk"/>
            <w:color w:val="auto"/>
          </w:rPr>
          <w:t>__________________</w:t>
        </w:r>
      </w:hyperlink>
    </w:p>
    <w:p w:rsidR="007314A6" w:rsidRPr="009240B5" w:rsidRDefault="007314A6" w:rsidP="007314A6">
      <w:pPr>
        <w:pStyle w:val="ANormal"/>
      </w:pPr>
    </w:p>
    <w:p w:rsidR="007314A6" w:rsidRPr="009240B5" w:rsidRDefault="007314A6" w:rsidP="007314A6">
      <w:pPr>
        <w:pStyle w:val="ANormal"/>
      </w:pPr>
      <w:r w:rsidRPr="009240B5">
        <w:tab/>
      </w:r>
      <w:r w:rsidR="00471D89">
        <w:t>(Ikraftträdelsebestämmelsen lika som i lagförslaget).</w:t>
      </w:r>
    </w:p>
    <w:p w:rsidR="007314A6" w:rsidRPr="007314A6" w:rsidRDefault="007314A6" w:rsidP="007314A6">
      <w:pPr>
        <w:pStyle w:val="ANormal"/>
      </w:pPr>
    </w:p>
    <w:p w:rsidR="002401D0" w:rsidRDefault="004B094D">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1029A3">
            <w:pPr>
              <w:pStyle w:val="ANormal"/>
              <w:keepNext/>
            </w:pPr>
            <w:r>
              <w:t xml:space="preserve">Mariehamn den </w:t>
            </w:r>
            <w:r w:rsidR="001029A3">
              <w:t>23</w:t>
            </w:r>
            <w:r w:rsidR="007314A6">
              <w:t xml:space="preserve"> mars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7314A6">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7314A6">
            <w:pPr>
              <w:pStyle w:val="ANormal"/>
              <w:keepNext/>
            </w:pPr>
            <w:r>
              <w:t>Carina Strand</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1D" w:rsidRDefault="00D82E1D">
      <w:r>
        <w:separator/>
      </w:r>
    </w:p>
  </w:endnote>
  <w:endnote w:type="continuationSeparator" w:id="0">
    <w:p w:rsidR="00D82E1D" w:rsidRDefault="00D8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625F55">
      <w:rPr>
        <w:noProof/>
        <w:lang w:val="fi-FI"/>
      </w:rPr>
      <w:t>SMU0720162017.docx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1D" w:rsidRDefault="00D82E1D">
      <w:r>
        <w:separator/>
      </w:r>
    </w:p>
  </w:footnote>
  <w:footnote w:type="continuationSeparator" w:id="0">
    <w:p w:rsidR="00D82E1D" w:rsidRDefault="00D8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B094D">
      <w:rPr>
        <w:rStyle w:val="Sidnummer"/>
        <w:noProof/>
      </w:rPr>
      <w:t>4</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B094D">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A2"/>
    <w:rsid w:val="00015E9C"/>
    <w:rsid w:val="00051556"/>
    <w:rsid w:val="000A133B"/>
    <w:rsid w:val="000B2DC9"/>
    <w:rsid w:val="000E7C8C"/>
    <w:rsid w:val="000F7417"/>
    <w:rsid w:val="001029A3"/>
    <w:rsid w:val="00117225"/>
    <w:rsid w:val="00143DD4"/>
    <w:rsid w:val="0015337C"/>
    <w:rsid w:val="00183E93"/>
    <w:rsid w:val="001E1200"/>
    <w:rsid w:val="002401D0"/>
    <w:rsid w:val="002E1975"/>
    <w:rsid w:val="002E3F91"/>
    <w:rsid w:val="0030340F"/>
    <w:rsid w:val="00304EB1"/>
    <w:rsid w:val="00305E43"/>
    <w:rsid w:val="00325CD0"/>
    <w:rsid w:val="00356E59"/>
    <w:rsid w:val="0036359C"/>
    <w:rsid w:val="003647A5"/>
    <w:rsid w:val="003A58D8"/>
    <w:rsid w:val="003C5AB3"/>
    <w:rsid w:val="003E26A4"/>
    <w:rsid w:val="004355A2"/>
    <w:rsid w:val="00471D89"/>
    <w:rsid w:val="00494F3E"/>
    <w:rsid w:val="004B094D"/>
    <w:rsid w:val="00512E9C"/>
    <w:rsid w:val="0052107E"/>
    <w:rsid w:val="00565467"/>
    <w:rsid w:val="00574028"/>
    <w:rsid w:val="005A5AB7"/>
    <w:rsid w:val="005C0E3C"/>
    <w:rsid w:val="00625F55"/>
    <w:rsid w:val="006A58A3"/>
    <w:rsid w:val="006B2E9E"/>
    <w:rsid w:val="006D148D"/>
    <w:rsid w:val="00702D91"/>
    <w:rsid w:val="007225BB"/>
    <w:rsid w:val="00723B93"/>
    <w:rsid w:val="00730172"/>
    <w:rsid w:val="007314A6"/>
    <w:rsid w:val="00761472"/>
    <w:rsid w:val="007B4F3C"/>
    <w:rsid w:val="007B6E81"/>
    <w:rsid w:val="00800CFE"/>
    <w:rsid w:val="00811D50"/>
    <w:rsid w:val="00817B04"/>
    <w:rsid w:val="00850225"/>
    <w:rsid w:val="00860B4B"/>
    <w:rsid w:val="00877245"/>
    <w:rsid w:val="008E20A0"/>
    <w:rsid w:val="008E2896"/>
    <w:rsid w:val="008F64B3"/>
    <w:rsid w:val="0093410B"/>
    <w:rsid w:val="00957C36"/>
    <w:rsid w:val="009D73B2"/>
    <w:rsid w:val="009F7CE2"/>
    <w:rsid w:val="00A21B3B"/>
    <w:rsid w:val="00A51C10"/>
    <w:rsid w:val="00A850E7"/>
    <w:rsid w:val="00B32E91"/>
    <w:rsid w:val="00B36A8F"/>
    <w:rsid w:val="00B37AB2"/>
    <w:rsid w:val="00B57287"/>
    <w:rsid w:val="00B6130F"/>
    <w:rsid w:val="00B67C07"/>
    <w:rsid w:val="00B90DEC"/>
    <w:rsid w:val="00B954B4"/>
    <w:rsid w:val="00BC260C"/>
    <w:rsid w:val="00BF2BBE"/>
    <w:rsid w:val="00CA763C"/>
    <w:rsid w:val="00CB087E"/>
    <w:rsid w:val="00CD15EA"/>
    <w:rsid w:val="00CF700E"/>
    <w:rsid w:val="00D03698"/>
    <w:rsid w:val="00D10014"/>
    <w:rsid w:val="00D33147"/>
    <w:rsid w:val="00D6783A"/>
    <w:rsid w:val="00D82E1D"/>
    <w:rsid w:val="00DA2DD4"/>
    <w:rsid w:val="00DC45B2"/>
    <w:rsid w:val="00DD607F"/>
    <w:rsid w:val="00E25027"/>
    <w:rsid w:val="00E31A20"/>
    <w:rsid w:val="00E348D9"/>
    <w:rsid w:val="00EE1011"/>
    <w:rsid w:val="00EF0023"/>
    <w:rsid w:val="00F0461A"/>
    <w:rsid w:val="00F103D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4A6"/>
    <w:rPr>
      <w:sz w:val="24"/>
      <w:szCs w:val="24"/>
      <w:lang w:val="en-GB"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sv-SE"/>
    </w:rPr>
  </w:style>
  <w:style w:type="paragraph" w:styleId="Rubrik4">
    <w:name w:val="heading 4"/>
    <w:basedOn w:val="Normal"/>
    <w:next w:val="Normal"/>
    <w:qFormat/>
    <w:pPr>
      <w:keepNext/>
      <w:numPr>
        <w:ilvl w:val="3"/>
        <w:numId w:val="40"/>
      </w:numPr>
      <w:spacing w:before="240" w:after="60"/>
      <w:outlineLvl w:val="3"/>
    </w:pPr>
    <w:rPr>
      <w:b/>
      <w:bCs/>
      <w:sz w:val="28"/>
      <w:szCs w:val="28"/>
      <w:lang w:val="sv-SE"/>
    </w:rPr>
  </w:style>
  <w:style w:type="paragraph" w:styleId="Rubrik5">
    <w:name w:val="heading 5"/>
    <w:basedOn w:val="Normal"/>
    <w:next w:val="Normal"/>
    <w:qFormat/>
    <w:pPr>
      <w:numPr>
        <w:ilvl w:val="4"/>
        <w:numId w:val="41"/>
      </w:numPr>
      <w:spacing w:before="240" w:after="60"/>
      <w:outlineLvl w:val="4"/>
    </w:pPr>
    <w:rPr>
      <w:b/>
      <w:bCs/>
      <w:i/>
      <w:iCs/>
      <w:sz w:val="26"/>
      <w:szCs w:val="26"/>
      <w:lang w:val="sv-SE"/>
    </w:rPr>
  </w:style>
  <w:style w:type="paragraph" w:styleId="Rubrik6">
    <w:name w:val="heading 6"/>
    <w:basedOn w:val="Normal"/>
    <w:next w:val="Normal"/>
    <w:qFormat/>
    <w:pPr>
      <w:numPr>
        <w:ilvl w:val="5"/>
        <w:numId w:val="42"/>
      </w:numPr>
      <w:spacing w:before="240" w:after="60"/>
      <w:outlineLvl w:val="5"/>
    </w:pPr>
    <w:rPr>
      <w:b/>
      <w:bCs/>
      <w:sz w:val="22"/>
      <w:szCs w:val="22"/>
      <w:lang w:val="sv-SE"/>
    </w:rPr>
  </w:style>
  <w:style w:type="paragraph" w:styleId="Rubrik7">
    <w:name w:val="heading 7"/>
    <w:basedOn w:val="Normal"/>
    <w:next w:val="Normal"/>
    <w:qFormat/>
    <w:pPr>
      <w:numPr>
        <w:ilvl w:val="6"/>
        <w:numId w:val="43"/>
      </w:numPr>
      <w:spacing w:before="240" w:after="60"/>
      <w:outlineLvl w:val="6"/>
    </w:pPr>
    <w:rPr>
      <w:lang w:val="sv-SE"/>
    </w:rPr>
  </w:style>
  <w:style w:type="paragraph" w:styleId="Rubrik8">
    <w:name w:val="heading 8"/>
    <w:basedOn w:val="Normal"/>
    <w:next w:val="Normal"/>
    <w:qFormat/>
    <w:pPr>
      <w:numPr>
        <w:ilvl w:val="7"/>
        <w:numId w:val="44"/>
      </w:numPr>
      <w:spacing w:before="240" w:after="60"/>
      <w:outlineLvl w:val="7"/>
    </w:pPr>
    <w:rPr>
      <w:i/>
      <w:iCs/>
      <w:lang w:val="sv-SE"/>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rPr>
      <w:lang w:val="sv-SE"/>
    </w:rPr>
  </w:style>
  <w:style w:type="paragraph" w:styleId="Brdtextmedindrag">
    <w:name w:val="Body Text Indent"/>
    <w:basedOn w:val="Normal"/>
    <w:pPr>
      <w:spacing w:after="120"/>
      <w:ind w:left="283"/>
    </w:pPr>
    <w:rPr>
      <w:lang w:val="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lang w:val="sv-SE"/>
    </w:rPr>
  </w:style>
  <w:style w:type="paragraph" w:styleId="Sidfot">
    <w:name w:val="footer"/>
    <w:basedOn w:val="Normal"/>
    <w:pPr>
      <w:tabs>
        <w:tab w:val="right" w:pos="8165"/>
      </w:tabs>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lang w:val="sv-SE"/>
    </w:rPr>
  </w:style>
  <w:style w:type="paragraph" w:styleId="Innehll6">
    <w:name w:val="toc 6"/>
    <w:basedOn w:val="Normal"/>
    <w:next w:val="Normal"/>
    <w:autoRedefine/>
    <w:semiHidden/>
    <w:pPr>
      <w:ind w:left="1200"/>
    </w:pPr>
    <w:rPr>
      <w:lang w:val="sv-SE"/>
    </w:rPr>
  </w:style>
  <w:style w:type="paragraph" w:styleId="Innehll7">
    <w:name w:val="toc 7"/>
    <w:basedOn w:val="Normal"/>
    <w:next w:val="Normal"/>
    <w:autoRedefine/>
    <w:semiHidden/>
    <w:pPr>
      <w:ind w:left="1440"/>
    </w:pPr>
    <w:rPr>
      <w:lang w:val="sv-SE"/>
    </w:rPr>
  </w:style>
  <w:style w:type="paragraph" w:styleId="Innehll8">
    <w:name w:val="toc 8"/>
    <w:basedOn w:val="Normal"/>
    <w:next w:val="Normal"/>
    <w:autoRedefine/>
    <w:semiHidden/>
    <w:pPr>
      <w:ind w:left="1680"/>
    </w:pPr>
    <w:rPr>
      <w:lang w:val="sv-SE"/>
    </w:rPr>
  </w:style>
  <w:style w:type="paragraph" w:styleId="Innehll9">
    <w:name w:val="toc 9"/>
    <w:basedOn w:val="Normal"/>
    <w:next w:val="Normal"/>
    <w:autoRedefine/>
    <w:semiHidden/>
    <w:pPr>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731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A133B"/>
    <w:rPr>
      <w:rFonts w:ascii="Tahoma" w:hAnsi="Tahoma" w:cs="Tahoma"/>
      <w:sz w:val="16"/>
      <w:szCs w:val="16"/>
    </w:rPr>
  </w:style>
  <w:style w:type="character" w:customStyle="1" w:styleId="BallongtextChar">
    <w:name w:val="Ballongtext Char"/>
    <w:basedOn w:val="Standardstycketeckensnitt"/>
    <w:link w:val="Ballongtext"/>
    <w:rsid w:val="000A133B"/>
    <w:rPr>
      <w:rFonts w:ascii="Tahoma" w:hAnsi="Tahoma" w:cs="Tahoma"/>
      <w:sz w:val="16"/>
      <w:szCs w:val="16"/>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13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4</Pages>
  <Words>1228</Words>
  <Characters>6513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Social- och miljöutskottets betänkande nr 7/2016-2017</vt:lpstr>
    </vt:vector>
  </TitlesOfParts>
  <Company>Ålands lagting</Company>
  <LinksUpToDate>false</LinksUpToDate>
  <CharactersWithSpaces>7726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7/2016-2017</dc:title>
  <dc:creator>Jessica Laaksonen</dc:creator>
  <cp:lastModifiedBy>Jessica Laaksonen</cp:lastModifiedBy>
  <cp:revision>3</cp:revision>
  <cp:lastPrinted>2017-03-23T08:54:00Z</cp:lastPrinted>
  <dcterms:created xsi:type="dcterms:W3CDTF">2017-03-23T08:56:00Z</dcterms:created>
  <dcterms:modified xsi:type="dcterms:W3CDTF">2017-03-23T08:56:00Z</dcterms:modified>
</cp:coreProperties>
</file>