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10" w:rsidRPr="002E3CFB" w:rsidRDefault="001A0870">
      <w:pPr>
        <w:pStyle w:val="Vnster"/>
        <w:tabs>
          <w:tab w:val="clear" w:pos="1418"/>
          <w:tab w:val="left" w:pos="426"/>
          <w:tab w:val="left" w:pos="7371"/>
          <w:tab w:val="left" w:pos="9072"/>
        </w:tabs>
        <w:rPr>
          <w:rFonts w:ascii="Arial" w:hAnsi="Arial" w:cs="Arial"/>
          <w:b/>
          <w:sz w:val="20"/>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7" type="#_x0000_t75" style="position:absolute;left:0;text-align:left;margin-left:-3pt;margin-top:-14.65pt;width:208.5pt;height:61.1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v:shape>
        </w:pict>
      </w:r>
      <w:r w:rsidR="00B30810">
        <w:tab/>
      </w:r>
      <w:r w:rsidR="00B30810">
        <w:tab/>
      </w:r>
      <w:r w:rsidR="00B30810">
        <w:rPr>
          <w:b/>
          <w:bCs/>
        </w:rPr>
        <w:tab/>
      </w:r>
      <w:r w:rsidR="002E3CFB" w:rsidRPr="002E3CFB">
        <w:rPr>
          <w:rFonts w:ascii="Arial" w:hAnsi="Arial" w:cs="Arial"/>
          <w:b/>
          <w:sz w:val="20"/>
        </w:rPr>
        <w:t>BERÄTTELSE nr 1/201</w:t>
      </w:r>
      <w:r w:rsidR="00646681">
        <w:rPr>
          <w:rFonts w:ascii="Arial" w:hAnsi="Arial" w:cs="Arial"/>
          <w:b/>
          <w:sz w:val="20"/>
        </w:rPr>
        <w:t>5</w:t>
      </w:r>
      <w:r w:rsidR="002E3CFB" w:rsidRPr="002E3CFB">
        <w:rPr>
          <w:rFonts w:ascii="Arial" w:hAnsi="Arial" w:cs="Arial"/>
          <w:b/>
          <w:sz w:val="20"/>
        </w:rPr>
        <w:t>-201</w:t>
      </w:r>
      <w:r w:rsidR="00646681">
        <w:rPr>
          <w:rFonts w:ascii="Arial" w:hAnsi="Arial" w:cs="Arial"/>
          <w:b/>
          <w:sz w:val="20"/>
        </w:rPr>
        <w:t>6</w:t>
      </w:r>
    </w:p>
    <w:p w:rsidR="00B30810" w:rsidRPr="00882D7A" w:rsidRDefault="00B30810">
      <w:pPr>
        <w:tabs>
          <w:tab w:val="left" w:pos="5670"/>
          <w:tab w:val="left" w:pos="7371"/>
          <w:tab w:val="left" w:pos="9072"/>
        </w:tabs>
        <w:ind w:right="-18"/>
        <w:rPr>
          <w:rFonts w:ascii="Arial" w:hAnsi="Arial" w:cs="Arial"/>
          <w:sz w:val="20"/>
          <w:szCs w:val="20"/>
        </w:rPr>
      </w:pPr>
      <w:r>
        <w:rPr>
          <w:sz w:val="18"/>
        </w:rPr>
        <w:tab/>
      </w:r>
    </w:p>
    <w:p w:rsidR="00B30810" w:rsidRPr="0061490D" w:rsidRDefault="00B30810" w:rsidP="002E3CFB">
      <w:pPr>
        <w:tabs>
          <w:tab w:val="left" w:pos="5670"/>
        </w:tabs>
        <w:ind w:right="-18"/>
        <w:rPr>
          <w:rFonts w:ascii="Arial" w:hAnsi="Arial" w:cs="Arial"/>
          <w:sz w:val="18"/>
        </w:rPr>
      </w:pPr>
      <w:r>
        <w:tab/>
      </w:r>
      <w:r w:rsidRPr="0061490D">
        <w:rPr>
          <w:rFonts w:ascii="Arial" w:hAnsi="Arial" w:cs="Arial"/>
          <w:sz w:val="18"/>
        </w:rPr>
        <w:t>Datum</w:t>
      </w:r>
      <w:r w:rsidR="002E3CFB">
        <w:rPr>
          <w:rFonts w:ascii="Arial" w:hAnsi="Arial" w:cs="Arial"/>
          <w:sz w:val="18"/>
        </w:rPr>
        <w:tab/>
      </w:r>
      <w:r w:rsidR="0061490D">
        <w:rPr>
          <w:rFonts w:ascii="Arial" w:hAnsi="Arial" w:cs="Arial"/>
          <w:sz w:val="18"/>
        </w:rPr>
        <w:tab/>
      </w:r>
      <w:r w:rsidR="00646681">
        <w:rPr>
          <w:rFonts w:ascii="Arial" w:hAnsi="Arial" w:cs="Arial"/>
          <w:sz w:val="18"/>
        </w:rPr>
        <w:t>N</w:t>
      </w:r>
      <w:r w:rsidRPr="0061490D">
        <w:rPr>
          <w:rFonts w:ascii="Arial" w:hAnsi="Arial" w:cs="Arial"/>
          <w:sz w:val="18"/>
        </w:rPr>
        <w:t>r</w:t>
      </w:r>
    </w:p>
    <w:p w:rsidR="00B30810" w:rsidRPr="002E3CFB" w:rsidRDefault="007E6C98">
      <w:pPr>
        <w:tabs>
          <w:tab w:val="left" w:pos="5670"/>
          <w:tab w:val="left" w:pos="7371"/>
        </w:tabs>
        <w:ind w:right="-18"/>
        <w:rPr>
          <w:rFonts w:ascii="Arial" w:hAnsi="Arial" w:cs="Arial"/>
          <w:sz w:val="20"/>
          <w:szCs w:val="20"/>
        </w:rPr>
      </w:pPr>
      <w:r w:rsidRPr="0061490D">
        <w:rPr>
          <w:rFonts w:ascii="Arial" w:hAnsi="Arial" w:cs="Arial"/>
          <w:sz w:val="22"/>
          <w:szCs w:val="22"/>
        </w:rPr>
        <w:tab/>
      </w:r>
      <w:r w:rsidR="006E4DA2">
        <w:rPr>
          <w:rFonts w:ascii="Arial" w:hAnsi="Arial" w:cs="Arial"/>
          <w:sz w:val="20"/>
          <w:szCs w:val="20"/>
        </w:rPr>
        <w:t>18</w:t>
      </w:r>
      <w:r w:rsidR="00B30810" w:rsidRPr="002E3CFB">
        <w:rPr>
          <w:rFonts w:ascii="Arial" w:hAnsi="Arial" w:cs="Arial"/>
          <w:sz w:val="20"/>
          <w:szCs w:val="20"/>
        </w:rPr>
        <w:t>.</w:t>
      </w:r>
      <w:r w:rsidR="000F6069" w:rsidRPr="002E3CFB">
        <w:rPr>
          <w:rFonts w:ascii="Arial" w:hAnsi="Arial" w:cs="Arial"/>
          <w:sz w:val="20"/>
          <w:szCs w:val="20"/>
        </w:rPr>
        <w:t>0</w:t>
      </w:r>
      <w:r w:rsidR="00FA40BE" w:rsidRPr="002E3CFB">
        <w:rPr>
          <w:rFonts w:ascii="Arial" w:hAnsi="Arial" w:cs="Arial"/>
          <w:sz w:val="20"/>
          <w:szCs w:val="20"/>
        </w:rPr>
        <w:t>2</w:t>
      </w:r>
      <w:r w:rsidR="00B30810" w:rsidRPr="002E3CFB">
        <w:rPr>
          <w:rFonts w:ascii="Arial" w:hAnsi="Arial" w:cs="Arial"/>
          <w:sz w:val="20"/>
          <w:szCs w:val="20"/>
        </w:rPr>
        <w:t>.201</w:t>
      </w:r>
      <w:r w:rsidR="00646681">
        <w:rPr>
          <w:rFonts w:ascii="Arial" w:hAnsi="Arial" w:cs="Arial"/>
          <w:sz w:val="20"/>
          <w:szCs w:val="20"/>
        </w:rPr>
        <w:t>6</w:t>
      </w:r>
      <w:r w:rsidR="00B30810" w:rsidRPr="002E3CFB">
        <w:rPr>
          <w:rFonts w:ascii="Arial" w:hAnsi="Arial" w:cs="Arial"/>
          <w:sz w:val="20"/>
          <w:szCs w:val="20"/>
        </w:rPr>
        <w:tab/>
      </w:r>
      <w:r w:rsidR="002E3CFB" w:rsidRPr="002E3CFB">
        <w:rPr>
          <w:rFonts w:ascii="Arial" w:hAnsi="Arial" w:cs="Arial"/>
          <w:sz w:val="20"/>
          <w:szCs w:val="20"/>
        </w:rPr>
        <w:tab/>
      </w:r>
      <w:r w:rsidR="006E4DA2">
        <w:rPr>
          <w:rFonts w:ascii="Arial" w:hAnsi="Arial" w:cs="Arial"/>
          <w:sz w:val="20"/>
          <w:szCs w:val="20"/>
        </w:rPr>
        <w:t>9</w:t>
      </w:r>
      <w:r w:rsidR="00B30810" w:rsidRPr="002E3CFB">
        <w:rPr>
          <w:rFonts w:ascii="Arial" w:hAnsi="Arial" w:cs="Arial"/>
          <w:sz w:val="20"/>
          <w:szCs w:val="20"/>
        </w:rPr>
        <w:t>/201</w:t>
      </w:r>
      <w:r w:rsidR="00646681">
        <w:rPr>
          <w:rFonts w:ascii="Arial" w:hAnsi="Arial" w:cs="Arial"/>
          <w:sz w:val="20"/>
          <w:szCs w:val="20"/>
        </w:rPr>
        <w:t>6</w:t>
      </w:r>
    </w:p>
    <w:p w:rsidR="00B30810" w:rsidRPr="0061490D" w:rsidRDefault="00B30810" w:rsidP="00C3683F">
      <w:pPr>
        <w:tabs>
          <w:tab w:val="left" w:pos="5670"/>
        </w:tabs>
        <w:ind w:left="1134" w:right="-18"/>
        <w:rPr>
          <w:rFonts w:ascii="Arial" w:hAnsi="Arial" w:cs="Arial"/>
        </w:rPr>
      </w:pPr>
    </w:p>
    <w:p w:rsidR="007E6C98" w:rsidRDefault="007E6C98" w:rsidP="00C3683F">
      <w:pPr>
        <w:tabs>
          <w:tab w:val="left" w:pos="5670"/>
        </w:tabs>
        <w:ind w:left="1134" w:right="-18"/>
        <w:rPr>
          <w:rFonts w:ascii="Arial" w:hAnsi="Arial" w:cs="Arial"/>
          <w:bCs/>
        </w:rPr>
      </w:pPr>
    </w:p>
    <w:p w:rsidR="008069F8" w:rsidRDefault="008069F8" w:rsidP="00C3683F">
      <w:pPr>
        <w:tabs>
          <w:tab w:val="left" w:pos="5670"/>
        </w:tabs>
        <w:ind w:left="1134" w:right="-18"/>
        <w:rPr>
          <w:rFonts w:ascii="Arial" w:hAnsi="Arial" w:cs="Arial"/>
          <w:bCs/>
        </w:rPr>
      </w:pPr>
    </w:p>
    <w:p w:rsidR="006D5CD5" w:rsidRDefault="006D5CD5" w:rsidP="00C3683F">
      <w:pPr>
        <w:tabs>
          <w:tab w:val="left" w:pos="5670"/>
        </w:tabs>
        <w:ind w:left="1134" w:right="-18"/>
        <w:rPr>
          <w:rFonts w:ascii="Arial" w:hAnsi="Arial" w:cs="Arial"/>
          <w:bCs/>
        </w:rPr>
      </w:pPr>
    </w:p>
    <w:p w:rsidR="00A031B5" w:rsidRPr="0061490D" w:rsidRDefault="00A031B5" w:rsidP="00C3683F">
      <w:pPr>
        <w:tabs>
          <w:tab w:val="left" w:pos="5670"/>
        </w:tabs>
        <w:ind w:left="1134" w:right="-18"/>
        <w:rPr>
          <w:rFonts w:ascii="Arial" w:hAnsi="Arial" w:cs="Arial"/>
          <w:bCs/>
        </w:rPr>
      </w:pPr>
    </w:p>
    <w:p w:rsidR="001C7421" w:rsidRPr="0061490D" w:rsidRDefault="001C7421" w:rsidP="00C3683F">
      <w:pPr>
        <w:tabs>
          <w:tab w:val="left" w:pos="5670"/>
        </w:tabs>
        <w:ind w:left="1134" w:right="-18"/>
        <w:rPr>
          <w:rFonts w:ascii="Arial" w:hAnsi="Arial" w:cs="Arial"/>
          <w:bCs/>
        </w:rPr>
      </w:pPr>
    </w:p>
    <w:p w:rsidR="001C7421" w:rsidRPr="00FB3952" w:rsidRDefault="009D240C" w:rsidP="00C01C75">
      <w:pPr>
        <w:tabs>
          <w:tab w:val="left" w:pos="5670"/>
        </w:tabs>
        <w:ind w:left="1134" w:right="281"/>
        <w:rPr>
          <w:rFonts w:ascii="Arial" w:hAnsi="Arial" w:cs="Arial"/>
          <w:b/>
          <w:bCs/>
        </w:rPr>
      </w:pPr>
      <w:r w:rsidRPr="00FB3952">
        <w:rPr>
          <w:rFonts w:ascii="Arial" w:hAnsi="Arial" w:cs="Arial"/>
          <w:b/>
          <w:bCs/>
        </w:rPr>
        <w:t xml:space="preserve">Till </w:t>
      </w:r>
      <w:r w:rsidR="000F6069" w:rsidRPr="00FB3952">
        <w:rPr>
          <w:rFonts w:ascii="Arial" w:hAnsi="Arial" w:cs="Arial"/>
          <w:b/>
          <w:bCs/>
        </w:rPr>
        <w:t>Ålands lagting</w:t>
      </w:r>
    </w:p>
    <w:p w:rsidR="00B30810" w:rsidRDefault="00B30810" w:rsidP="00C01C75">
      <w:pPr>
        <w:tabs>
          <w:tab w:val="left" w:pos="5670"/>
        </w:tabs>
        <w:ind w:left="1134" w:right="281"/>
        <w:rPr>
          <w:rFonts w:ascii="Arial" w:hAnsi="Arial" w:cs="Arial"/>
          <w:bCs/>
        </w:rPr>
      </w:pPr>
    </w:p>
    <w:p w:rsidR="000F6069" w:rsidRDefault="000F6069" w:rsidP="00C01C75">
      <w:pPr>
        <w:tabs>
          <w:tab w:val="left" w:pos="5670"/>
        </w:tabs>
        <w:ind w:left="1134" w:right="281"/>
        <w:rPr>
          <w:rFonts w:ascii="Arial" w:hAnsi="Arial" w:cs="Arial"/>
          <w:bCs/>
        </w:rPr>
      </w:pPr>
    </w:p>
    <w:p w:rsidR="000F6069" w:rsidRPr="0061490D" w:rsidRDefault="000F6069" w:rsidP="00C01C75">
      <w:pPr>
        <w:tabs>
          <w:tab w:val="left" w:pos="5670"/>
        </w:tabs>
        <w:ind w:left="1134" w:right="281"/>
        <w:rPr>
          <w:rFonts w:ascii="Arial" w:hAnsi="Arial" w:cs="Arial"/>
        </w:rPr>
      </w:pPr>
    </w:p>
    <w:p w:rsidR="004B60FE" w:rsidRDefault="004B60FE" w:rsidP="00C01C75">
      <w:pPr>
        <w:tabs>
          <w:tab w:val="left" w:pos="5670"/>
        </w:tabs>
        <w:ind w:left="1134" w:right="281"/>
        <w:rPr>
          <w:rFonts w:ascii="Arial" w:hAnsi="Arial" w:cs="Arial"/>
        </w:rPr>
      </w:pPr>
    </w:p>
    <w:p w:rsidR="00CF3FCD" w:rsidRDefault="00CF3FCD" w:rsidP="00C01C75">
      <w:pPr>
        <w:tabs>
          <w:tab w:val="left" w:pos="5670"/>
        </w:tabs>
        <w:ind w:left="1134" w:right="281"/>
        <w:rPr>
          <w:rFonts w:ascii="Arial" w:hAnsi="Arial" w:cs="Arial"/>
        </w:rPr>
      </w:pPr>
    </w:p>
    <w:p w:rsidR="00CF3FCD" w:rsidRPr="0061490D" w:rsidRDefault="00CF3FCD" w:rsidP="00C01C75">
      <w:pPr>
        <w:tabs>
          <w:tab w:val="left" w:pos="5670"/>
        </w:tabs>
        <w:ind w:left="1134" w:right="281"/>
        <w:rPr>
          <w:rFonts w:ascii="Arial" w:hAnsi="Arial" w:cs="Arial"/>
        </w:rPr>
      </w:pPr>
    </w:p>
    <w:p w:rsidR="00CC7CA1" w:rsidRDefault="00CC7CA1" w:rsidP="00C01C75">
      <w:pPr>
        <w:tabs>
          <w:tab w:val="left" w:pos="5670"/>
        </w:tabs>
        <w:ind w:left="1134" w:right="281"/>
        <w:rPr>
          <w:rFonts w:ascii="Arial" w:hAnsi="Arial" w:cs="Arial"/>
        </w:rPr>
      </w:pPr>
    </w:p>
    <w:p w:rsidR="00FA40BE" w:rsidRDefault="00FA40BE" w:rsidP="00C01C75">
      <w:pPr>
        <w:tabs>
          <w:tab w:val="left" w:pos="5670"/>
        </w:tabs>
        <w:ind w:left="1134" w:right="281"/>
        <w:rPr>
          <w:rFonts w:ascii="Arial" w:hAnsi="Arial" w:cs="Arial"/>
        </w:rPr>
      </w:pPr>
    </w:p>
    <w:p w:rsidR="00BD5DD7" w:rsidRPr="007A4FB0" w:rsidRDefault="00FA40BE" w:rsidP="00C01C75">
      <w:pPr>
        <w:tabs>
          <w:tab w:val="left" w:pos="5670"/>
        </w:tabs>
        <w:ind w:left="1134" w:right="281"/>
        <w:rPr>
          <w:rFonts w:ascii="Arial" w:hAnsi="Arial" w:cs="Arial"/>
          <w:b/>
          <w:sz w:val="26"/>
          <w:szCs w:val="26"/>
        </w:rPr>
      </w:pPr>
      <w:r w:rsidRPr="007A4FB0">
        <w:rPr>
          <w:rFonts w:ascii="Arial" w:hAnsi="Arial" w:cs="Arial"/>
          <w:b/>
          <w:sz w:val="26"/>
          <w:szCs w:val="26"/>
        </w:rPr>
        <w:t xml:space="preserve">Landskapsrevisionens berättelse </w:t>
      </w:r>
      <w:r w:rsidR="007A4FB0" w:rsidRPr="007A4FB0">
        <w:rPr>
          <w:rFonts w:ascii="Arial" w:hAnsi="Arial" w:cs="Arial"/>
          <w:b/>
          <w:sz w:val="26"/>
          <w:szCs w:val="26"/>
        </w:rPr>
        <w:t>över effektivitetsrevisionen</w:t>
      </w:r>
      <w:r w:rsidR="00484BF4">
        <w:rPr>
          <w:rFonts w:ascii="Arial" w:hAnsi="Arial" w:cs="Arial"/>
          <w:b/>
          <w:sz w:val="26"/>
          <w:szCs w:val="26"/>
        </w:rPr>
        <w:t xml:space="preserve"> år 2015</w:t>
      </w:r>
    </w:p>
    <w:p w:rsidR="00BD5DD7" w:rsidRPr="00352381" w:rsidRDefault="00BD5DD7" w:rsidP="00C01C75">
      <w:pPr>
        <w:tabs>
          <w:tab w:val="left" w:pos="5670"/>
        </w:tabs>
        <w:ind w:left="1134" w:right="281"/>
        <w:rPr>
          <w:rFonts w:ascii="Arial" w:hAnsi="Arial" w:cs="Arial"/>
        </w:rPr>
      </w:pPr>
    </w:p>
    <w:p w:rsidR="004C1F88" w:rsidRPr="00352381" w:rsidRDefault="004C1F88" w:rsidP="00C01C75">
      <w:pPr>
        <w:tabs>
          <w:tab w:val="left" w:pos="5670"/>
        </w:tabs>
        <w:ind w:left="1134" w:right="281"/>
        <w:jc w:val="both"/>
        <w:rPr>
          <w:rFonts w:ascii="Arial" w:hAnsi="Arial" w:cs="Arial"/>
        </w:rPr>
      </w:pPr>
    </w:p>
    <w:p w:rsidR="00CF3FCD" w:rsidRPr="00FA40BE" w:rsidRDefault="00CF3FCD" w:rsidP="00715FA4">
      <w:pPr>
        <w:tabs>
          <w:tab w:val="left" w:pos="5670"/>
        </w:tabs>
        <w:ind w:left="1134" w:right="139"/>
      </w:pPr>
      <w:r w:rsidRPr="00FA40BE">
        <w:t>Landskapsrevisionen avger härmed till lagtinget sin i 7 § 1 mom. landskapslagen om Landskapsrevisionen avsedda berättelse med resultaten från effektivitetsrevisionen.</w:t>
      </w:r>
    </w:p>
    <w:p w:rsidR="00CF3FCD" w:rsidRPr="00FA40BE" w:rsidRDefault="00CF3FCD" w:rsidP="00CF3FCD">
      <w:pPr>
        <w:tabs>
          <w:tab w:val="left" w:pos="5670"/>
        </w:tabs>
        <w:ind w:left="1134" w:right="139"/>
      </w:pPr>
    </w:p>
    <w:p w:rsidR="00CF3FCD" w:rsidRPr="00FA40BE" w:rsidRDefault="00CF3FCD" w:rsidP="00CF3FCD">
      <w:pPr>
        <w:tabs>
          <w:tab w:val="left" w:pos="5670"/>
        </w:tabs>
        <w:ind w:left="1134" w:right="139"/>
      </w:pPr>
    </w:p>
    <w:p w:rsidR="00CF3FCD" w:rsidRPr="00FA40BE" w:rsidRDefault="00CF3FCD" w:rsidP="00CF3FCD">
      <w:pPr>
        <w:tabs>
          <w:tab w:val="left" w:pos="5670"/>
        </w:tabs>
        <w:ind w:left="1134" w:right="139"/>
      </w:pPr>
    </w:p>
    <w:p w:rsidR="00CF3FCD" w:rsidRPr="00FA40BE" w:rsidRDefault="00CF3FCD" w:rsidP="00CF3FCD">
      <w:pPr>
        <w:tabs>
          <w:tab w:val="left" w:pos="5670"/>
        </w:tabs>
        <w:ind w:left="1134" w:right="139"/>
      </w:pPr>
    </w:p>
    <w:p w:rsidR="00CF3FCD" w:rsidRPr="00FA40BE" w:rsidRDefault="00CF3FCD" w:rsidP="00CF3FCD">
      <w:pPr>
        <w:tabs>
          <w:tab w:val="left" w:pos="5670"/>
        </w:tabs>
        <w:ind w:left="1134" w:right="139"/>
      </w:pPr>
    </w:p>
    <w:p w:rsidR="00CF3FCD" w:rsidRPr="00FA40BE" w:rsidRDefault="00CF3FCD" w:rsidP="00CF3FCD">
      <w:pPr>
        <w:pStyle w:val="Brdtext"/>
        <w:ind w:left="1134" w:right="139"/>
        <w:rPr>
          <w:lang w:val="de-DE"/>
        </w:rPr>
      </w:pPr>
    </w:p>
    <w:p w:rsidR="00CF3FCD" w:rsidRDefault="00CF3FCD" w:rsidP="00CF3FCD">
      <w:pPr>
        <w:tabs>
          <w:tab w:val="left" w:pos="2552"/>
        </w:tabs>
        <w:ind w:left="1134" w:right="139"/>
      </w:pPr>
      <w:r>
        <w:t xml:space="preserve">Mariehamn, den </w:t>
      </w:r>
      <w:r w:rsidR="006E4DA2">
        <w:t>18</w:t>
      </w:r>
      <w:r>
        <w:t xml:space="preserve"> februari 201</w:t>
      </w:r>
      <w:r w:rsidR="00646681">
        <w:t>6</w:t>
      </w:r>
    </w:p>
    <w:p w:rsidR="00CF3FCD" w:rsidRDefault="00CF3FCD" w:rsidP="00CF3FCD">
      <w:pPr>
        <w:tabs>
          <w:tab w:val="left" w:pos="2552"/>
        </w:tabs>
        <w:ind w:left="1134" w:right="139"/>
      </w:pPr>
    </w:p>
    <w:p w:rsidR="00CF3FCD" w:rsidRDefault="00CF3FCD" w:rsidP="00CF3FCD">
      <w:pPr>
        <w:tabs>
          <w:tab w:val="left" w:pos="2552"/>
        </w:tabs>
        <w:ind w:left="1134" w:right="139"/>
      </w:pPr>
    </w:p>
    <w:p w:rsidR="00CF3FCD" w:rsidRDefault="00CF3FCD" w:rsidP="00CF3FCD">
      <w:pPr>
        <w:tabs>
          <w:tab w:val="left" w:pos="2552"/>
        </w:tabs>
        <w:ind w:left="1134" w:right="139"/>
      </w:pPr>
    </w:p>
    <w:p w:rsidR="00CF3FCD" w:rsidRDefault="00CF3FCD" w:rsidP="00CF3FCD">
      <w:pPr>
        <w:tabs>
          <w:tab w:val="left" w:pos="2552"/>
        </w:tabs>
        <w:ind w:left="1134" w:right="139"/>
      </w:pPr>
    </w:p>
    <w:p w:rsidR="00CF3FCD" w:rsidRDefault="00CF3FCD" w:rsidP="00CF3FCD">
      <w:pPr>
        <w:tabs>
          <w:tab w:val="left" w:pos="2552"/>
        </w:tabs>
        <w:ind w:left="1134" w:right="139"/>
      </w:pPr>
      <w:r>
        <w:t>Dan Bergman</w:t>
      </w:r>
    </w:p>
    <w:p w:rsidR="00CF3FCD" w:rsidRDefault="00646681" w:rsidP="00CF3FCD">
      <w:pPr>
        <w:tabs>
          <w:tab w:val="left" w:pos="2552"/>
        </w:tabs>
        <w:ind w:left="1134" w:right="139"/>
      </w:pPr>
      <w:r>
        <w:t>L</w:t>
      </w:r>
      <w:r w:rsidR="00CF3FCD">
        <w:t>andskapsrevisor</w:t>
      </w:r>
    </w:p>
    <w:p w:rsidR="00CF3FCD" w:rsidRPr="0061490D" w:rsidRDefault="00CF3FCD" w:rsidP="00CF3FCD">
      <w:pPr>
        <w:tabs>
          <w:tab w:val="left" w:pos="5670"/>
        </w:tabs>
        <w:ind w:left="1134" w:right="-18"/>
        <w:rPr>
          <w:rFonts w:ascii="Arial" w:hAnsi="Arial" w:cs="Arial"/>
        </w:rPr>
      </w:pPr>
    </w:p>
    <w:p w:rsidR="004C1F88" w:rsidRPr="00352381" w:rsidRDefault="00CF3FCD" w:rsidP="00C01C75">
      <w:pPr>
        <w:tabs>
          <w:tab w:val="left" w:pos="5670"/>
        </w:tabs>
        <w:ind w:left="1134" w:right="281"/>
        <w:jc w:val="both"/>
        <w:rPr>
          <w:rFonts w:ascii="Arial" w:hAnsi="Arial" w:cs="Arial"/>
        </w:rPr>
      </w:pPr>
      <w:r>
        <w:rPr>
          <w:rFonts w:ascii="Arial" w:hAnsi="Arial" w:cs="Arial"/>
        </w:rPr>
        <w:br w:type="page"/>
      </w:r>
    </w:p>
    <w:p w:rsidR="004C1F88" w:rsidRPr="00352381" w:rsidRDefault="004C1F88" w:rsidP="00C01C75">
      <w:pPr>
        <w:tabs>
          <w:tab w:val="left" w:pos="5670"/>
        </w:tabs>
        <w:ind w:left="1134" w:right="281"/>
        <w:jc w:val="both"/>
        <w:rPr>
          <w:rFonts w:ascii="Arial" w:hAnsi="Arial" w:cs="Arial"/>
        </w:rPr>
      </w:pPr>
    </w:p>
    <w:p w:rsidR="00FA40BE" w:rsidRDefault="00FA40BE" w:rsidP="00C01C75">
      <w:pPr>
        <w:tabs>
          <w:tab w:val="left" w:pos="5670"/>
        </w:tabs>
        <w:ind w:left="1134" w:right="281"/>
        <w:rPr>
          <w:rFonts w:ascii="Arial" w:hAnsi="Arial" w:cs="Arial"/>
        </w:rPr>
      </w:pPr>
    </w:p>
    <w:p w:rsidR="00373EC1" w:rsidRPr="00352381" w:rsidRDefault="00373EC1" w:rsidP="00C01C75">
      <w:pPr>
        <w:tabs>
          <w:tab w:val="left" w:pos="5670"/>
        </w:tabs>
        <w:ind w:left="1134" w:right="281"/>
        <w:rPr>
          <w:rFonts w:ascii="Arial" w:hAnsi="Arial" w:cs="Arial"/>
        </w:rPr>
      </w:pPr>
    </w:p>
    <w:p w:rsidR="002E3CFB" w:rsidRDefault="002E3CFB" w:rsidP="002E3CFB">
      <w:pPr>
        <w:pStyle w:val="Innehllsfrteckningsrubrik"/>
        <w:ind w:left="1134" w:right="281"/>
        <w:rPr>
          <w:rFonts w:ascii="Arial" w:hAnsi="Arial" w:cs="Arial"/>
          <w:color w:val="auto"/>
          <w:sz w:val="24"/>
          <w:szCs w:val="24"/>
          <w:lang w:val="sv-SE"/>
        </w:rPr>
      </w:pPr>
      <w:r w:rsidRPr="002E3CFB">
        <w:rPr>
          <w:rFonts w:ascii="Arial" w:hAnsi="Arial" w:cs="Arial"/>
          <w:color w:val="auto"/>
          <w:sz w:val="24"/>
          <w:szCs w:val="24"/>
          <w:lang w:val="sv-SE"/>
        </w:rPr>
        <w:t>INNEHÅLL</w:t>
      </w:r>
    </w:p>
    <w:p w:rsidR="00A331E9" w:rsidRPr="00A331E9" w:rsidRDefault="00A331E9" w:rsidP="00A331E9">
      <w:pPr>
        <w:ind w:left="1134"/>
        <w:rPr>
          <w:lang w:eastAsia="sv-FI"/>
        </w:rPr>
      </w:pPr>
    </w:p>
    <w:p w:rsidR="006E4DA2" w:rsidRPr="006E4DA2" w:rsidRDefault="002E3CFB" w:rsidP="00D06108">
      <w:pPr>
        <w:pStyle w:val="Innehll1"/>
        <w:ind w:left="1560" w:hanging="426"/>
        <w:rPr>
          <w:rFonts w:ascii="Arial" w:eastAsiaTheme="minorEastAsia" w:hAnsi="Arial" w:cs="Arial"/>
          <w:noProof/>
          <w:sz w:val="22"/>
          <w:szCs w:val="22"/>
          <w:lang w:val="sv-FI" w:eastAsia="sv-FI"/>
        </w:rPr>
      </w:pPr>
      <w:r w:rsidRPr="006E4DA2">
        <w:rPr>
          <w:rFonts w:ascii="Arial" w:hAnsi="Arial" w:cs="Arial"/>
          <w:sz w:val="22"/>
          <w:szCs w:val="22"/>
        </w:rPr>
        <w:fldChar w:fldCharType="begin"/>
      </w:r>
      <w:r w:rsidRPr="006E4DA2">
        <w:rPr>
          <w:rFonts w:ascii="Arial" w:hAnsi="Arial" w:cs="Arial"/>
          <w:sz w:val="22"/>
          <w:szCs w:val="22"/>
        </w:rPr>
        <w:instrText xml:space="preserve"> TOC \o "1-3" \h \z \u </w:instrText>
      </w:r>
      <w:r w:rsidRPr="006E4DA2">
        <w:rPr>
          <w:rFonts w:ascii="Arial" w:hAnsi="Arial" w:cs="Arial"/>
          <w:sz w:val="22"/>
          <w:szCs w:val="22"/>
        </w:rPr>
        <w:fldChar w:fldCharType="separate"/>
      </w:r>
      <w:hyperlink w:anchor="_Toc443553619" w:history="1">
        <w:r w:rsidR="006E4DA2" w:rsidRPr="006E4DA2">
          <w:rPr>
            <w:rStyle w:val="Hyperlnk"/>
            <w:rFonts w:ascii="Arial" w:hAnsi="Arial" w:cs="Arial"/>
            <w:noProof/>
            <w:sz w:val="22"/>
            <w:szCs w:val="22"/>
          </w:rPr>
          <w:t>1.</w:t>
        </w:r>
        <w:r w:rsidR="006E4DA2" w:rsidRPr="006E4DA2">
          <w:rPr>
            <w:rFonts w:ascii="Arial" w:eastAsiaTheme="minorEastAsia" w:hAnsi="Arial" w:cs="Arial"/>
            <w:noProof/>
            <w:sz w:val="22"/>
            <w:szCs w:val="22"/>
            <w:lang w:val="sv-FI" w:eastAsia="sv-FI"/>
          </w:rPr>
          <w:tab/>
        </w:r>
        <w:r w:rsidR="006E4DA2" w:rsidRPr="006E4DA2">
          <w:rPr>
            <w:rStyle w:val="Hyperlnk"/>
            <w:rFonts w:ascii="Arial" w:hAnsi="Arial" w:cs="Arial"/>
            <w:noProof/>
            <w:sz w:val="22"/>
            <w:szCs w:val="22"/>
          </w:rPr>
          <w:t>Inledning</w:t>
        </w:r>
        <w:r w:rsidR="006E4DA2" w:rsidRPr="006E4DA2">
          <w:rPr>
            <w:rFonts w:ascii="Arial" w:hAnsi="Arial" w:cs="Arial"/>
            <w:noProof/>
            <w:webHidden/>
            <w:sz w:val="22"/>
            <w:szCs w:val="22"/>
          </w:rPr>
          <w:tab/>
        </w:r>
        <w:r w:rsidR="006E4DA2" w:rsidRPr="006E4DA2">
          <w:rPr>
            <w:rFonts w:ascii="Arial" w:hAnsi="Arial" w:cs="Arial"/>
            <w:noProof/>
            <w:webHidden/>
            <w:sz w:val="22"/>
            <w:szCs w:val="22"/>
          </w:rPr>
          <w:fldChar w:fldCharType="begin"/>
        </w:r>
        <w:r w:rsidR="006E4DA2" w:rsidRPr="006E4DA2">
          <w:rPr>
            <w:rFonts w:ascii="Arial" w:hAnsi="Arial" w:cs="Arial"/>
            <w:noProof/>
            <w:webHidden/>
            <w:sz w:val="22"/>
            <w:szCs w:val="22"/>
          </w:rPr>
          <w:instrText xml:space="preserve"> PAGEREF _Toc443553619 \h </w:instrText>
        </w:r>
        <w:r w:rsidR="006E4DA2" w:rsidRPr="006E4DA2">
          <w:rPr>
            <w:rFonts w:ascii="Arial" w:hAnsi="Arial" w:cs="Arial"/>
            <w:noProof/>
            <w:webHidden/>
            <w:sz w:val="22"/>
            <w:szCs w:val="22"/>
          </w:rPr>
        </w:r>
        <w:r w:rsidR="006E4DA2" w:rsidRPr="006E4DA2">
          <w:rPr>
            <w:rFonts w:ascii="Arial" w:hAnsi="Arial" w:cs="Arial"/>
            <w:noProof/>
            <w:webHidden/>
            <w:sz w:val="22"/>
            <w:szCs w:val="22"/>
          </w:rPr>
          <w:fldChar w:fldCharType="separate"/>
        </w:r>
        <w:r w:rsidR="005F31F9">
          <w:rPr>
            <w:rFonts w:ascii="Arial" w:hAnsi="Arial" w:cs="Arial"/>
            <w:noProof/>
            <w:webHidden/>
            <w:sz w:val="22"/>
            <w:szCs w:val="22"/>
          </w:rPr>
          <w:t>3</w:t>
        </w:r>
        <w:r w:rsidR="006E4DA2" w:rsidRPr="006E4DA2">
          <w:rPr>
            <w:rFonts w:ascii="Arial" w:hAnsi="Arial" w:cs="Arial"/>
            <w:noProof/>
            <w:webHidden/>
            <w:sz w:val="22"/>
            <w:szCs w:val="22"/>
          </w:rPr>
          <w:fldChar w:fldCharType="end"/>
        </w:r>
      </w:hyperlink>
    </w:p>
    <w:p w:rsidR="006E4DA2" w:rsidRPr="006E4DA2" w:rsidRDefault="001A0870" w:rsidP="00D06108">
      <w:pPr>
        <w:pStyle w:val="Innehll1"/>
        <w:ind w:left="1560" w:hanging="426"/>
        <w:rPr>
          <w:rFonts w:ascii="Arial" w:eastAsiaTheme="minorEastAsia" w:hAnsi="Arial" w:cs="Arial"/>
          <w:noProof/>
          <w:sz w:val="22"/>
          <w:szCs w:val="22"/>
          <w:lang w:val="sv-FI" w:eastAsia="sv-FI"/>
        </w:rPr>
      </w:pPr>
      <w:hyperlink w:anchor="_Toc443553620" w:history="1">
        <w:r w:rsidR="006E4DA2" w:rsidRPr="006E4DA2">
          <w:rPr>
            <w:rStyle w:val="Hyperlnk"/>
            <w:rFonts w:ascii="Arial" w:hAnsi="Arial" w:cs="Arial"/>
            <w:noProof/>
            <w:sz w:val="22"/>
            <w:szCs w:val="22"/>
          </w:rPr>
          <w:t>2.</w:t>
        </w:r>
        <w:r w:rsidR="006E4DA2" w:rsidRPr="006E4DA2">
          <w:rPr>
            <w:rFonts w:ascii="Arial" w:eastAsiaTheme="minorEastAsia" w:hAnsi="Arial" w:cs="Arial"/>
            <w:noProof/>
            <w:sz w:val="22"/>
            <w:szCs w:val="22"/>
            <w:lang w:val="sv-FI" w:eastAsia="sv-FI"/>
          </w:rPr>
          <w:tab/>
        </w:r>
        <w:r w:rsidR="006E4DA2" w:rsidRPr="006E4DA2">
          <w:rPr>
            <w:rStyle w:val="Hyperlnk"/>
            <w:rFonts w:ascii="Arial" w:hAnsi="Arial" w:cs="Arial"/>
            <w:noProof/>
            <w:sz w:val="22"/>
            <w:szCs w:val="22"/>
          </w:rPr>
          <w:t>Granskning av Ålands hälso- och sjukvård</w:t>
        </w:r>
        <w:r w:rsidR="006E4DA2" w:rsidRPr="006E4DA2">
          <w:rPr>
            <w:rFonts w:ascii="Arial" w:hAnsi="Arial" w:cs="Arial"/>
            <w:noProof/>
            <w:webHidden/>
            <w:sz w:val="22"/>
            <w:szCs w:val="22"/>
          </w:rPr>
          <w:tab/>
        </w:r>
        <w:r w:rsidR="006E4DA2" w:rsidRPr="006E4DA2">
          <w:rPr>
            <w:rFonts w:ascii="Arial" w:hAnsi="Arial" w:cs="Arial"/>
            <w:noProof/>
            <w:webHidden/>
            <w:sz w:val="22"/>
            <w:szCs w:val="22"/>
          </w:rPr>
          <w:fldChar w:fldCharType="begin"/>
        </w:r>
        <w:r w:rsidR="006E4DA2" w:rsidRPr="006E4DA2">
          <w:rPr>
            <w:rFonts w:ascii="Arial" w:hAnsi="Arial" w:cs="Arial"/>
            <w:noProof/>
            <w:webHidden/>
            <w:sz w:val="22"/>
            <w:szCs w:val="22"/>
          </w:rPr>
          <w:instrText xml:space="preserve"> PAGEREF _Toc443553620 \h </w:instrText>
        </w:r>
        <w:r w:rsidR="006E4DA2" w:rsidRPr="006E4DA2">
          <w:rPr>
            <w:rFonts w:ascii="Arial" w:hAnsi="Arial" w:cs="Arial"/>
            <w:noProof/>
            <w:webHidden/>
            <w:sz w:val="22"/>
            <w:szCs w:val="22"/>
          </w:rPr>
        </w:r>
        <w:r w:rsidR="006E4DA2" w:rsidRPr="006E4DA2">
          <w:rPr>
            <w:rFonts w:ascii="Arial" w:hAnsi="Arial" w:cs="Arial"/>
            <w:noProof/>
            <w:webHidden/>
            <w:sz w:val="22"/>
            <w:szCs w:val="22"/>
          </w:rPr>
          <w:fldChar w:fldCharType="separate"/>
        </w:r>
        <w:r w:rsidR="005F31F9">
          <w:rPr>
            <w:rFonts w:ascii="Arial" w:hAnsi="Arial" w:cs="Arial"/>
            <w:noProof/>
            <w:webHidden/>
            <w:sz w:val="22"/>
            <w:szCs w:val="22"/>
          </w:rPr>
          <w:t>3</w:t>
        </w:r>
        <w:r w:rsidR="006E4DA2" w:rsidRPr="006E4DA2">
          <w:rPr>
            <w:rFonts w:ascii="Arial" w:hAnsi="Arial" w:cs="Arial"/>
            <w:noProof/>
            <w:webHidden/>
            <w:sz w:val="22"/>
            <w:szCs w:val="22"/>
          </w:rPr>
          <w:fldChar w:fldCharType="end"/>
        </w:r>
      </w:hyperlink>
    </w:p>
    <w:p w:rsidR="006E4DA2" w:rsidRPr="006E4DA2" w:rsidRDefault="001A0870" w:rsidP="00D06108">
      <w:pPr>
        <w:pStyle w:val="Innehll1"/>
        <w:ind w:left="1560" w:hanging="426"/>
        <w:rPr>
          <w:rFonts w:ascii="Arial" w:eastAsiaTheme="minorEastAsia" w:hAnsi="Arial" w:cs="Arial"/>
          <w:noProof/>
          <w:sz w:val="22"/>
          <w:szCs w:val="22"/>
          <w:lang w:val="sv-FI" w:eastAsia="sv-FI"/>
        </w:rPr>
      </w:pPr>
      <w:hyperlink w:anchor="_Toc443553621" w:history="1">
        <w:r w:rsidR="006E4DA2" w:rsidRPr="006E4DA2">
          <w:rPr>
            <w:rStyle w:val="Hyperlnk"/>
            <w:rFonts w:ascii="Arial" w:hAnsi="Arial" w:cs="Arial"/>
            <w:noProof/>
            <w:sz w:val="22"/>
            <w:szCs w:val="22"/>
          </w:rPr>
          <w:t>3.</w:t>
        </w:r>
        <w:r w:rsidR="006E4DA2" w:rsidRPr="006E4DA2">
          <w:rPr>
            <w:rFonts w:ascii="Arial" w:eastAsiaTheme="minorEastAsia" w:hAnsi="Arial" w:cs="Arial"/>
            <w:noProof/>
            <w:sz w:val="22"/>
            <w:szCs w:val="22"/>
            <w:lang w:val="sv-FI" w:eastAsia="sv-FI"/>
          </w:rPr>
          <w:tab/>
        </w:r>
        <w:r w:rsidR="006E4DA2" w:rsidRPr="006E4DA2">
          <w:rPr>
            <w:rStyle w:val="Hyperlnk"/>
            <w:rFonts w:ascii="Arial" w:hAnsi="Arial" w:cs="Arial"/>
            <w:noProof/>
            <w:sz w:val="22"/>
            <w:szCs w:val="22"/>
          </w:rPr>
          <w:t>Granskning av museibyrån</w:t>
        </w:r>
        <w:r w:rsidR="006E4DA2" w:rsidRPr="006E4DA2">
          <w:rPr>
            <w:rFonts w:ascii="Arial" w:hAnsi="Arial" w:cs="Arial"/>
            <w:noProof/>
            <w:webHidden/>
            <w:sz w:val="22"/>
            <w:szCs w:val="22"/>
          </w:rPr>
          <w:tab/>
        </w:r>
        <w:r w:rsidR="006E4DA2" w:rsidRPr="006E4DA2">
          <w:rPr>
            <w:rFonts w:ascii="Arial" w:hAnsi="Arial" w:cs="Arial"/>
            <w:noProof/>
            <w:webHidden/>
            <w:sz w:val="22"/>
            <w:szCs w:val="22"/>
          </w:rPr>
          <w:fldChar w:fldCharType="begin"/>
        </w:r>
        <w:r w:rsidR="006E4DA2" w:rsidRPr="006E4DA2">
          <w:rPr>
            <w:rFonts w:ascii="Arial" w:hAnsi="Arial" w:cs="Arial"/>
            <w:noProof/>
            <w:webHidden/>
            <w:sz w:val="22"/>
            <w:szCs w:val="22"/>
          </w:rPr>
          <w:instrText xml:space="preserve"> PAGEREF _Toc443553621 \h </w:instrText>
        </w:r>
        <w:r w:rsidR="006E4DA2" w:rsidRPr="006E4DA2">
          <w:rPr>
            <w:rFonts w:ascii="Arial" w:hAnsi="Arial" w:cs="Arial"/>
            <w:noProof/>
            <w:webHidden/>
            <w:sz w:val="22"/>
            <w:szCs w:val="22"/>
          </w:rPr>
        </w:r>
        <w:r w:rsidR="006E4DA2" w:rsidRPr="006E4DA2">
          <w:rPr>
            <w:rFonts w:ascii="Arial" w:hAnsi="Arial" w:cs="Arial"/>
            <w:noProof/>
            <w:webHidden/>
            <w:sz w:val="22"/>
            <w:szCs w:val="22"/>
          </w:rPr>
          <w:fldChar w:fldCharType="separate"/>
        </w:r>
        <w:r w:rsidR="005F31F9">
          <w:rPr>
            <w:rFonts w:ascii="Arial" w:hAnsi="Arial" w:cs="Arial"/>
            <w:noProof/>
            <w:webHidden/>
            <w:sz w:val="22"/>
            <w:szCs w:val="22"/>
          </w:rPr>
          <w:t>5</w:t>
        </w:r>
        <w:r w:rsidR="006E4DA2" w:rsidRPr="006E4DA2">
          <w:rPr>
            <w:rFonts w:ascii="Arial" w:hAnsi="Arial" w:cs="Arial"/>
            <w:noProof/>
            <w:webHidden/>
            <w:sz w:val="22"/>
            <w:szCs w:val="22"/>
          </w:rPr>
          <w:fldChar w:fldCharType="end"/>
        </w:r>
      </w:hyperlink>
    </w:p>
    <w:p w:rsidR="006E4DA2" w:rsidRPr="006E4DA2" w:rsidRDefault="001A0870" w:rsidP="00D06108">
      <w:pPr>
        <w:pStyle w:val="Innehll1"/>
        <w:ind w:left="1560" w:hanging="426"/>
        <w:rPr>
          <w:rFonts w:ascii="Arial" w:eastAsiaTheme="minorEastAsia" w:hAnsi="Arial" w:cs="Arial"/>
          <w:noProof/>
          <w:sz w:val="22"/>
          <w:szCs w:val="22"/>
          <w:lang w:val="sv-FI" w:eastAsia="sv-FI"/>
        </w:rPr>
      </w:pPr>
      <w:hyperlink w:anchor="_Toc443553622" w:history="1">
        <w:r w:rsidR="006E4DA2" w:rsidRPr="006E4DA2">
          <w:rPr>
            <w:rStyle w:val="Hyperlnk"/>
            <w:rFonts w:ascii="Arial" w:hAnsi="Arial" w:cs="Arial"/>
            <w:noProof/>
            <w:sz w:val="22"/>
            <w:szCs w:val="22"/>
          </w:rPr>
          <w:t>4.</w:t>
        </w:r>
        <w:r w:rsidR="006E4DA2" w:rsidRPr="006E4DA2">
          <w:rPr>
            <w:rFonts w:ascii="Arial" w:eastAsiaTheme="minorEastAsia" w:hAnsi="Arial" w:cs="Arial"/>
            <w:noProof/>
            <w:sz w:val="22"/>
            <w:szCs w:val="22"/>
            <w:lang w:val="sv-FI" w:eastAsia="sv-FI"/>
          </w:rPr>
          <w:tab/>
        </w:r>
        <w:r w:rsidR="006E4DA2" w:rsidRPr="006E4DA2">
          <w:rPr>
            <w:rStyle w:val="Hyperlnk"/>
            <w:rFonts w:ascii="Arial" w:hAnsi="Arial" w:cs="Arial"/>
            <w:noProof/>
            <w:sz w:val="22"/>
            <w:szCs w:val="22"/>
          </w:rPr>
          <w:t>Granskning av Ålands miljö- och hälsoskyddsmyndighet</w:t>
        </w:r>
        <w:r w:rsidR="006E4DA2" w:rsidRPr="006E4DA2">
          <w:rPr>
            <w:rFonts w:ascii="Arial" w:hAnsi="Arial" w:cs="Arial"/>
            <w:noProof/>
            <w:webHidden/>
            <w:sz w:val="22"/>
            <w:szCs w:val="22"/>
          </w:rPr>
          <w:tab/>
        </w:r>
        <w:r w:rsidR="006E4DA2" w:rsidRPr="006E4DA2">
          <w:rPr>
            <w:rFonts w:ascii="Arial" w:hAnsi="Arial" w:cs="Arial"/>
            <w:noProof/>
            <w:webHidden/>
            <w:sz w:val="22"/>
            <w:szCs w:val="22"/>
          </w:rPr>
          <w:fldChar w:fldCharType="begin"/>
        </w:r>
        <w:r w:rsidR="006E4DA2" w:rsidRPr="006E4DA2">
          <w:rPr>
            <w:rFonts w:ascii="Arial" w:hAnsi="Arial" w:cs="Arial"/>
            <w:noProof/>
            <w:webHidden/>
            <w:sz w:val="22"/>
            <w:szCs w:val="22"/>
          </w:rPr>
          <w:instrText xml:space="preserve"> PAGEREF _Toc443553622 \h </w:instrText>
        </w:r>
        <w:r w:rsidR="006E4DA2" w:rsidRPr="006E4DA2">
          <w:rPr>
            <w:rFonts w:ascii="Arial" w:hAnsi="Arial" w:cs="Arial"/>
            <w:noProof/>
            <w:webHidden/>
            <w:sz w:val="22"/>
            <w:szCs w:val="22"/>
          </w:rPr>
        </w:r>
        <w:r w:rsidR="006E4DA2" w:rsidRPr="006E4DA2">
          <w:rPr>
            <w:rFonts w:ascii="Arial" w:hAnsi="Arial" w:cs="Arial"/>
            <w:noProof/>
            <w:webHidden/>
            <w:sz w:val="22"/>
            <w:szCs w:val="22"/>
          </w:rPr>
          <w:fldChar w:fldCharType="separate"/>
        </w:r>
        <w:r w:rsidR="005F31F9">
          <w:rPr>
            <w:rFonts w:ascii="Arial" w:hAnsi="Arial" w:cs="Arial"/>
            <w:noProof/>
            <w:webHidden/>
            <w:sz w:val="22"/>
            <w:szCs w:val="22"/>
          </w:rPr>
          <w:t>6</w:t>
        </w:r>
        <w:r w:rsidR="006E4DA2" w:rsidRPr="006E4DA2">
          <w:rPr>
            <w:rFonts w:ascii="Arial" w:hAnsi="Arial" w:cs="Arial"/>
            <w:noProof/>
            <w:webHidden/>
            <w:sz w:val="22"/>
            <w:szCs w:val="22"/>
          </w:rPr>
          <w:fldChar w:fldCharType="end"/>
        </w:r>
      </w:hyperlink>
    </w:p>
    <w:p w:rsidR="006E4DA2" w:rsidRPr="006E4DA2" w:rsidRDefault="001A0870" w:rsidP="00D06108">
      <w:pPr>
        <w:pStyle w:val="Innehll1"/>
        <w:ind w:left="1560" w:hanging="426"/>
        <w:rPr>
          <w:rFonts w:ascii="Arial" w:eastAsiaTheme="minorEastAsia" w:hAnsi="Arial" w:cs="Arial"/>
          <w:noProof/>
          <w:sz w:val="22"/>
          <w:szCs w:val="22"/>
          <w:lang w:val="sv-FI" w:eastAsia="sv-FI"/>
        </w:rPr>
      </w:pPr>
      <w:hyperlink w:anchor="_Toc443553623" w:history="1">
        <w:r w:rsidR="006E4DA2" w:rsidRPr="006E4DA2">
          <w:rPr>
            <w:rStyle w:val="Hyperlnk"/>
            <w:rFonts w:ascii="Arial" w:hAnsi="Arial" w:cs="Arial"/>
            <w:noProof/>
            <w:sz w:val="22"/>
            <w:szCs w:val="22"/>
          </w:rPr>
          <w:t>5.</w:t>
        </w:r>
        <w:r w:rsidR="006E4DA2" w:rsidRPr="006E4DA2">
          <w:rPr>
            <w:rFonts w:ascii="Arial" w:eastAsiaTheme="minorEastAsia" w:hAnsi="Arial" w:cs="Arial"/>
            <w:noProof/>
            <w:sz w:val="22"/>
            <w:szCs w:val="22"/>
            <w:lang w:val="sv-FI" w:eastAsia="sv-FI"/>
          </w:rPr>
          <w:tab/>
        </w:r>
        <w:r w:rsidR="006E4DA2" w:rsidRPr="006E4DA2">
          <w:rPr>
            <w:rStyle w:val="Hyperlnk"/>
            <w:rFonts w:ascii="Arial" w:hAnsi="Arial" w:cs="Arial"/>
            <w:noProof/>
            <w:sz w:val="22"/>
            <w:szCs w:val="22"/>
          </w:rPr>
          <w:t>Granskning av upphandlingsprocesserna inom landskapets centralförvaltning</w:t>
        </w:r>
        <w:r w:rsidR="006E4DA2" w:rsidRPr="006E4DA2">
          <w:rPr>
            <w:rFonts w:ascii="Arial" w:hAnsi="Arial" w:cs="Arial"/>
            <w:noProof/>
            <w:webHidden/>
            <w:sz w:val="22"/>
            <w:szCs w:val="22"/>
          </w:rPr>
          <w:tab/>
        </w:r>
        <w:r w:rsidR="006E4DA2" w:rsidRPr="006E4DA2">
          <w:rPr>
            <w:rFonts w:ascii="Arial" w:hAnsi="Arial" w:cs="Arial"/>
            <w:noProof/>
            <w:webHidden/>
            <w:sz w:val="22"/>
            <w:szCs w:val="22"/>
          </w:rPr>
          <w:fldChar w:fldCharType="begin"/>
        </w:r>
        <w:r w:rsidR="006E4DA2" w:rsidRPr="006E4DA2">
          <w:rPr>
            <w:rFonts w:ascii="Arial" w:hAnsi="Arial" w:cs="Arial"/>
            <w:noProof/>
            <w:webHidden/>
            <w:sz w:val="22"/>
            <w:szCs w:val="22"/>
          </w:rPr>
          <w:instrText xml:space="preserve"> PAGEREF _Toc443553623 \h </w:instrText>
        </w:r>
        <w:r w:rsidR="006E4DA2" w:rsidRPr="006E4DA2">
          <w:rPr>
            <w:rFonts w:ascii="Arial" w:hAnsi="Arial" w:cs="Arial"/>
            <w:noProof/>
            <w:webHidden/>
            <w:sz w:val="22"/>
            <w:szCs w:val="22"/>
          </w:rPr>
        </w:r>
        <w:r w:rsidR="006E4DA2" w:rsidRPr="006E4DA2">
          <w:rPr>
            <w:rFonts w:ascii="Arial" w:hAnsi="Arial" w:cs="Arial"/>
            <w:noProof/>
            <w:webHidden/>
            <w:sz w:val="22"/>
            <w:szCs w:val="22"/>
          </w:rPr>
          <w:fldChar w:fldCharType="separate"/>
        </w:r>
        <w:r w:rsidR="005F31F9">
          <w:rPr>
            <w:rFonts w:ascii="Arial" w:hAnsi="Arial" w:cs="Arial"/>
            <w:noProof/>
            <w:webHidden/>
            <w:sz w:val="22"/>
            <w:szCs w:val="22"/>
          </w:rPr>
          <w:t>7</w:t>
        </w:r>
        <w:r w:rsidR="006E4DA2" w:rsidRPr="006E4DA2">
          <w:rPr>
            <w:rFonts w:ascii="Arial" w:hAnsi="Arial" w:cs="Arial"/>
            <w:noProof/>
            <w:webHidden/>
            <w:sz w:val="22"/>
            <w:szCs w:val="22"/>
          </w:rPr>
          <w:fldChar w:fldCharType="end"/>
        </w:r>
      </w:hyperlink>
    </w:p>
    <w:p w:rsidR="00560EF0" w:rsidRPr="00173FD2" w:rsidRDefault="002E3CFB" w:rsidP="00D06108">
      <w:pPr>
        <w:tabs>
          <w:tab w:val="left" w:pos="1418"/>
          <w:tab w:val="right" w:leader="dot" w:pos="8505"/>
        </w:tabs>
        <w:ind w:left="1560" w:right="139" w:hanging="426"/>
        <w:rPr>
          <w:rFonts w:ascii="Arial" w:hAnsi="Arial" w:cs="Arial"/>
          <w:sz w:val="22"/>
          <w:szCs w:val="22"/>
        </w:rPr>
      </w:pPr>
      <w:r w:rsidRPr="006E4DA2">
        <w:rPr>
          <w:rFonts w:ascii="Arial" w:hAnsi="Arial" w:cs="Arial"/>
          <w:b/>
          <w:bCs/>
          <w:sz w:val="22"/>
          <w:szCs w:val="22"/>
        </w:rPr>
        <w:fldChar w:fldCharType="end"/>
      </w:r>
    </w:p>
    <w:p w:rsidR="00646681" w:rsidRDefault="00646681" w:rsidP="00560EF0">
      <w:pPr>
        <w:tabs>
          <w:tab w:val="left" w:pos="1418"/>
          <w:tab w:val="left" w:pos="1560"/>
          <w:tab w:val="right" w:leader="dot" w:pos="8505"/>
        </w:tabs>
        <w:ind w:left="1134" w:right="139"/>
        <w:rPr>
          <w:rFonts w:ascii="Arial" w:hAnsi="Arial" w:cs="Arial"/>
          <w:sz w:val="22"/>
          <w:szCs w:val="22"/>
        </w:rPr>
      </w:pPr>
    </w:p>
    <w:p w:rsidR="00560EF0" w:rsidRPr="00173FD2" w:rsidRDefault="00560EF0" w:rsidP="00560EF0">
      <w:pPr>
        <w:tabs>
          <w:tab w:val="left" w:pos="1418"/>
          <w:tab w:val="left" w:pos="1560"/>
          <w:tab w:val="right" w:leader="dot" w:pos="8505"/>
        </w:tabs>
        <w:ind w:left="1134" w:right="139"/>
        <w:rPr>
          <w:rFonts w:ascii="Arial" w:hAnsi="Arial" w:cs="Arial"/>
          <w:sz w:val="22"/>
          <w:szCs w:val="22"/>
        </w:rPr>
      </w:pPr>
    </w:p>
    <w:p w:rsidR="00646681" w:rsidRDefault="00646681" w:rsidP="00A80FC4">
      <w:pPr>
        <w:tabs>
          <w:tab w:val="left" w:pos="1418"/>
          <w:tab w:val="right" w:leader="dot" w:pos="8505"/>
        </w:tabs>
        <w:ind w:left="1134" w:right="139"/>
        <w:rPr>
          <w:rFonts w:ascii="Arial" w:hAnsi="Arial" w:cs="Arial"/>
          <w:sz w:val="22"/>
          <w:szCs w:val="22"/>
        </w:rPr>
      </w:pPr>
    </w:p>
    <w:p w:rsidR="00560EF0" w:rsidRPr="00173FD2" w:rsidRDefault="00560EF0" w:rsidP="00A80FC4">
      <w:pPr>
        <w:tabs>
          <w:tab w:val="left" w:pos="1418"/>
          <w:tab w:val="right" w:leader="dot" w:pos="8505"/>
        </w:tabs>
        <w:ind w:left="1134" w:right="139"/>
        <w:rPr>
          <w:rFonts w:ascii="Arial" w:hAnsi="Arial" w:cs="Arial"/>
          <w:sz w:val="22"/>
          <w:szCs w:val="22"/>
        </w:rPr>
      </w:pPr>
    </w:p>
    <w:p w:rsidR="00FA40BE" w:rsidRPr="00173FD2" w:rsidRDefault="00352381" w:rsidP="00C01C75">
      <w:pPr>
        <w:tabs>
          <w:tab w:val="left" w:pos="5670"/>
        </w:tabs>
        <w:ind w:left="1134" w:right="281"/>
        <w:rPr>
          <w:rFonts w:ascii="Arial" w:hAnsi="Arial" w:cs="Arial"/>
          <w:sz w:val="22"/>
          <w:szCs w:val="22"/>
        </w:rPr>
      </w:pPr>
      <w:r w:rsidRPr="00173FD2">
        <w:rPr>
          <w:rFonts w:ascii="Arial" w:hAnsi="Arial" w:cs="Arial"/>
          <w:sz w:val="22"/>
          <w:szCs w:val="22"/>
        </w:rPr>
        <w:t>BILAGOR</w:t>
      </w:r>
    </w:p>
    <w:p w:rsidR="00352381" w:rsidRPr="00173FD2" w:rsidRDefault="00352381" w:rsidP="00C01C75">
      <w:pPr>
        <w:tabs>
          <w:tab w:val="left" w:pos="5670"/>
        </w:tabs>
        <w:ind w:left="1134" w:right="281"/>
        <w:rPr>
          <w:rFonts w:ascii="Arial" w:hAnsi="Arial" w:cs="Arial"/>
          <w:sz w:val="22"/>
          <w:szCs w:val="22"/>
        </w:rPr>
      </w:pPr>
    </w:p>
    <w:p w:rsidR="009203D7" w:rsidRPr="00173FD2" w:rsidRDefault="009203D7" w:rsidP="00A331E9">
      <w:pPr>
        <w:tabs>
          <w:tab w:val="left" w:pos="5670"/>
        </w:tabs>
        <w:spacing w:after="120"/>
        <w:ind w:left="1134" w:right="284"/>
        <w:rPr>
          <w:rFonts w:ascii="Arial" w:hAnsi="Arial" w:cs="Arial"/>
          <w:sz w:val="22"/>
          <w:szCs w:val="22"/>
        </w:rPr>
      </w:pPr>
      <w:r w:rsidRPr="00173FD2">
        <w:rPr>
          <w:rFonts w:ascii="Arial" w:hAnsi="Arial" w:cs="Arial"/>
          <w:sz w:val="22"/>
          <w:szCs w:val="22"/>
        </w:rPr>
        <w:t xml:space="preserve">Granskning av </w:t>
      </w:r>
      <w:r w:rsidR="00A031B5" w:rsidRPr="00173FD2">
        <w:rPr>
          <w:rFonts w:ascii="Arial" w:hAnsi="Arial" w:cs="Arial"/>
          <w:sz w:val="22"/>
          <w:szCs w:val="22"/>
        </w:rPr>
        <w:t>hyrläkarverksamheten</w:t>
      </w:r>
      <w:r w:rsidRPr="00173FD2">
        <w:rPr>
          <w:rFonts w:ascii="Arial" w:hAnsi="Arial" w:cs="Arial"/>
          <w:sz w:val="22"/>
          <w:szCs w:val="22"/>
        </w:rPr>
        <w:t xml:space="preserve"> </w:t>
      </w:r>
      <w:r w:rsidR="00F216C9" w:rsidRPr="00173FD2">
        <w:rPr>
          <w:rFonts w:ascii="Arial" w:hAnsi="Arial" w:cs="Arial"/>
          <w:sz w:val="22"/>
          <w:szCs w:val="22"/>
        </w:rPr>
        <w:t xml:space="preserve">(ÅHS) </w:t>
      </w:r>
      <w:r w:rsidR="00A031B5" w:rsidRPr="00173FD2">
        <w:rPr>
          <w:rFonts w:ascii="Arial" w:hAnsi="Arial" w:cs="Arial"/>
          <w:sz w:val="22"/>
          <w:szCs w:val="22"/>
        </w:rPr>
        <w:t>– KPMG 3.12.2015</w:t>
      </w:r>
    </w:p>
    <w:p w:rsidR="00A031B5" w:rsidRPr="00173FD2" w:rsidRDefault="00A031B5" w:rsidP="00A031B5">
      <w:pPr>
        <w:tabs>
          <w:tab w:val="left" w:pos="5670"/>
        </w:tabs>
        <w:spacing w:after="120"/>
        <w:ind w:left="1134" w:right="284"/>
        <w:rPr>
          <w:rFonts w:ascii="Arial" w:hAnsi="Arial" w:cs="Arial"/>
          <w:sz w:val="22"/>
          <w:szCs w:val="22"/>
        </w:rPr>
      </w:pPr>
      <w:r w:rsidRPr="00173FD2">
        <w:rPr>
          <w:rFonts w:ascii="Arial" w:hAnsi="Arial" w:cs="Arial"/>
          <w:sz w:val="22"/>
          <w:szCs w:val="22"/>
        </w:rPr>
        <w:t>IT-granskning med fokus på informationssäkerheten (ÅHS) – KPMG 11.1.2016</w:t>
      </w:r>
    </w:p>
    <w:p w:rsidR="00721897" w:rsidRPr="00173FD2" w:rsidRDefault="00721897" w:rsidP="00A331E9">
      <w:pPr>
        <w:tabs>
          <w:tab w:val="left" w:pos="5670"/>
        </w:tabs>
        <w:spacing w:after="120"/>
        <w:ind w:left="1134" w:right="284"/>
        <w:rPr>
          <w:rFonts w:ascii="Arial" w:hAnsi="Arial" w:cs="Arial"/>
          <w:sz w:val="22"/>
          <w:szCs w:val="22"/>
        </w:rPr>
      </w:pPr>
      <w:r w:rsidRPr="00173FD2">
        <w:rPr>
          <w:rFonts w:ascii="Arial" w:hAnsi="Arial" w:cs="Arial"/>
          <w:sz w:val="22"/>
          <w:szCs w:val="22"/>
        </w:rPr>
        <w:t xml:space="preserve">Granskning av </w:t>
      </w:r>
      <w:r w:rsidR="00897B09" w:rsidRPr="00173FD2">
        <w:rPr>
          <w:rFonts w:ascii="Arial" w:hAnsi="Arial" w:cs="Arial"/>
          <w:sz w:val="22"/>
          <w:szCs w:val="22"/>
        </w:rPr>
        <w:t>museibyrån</w:t>
      </w:r>
      <w:r w:rsidRPr="00173FD2">
        <w:rPr>
          <w:rFonts w:ascii="Arial" w:hAnsi="Arial" w:cs="Arial"/>
          <w:sz w:val="22"/>
          <w:szCs w:val="22"/>
        </w:rPr>
        <w:t xml:space="preserve"> – </w:t>
      </w:r>
      <w:r w:rsidR="00897B09" w:rsidRPr="00173FD2">
        <w:rPr>
          <w:rFonts w:ascii="Arial" w:hAnsi="Arial" w:cs="Arial"/>
          <w:sz w:val="22"/>
          <w:szCs w:val="22"/>
        </w:rPr>
        <w:t>Landskapsrevisionen 30</w:t>
      </w:r>
      <w:r w:rsidRPr="00173FD2">
        <w:rPr>
          <w:rFonts w:ascii="Arial" w:hAnsi="Arial" w:cs="Arial"/>
          <w:sz w:val="22"/>
          <w:szCs w:val="22"/>
        </w:rPr>
        <w:t>.1</w:t>
      </w:r>
      <w:r w:rsidR="00897B09" w:rsidRPr="00173FD2">
        <w:rPr>
          <w:rFonts w:ascii="Arial" w:hAnsi="Arial" w:cs="Arial"/>
          <w:sz w:val="22"/>
          <w:szCs w:val="22"/>
        </w:rPr>
        <w:t>2</w:t>
      </w:r>
      <w:r w:rsidRPr="00173FD2">
        <w:rPr>
          <w:rFonts w:ascii="Arial" w:hAnsi="Arial" w:cs="Arial"/>
          <w:sz w:val="22"/>
          <w:szCs w:val="22"/>
        </w:rPr>
        <w:t>.201</w:t>
      </w:r>
      <w:r w:rsidR="00897B09" w:rsidRPr="00173FD2">
        <w:rPr>
          <w:rFonts w:ascii="Arial" w:hAnsi="Arial" w:cs="Arial"/>
          <w:sz w:val="22"/>
          <w:szCs w:val="22"/>
        </w:rPr>
        <w:t>5</w:t>
      </w:r>
    </w:p>
    <w:p w:rsidR="009203D7" w:rsidRPr="00173FD2" w:rsidRDefault="009203D7" w:rsidP="00A331E9">
      <w:pPr>
        <w:tabs>
          <w:tab w:val="left" w:pos="5670"/>
        </w:tabs>
        <w:spacing w:after="120"/>
        <w:ind w:left="1134" w:right="284"/>
        <w:rPr>
          <w:rFonts w:ascii="Arial" w:hAnsi="Arial" w:cs="Arial"/>
          <w:sz w:val="22"/>
          <w:szCs w:val="22"/>
        </w:rPr>
      </w:pPr>
      <w:r w:rsidRPr="00173FD2">
        <w:rPr>
          <w:rFonts w:ascii="Arial" w:hAnsi="Arial" w:cs="Arial"/>
          <w:sz w:val="22"/>
          <w:szCs w:val="22"/>
        </w:rPr>
        <w:t xml:space="preserve">Granskning av Ålands </w:t>
      </w:r>
      <w:r w:rsidR="00897B09" w:rsidRPr="00173FD2">
        <w:rPr>
          <w:rFonts w:ascii="Arial" w:hAnsi="Arial" w:cs="Arial"/>
          <w:sz w:val="22"/>
          <w:szCs w:val="22"/>
        </w:rPr>
        <w:t>miljö- och hälsoskyddsmyndighet</w:t>
      </w:r>
      <w:r w:rsidRPr="00173FD2">
        <w:rPr>
          <w:rFonts w:ascii="Arial" w:hAnsi="Arial" w:cs="Arial"/>
          <w:sz w:val="22"/>
          <w:szCs w:val="22"/>
        </w:rPr>
        <w:t xml:space="preserve"> – </w:t>
      </w:r>
      <w:r w:rsidRPr="00B215F4">
        <w:rPr>
          <w:rFonts w:ascii="Arial" w:hAnsi="Arial" w:cs="Arial"/>
          <w:sz w:val="22"/>
          <w:szCs w:val="22"/>
        </w:rPr>
        <w:t xml:space="preserve">Landskapsrevisionen </w:t>
      </w:r>
      <w:r w:rsidR="00B215F4" w:rsidRPr="00B215F4">
        <w:rPr>
          <w:rFonts w:ascii="Arial" w:hAnsi="Arial" w:cs="Arial"/>
          <w:sz w:val="22"/>
          <w:szCs w:val="22"/>
        </w:rPr>
        <w:t>1</w:t>
      </w:r>
      <w:r w:rsidR="005F31F9">
        <w:rPr>
          <w:rFonts w:ascii="Arial" w:hAnsi="Arial" w:cs="Arial"/>
          <w:sz w:val="22"/>
          <w:szCs w:val="22"/>
        </w:rPr>
        <w:t>8</w:t>
      </w:r>
      <w:r w:rsidRPr="00B215F4">
        <w:rPr>
          <w:rFonts w:ascii="Arial" w:hAnsi="Arial" w:cs="Arial"/>
          <w:sz w:val="22"/>
          <w:szCs w:val="22"/>
        </w:rPr>
        <w:t>.2.201</w:t>
      </w:r>
      <w:r w:rsidR="00897B09" w:rsidRPr="00B215F4">
        <w:rPr>
          <w:rFonts w:ascii="Arial" w:hAnsi="Arial" w:cs="Arial"/>
          <w:sz w:val="22"/>
          <w:szCs w:val="22"/>
        </w:rPr>
        <w:t>6</w:t>
      </w:r>
    </w:p>
    <w:p w:rsidR="00897B09" w:rsidRPr="00173FD2" w:rsidRDefault="00897B09" w:rsidP="00897B09">
      <w:pPr>
        <w:tabs>
          <w:tab w:val="left" w:pos="5670"/>
        </w:tabs>
        <w:spacing w:after="120"/>
        <w:ind w:left="1134" w:right="284"/>
        <w:rPr>
          <w:rFonts w:ascii="Arial" w:hAnsi="Arial" w:cs="Arial"/>
          <w:sz w:val="22"/>
          <w:szCs w:val="22"/>
        </w:rPr>
      </w:pPr>
      <w:r w:rsidRPr="00173FD2">
        <w:rPr>
          <w:rFonts w:ascii="Arial" w:hAnsi="Arial" w:cs="Arial"/>
          <w:sz w:val="22"/>
          <w:szCs w:val="22"/>
        </w:rPr>
        <w:t xml:space="preserve">Granskning av upphandlingsprocesserna inom landskapets centralförvaltning </w:t>
      </w:r>
      <w:r w:rsidRPr="00B215F4">
        <w:rPr>
          <w:rFonts w:ascii="Arial" w:hAnsi="Arial" w:cs="Arial"/>
          <w:sz w:val="22"/>
          <w:szCs w:val="22"/>
        </w:rPr>
        <w:t xml:space="preserve">– Landskapsrevisionen </w:t>
      </w:r>
      <w:r w:rsidR="00B215F4" w:rsidRPr="00B215F4">
        <w:rPr>
          <w:rFonts w:ascii="Arial" w:hAnsi="Arial" w:cs="Arial"/>
          <w:sz w:val="22"/>
          <w:szCs w:val="22"/>
        </w:rPr>
        <w:t>17</w:t>
      </w:r>
      <w:r w:rsidRPr="00B215F4">
        <w:rPr>
          <w:rFonts w:ascii="Arial" w:hAnsi="Arial" w:cs="Arial"/>
          <w:sz w:val="22"/>
          <w:szCs w:val="22"/>
        </w:rPr>
        <w:t>.2.2016</w:t>
      </w:r>
    </w:p>
    <w:p w:rsidR="00897B09" w:rsidRDefault="00897B09" w:rsidP="00A331E9">
      <w:pPr>
        <w:tabs>
          <w:tab w:val="left" w:pos="5670"/>
        </w:tabs>
        <w:spacing w:after="120"/>
        <w:ind w:left="1134" w:right="284"/>
        <w:rPr>
          <w:rFonts w:ascii="Arial" w:hAnsi="Arial" w:cs="Arial"/>
          <w:sz w:val="22"/>
          <w:szCs w:val="22"/>
        </w:rPr>
      </w:pPr>
    </w:p>
    <w:p w:rsidR="00560EF0" w:rsidRPr="00173FD2" w:rsidRDefault="00560EF0" w:rsidP="00A331E9">
      <w:pPr>
        <w:tabs>
          <w:tab w:val="left" w:pos="5670"/>
        </w:tabs>
        <w:spacing w:after="120"/>
        <w:ind w:left="1134" w:right="284"/>
        <w:rPr>
          <w:rFonts w:ascii="Arial" w:hAnsi="Arial" w:cs="Arial"/>
          <w:sz w:val="22"/>
          <w:szCs w:val="22"/>
        </w:rPr>
      </w:pPr>
    </w:p>
    <w:p w:rsidR="00B55784" w:rsidRPr="006B5290" w:rsidRDefault="00B55784" w:rsidP="00ED54C4">
      <w:r>
        <w:rPr>
          <w:rFonts w:ascii="Arial" w:hAnsi="Arial" w:cs="Arial"/>
          <w:sz w:val="22"/>
          <w:szCs w:val="22"/>
        </w:rPr>
        <w:br w:type="page"/>
      </w:r>
    </w:p>
    <w:p w:rsidR="0011687C" w:rsidRPr="0011687C" w:rsidRDefault="0011687C" w:rsidP="00137DFA">
      <w:pPr>
        <w:pStyle w:val="Rubrik1"/>
        <w:numPr>
          <w:ilvl w:val="0"/>
          <w:numId w:val="8"/>
        </w:numPr>
        <w:tabs>
          <w:tab w:val="left" w:pos="1418"/>
        </w:tabs>
        <w:ind w:left="1134" w:right="-2" w:firstLine="0"/>
        <w:rPr>
          <w:rFonts w:ascii="Arial" w:hAnsi="Arial" w:cs="Arial"/>
          <w:sz w:val="24"/>
          <w:szCs w:val="24"/>
        </w:rPr>
      </w:pPr>
      <w:bookmarkStart w:id="1" w:name="_Toc378326779"/>
      <w:bookmarkStart w:id="2" w:name="_Toc443553619"/>
      <w:r w:rsidRPr="0011687C">
        <w:rPr>
          <w:rFonts w:ascii="Arial" w:hAnsi="Arial" w:cs="Arial"/>
          <w:sz w:val="24"/>
          <w:szCs w:val="24"/>
        </w:rPr>
        <w:t>Inledning</w:t>
      </w:r>
      <w:bookmarkEnd w:id="1"/>
      <w:bookmarkEnd w:id="2"/>
    </w:p>
    <w:p w:rsidR="0011687C" w:rsidRDefault="0011687C" w:rsidP="00137DFA">
      <w:pPr>
        <w:tabs>
          <w:tab w:val="left" w:pos="5670"/>
        </w:tabs>
        <w:ind w:left="1134" w:right="-2"/>
        <w:jc w:val="both"/>
      </w:pPr>
    </w:p>
    <w:p w:rsidR="00883A42" w:rsidRPr="007743F9" w:rsidRDefault="00883A42" w:rsidP="00137DFA">
      <w:pPr>
        <w:ind w:left="1134" w:right="-2"/>
        <w:jc w:val="both"/>
      </w:pPr>
      <w:r w:rsidRPr="007743F9">
        <w:t xml:space="preserve">Landskapsrevisionens granskning sker i form av </w:t>
      </w:r>
      <w:r w:rsidRPr="00C01C75">
        <w:t>årlig revision och effektivitetsrevision.</w:t>
      </w:r>
      <w:r w:rsidRPr="007743F9">
        <w:t xml:space="preserve"> Effektivitetsrevisionen har till syfte att bedöma om budgetmedlen har använts i enlighet med principerna om sparsamhet, effektivitet och ändamålsenlighet. Granskningen ska främja en sådan utveckling att landskapet med hänsyn till allmänna samhällsintressen får ett effektivt utbyte av sina insatser.</w:t>
      </w:r>
    </w:p>
    <w:p w:rsidR="00C01C75" w:rsidRPr="009D5729" w:rsidRDefault="00C01C75" w:rsidP="00137DFA">
      <w:pPr>
        <w:ind w:left="1134" w:right="-2"/>
        <w:jc w:val="both"/>
      </w:pPr>
    </w:p>
    <w:p w:rsidR="00137DFA" w:rsidRDefault="00137DFA" w:rsidP="00137DFA">
      <w:pPr>
        <w:tabs>
          <w:tab w:val="left" w:pos="5670"/>
        </w:tabs>
        <w:ind w:left="1134" w:right="-2"/>
        <w:jc w:val="both"/>
      </w:pPr>
      <w:r w:rsidRPr="004C5AB1">
        <w:rPr>
          <w:lang w:val="sv-FI" w:eastAsia="sv-FI"/>
        </w:rPr>
        <w:t xml:space="preserve">Landskapsrevisionen </w:t>
      </w:r>
      <w:r>
        <w:t xml:space="preserve">fastställer årligen en granskningsplan. Vid sidan av den årliga bokslutsrevisionen och EU-revisionen enligt EU-kommissionens bestämmelser väljs ett antal områden ut för effektivitetsrevision. 2015 har granskningarna omfattat Ålands hälso- och sjukvård, </w:t>
      </w:r>
      <w:r w:rsidR="000E11F4">
        <w:t>museibyrån vid utbildnings- och kulturavdelningen,</w:t>
      </w:r>
      <w:r>
        <w:t xml:space="preserve"> Ålands </w:t>
      </w:r>
      <w:r w:rsidR="000E11F4">
        <w:t>miljö- och hälsoskyddsmyndighet</w:t>
      </w:r>
      <w:r>
        <w:t xml:space="preserve"> samt </w:t>
      </w:r>
      <w:r w:rsidR="000E11F4">
        <w:t>upphandlingsprocesserna inom landskapets centralförvaltning</w:t>
      </w:r>
      <w:r>
        <w:t>.</w:t>
      </w:r>
    </w:p>
    <w:p w:rsidR="00BC1F00" w:rsidRDefault="00BC1F00" w:rsidP="00137DFA">
      <w:pPr>
        <w:tabs>
          <w:tab w:val="left" w:pos="5670"/>
        </w:tabs>
        <w:ind w:left="1134" w:right="-2"/>
        <w:jc w:val="both"/>
      </w:pPr>
    </w:p>
    <w:p w:rsidR="00DC59C8" w:rsidRDefault="00DC59C8" w:rsidP="00DC59C8">
      <w:pPr>
        <w:tabs>
          <w:tab w:val="left" w:pos="5670"/>
        </w:tabs>
        <w:ind w:left="1134" w:right="-2"/>
        <w:jc w:val="both"/>
      </w:pPr>
      <w:r w:rsidRPr="00B35527">
        <w:t xml:space="preserve">Granskningsresultaten i sin helhet framgår av granskningsrapporterna vilka publicerats på landskapsrevisionens hemsida </w:t>
      </w:r>
      <w:hyperlink r:id="rId10" w:history="1">
        <w:r w:rsidRPr="00B35527">
          <w:rPr>
            <w:rStyle w:val="Hyperlnk"/>
          </w:rPr>
          <w:t>www.revisionen.ax</w:t>
        </w:r>
      </w:hyperlink>
      <w:r w:rsidRPr="00B35527">
        <w:t xml:space="preserve">. Denna berättelse innehåller en kortfattad redogörelse av </w:t>
      </w:r>
      <w:r>
        <w:t>de</w:t>
      </w:r>
      <w:r w:rsidRPr="00B35527">
        <w:t xml:space="preserve"> viktigaste slutsatser</w:t>
      </w:r>
      <w:r>
        <w:t>na</w:t>
      </w:r>
      <w:r w:rsidR="00D06108">
        <w:t xml:space="preserve"> och rekommendationerna</w:t>
      </w:r>
      <w:r w:rsidRPr="00B35527">
        <w:t>.</w:t>
      </w:r>
    </w:p>
    <w:p w:rsidR="004C5AB1" w:rsidRDefault="004C5AB1" w:rsidP="00137DFA">
      <w:pPr>
        <w:tabs>
          <w:tab w:val="left" w:pos="5670"/>
        </w:tabs>
        <w:ind w:left="1134" w:right="-2"/>
        <w:jc w:val="both"/>
      </w:pPr>
    </w:p>
    <w:p w:rsidR="00DC59C8" w:rsidRDefault="00DC59C8" w:rsidP="00137DFA">
      <w:pPr>
        <w:tabs>
          <w:tab w:val="left" w:pos="5670"/>
        </w:tabs>
        <w:ind w:left="1134" w:right="-2"/>
        <w:jc w:val="both"/>
      </w:pPr>
    </w:p>
    <w:p w:rsidR="004C5AB1" w:rsidRPr="0011687C" w:rsidRDefault="004C5AB1" w:rsidP="00137DFA">
      <w:pPr>
        <w:pStyle w:val="Rubrik1"/>
        <w:numPr>
          <w:ilvl w:val="0"/>
          <w:numId w:val="8"/>
        </w:numPr>
        <w:tabs>
          <w:tab w:val="left" w:pos="1418"/>
        </w:tabs>
        <w:ind w:left="1134" w:right="-2" w:firstLine="0"/>
        <w:rPr>
          <w:rFonts w:ascii="Arial" w:hAnsi="Arial" w:cs="Arial"/>
          <w:sz w:val="24"/>
          <w:szCs w:val="24"/>
        </w:rPr>
      </w:pPr>
      <w:bookmarkStart w:id="3" w:name="_Toc443553620"/>
      <w:r>
        <w:rPr>
          <w:rFonts w:ascii="Arial" w:hAnsi="Arial" w:cs="Arial"/>
          <w:sz w:val="24"/>
          <w:szCs w:val="24"/>
        </w:rPr>
        <w:t>Granskning av Ålan</w:t>
      </w:r>
      <w:r w:rsidRPr="0011687C">
        <w:rPr>
          <w:rFonts w:ascii="Arial" w:hAnsi="Arial" w:cs="Arial"/>
          <w:sz w:val="24"/>
          <w:szCs w:val="24"/>
        </w:rPr>
        <w:t>d</w:t>
      </w:r>
      <w:r>
        <w:rPr>
          <w:rFonts w:ascii="Arial" w:hAnsi="Arial" w:cs="Arial"/>
          <w:sz w:val="24"/>
          <w:szCs w:val="24"/>
        </w:rPr>
        <w:t>s hälso- och sjukvård</w:t>
      </w:r>
      <w:bookmarkEnd w:id="3"/>
    </w:p>
    <w:p w:rsidR="004C5AB1" w:rsidRDefault="004C5AB1" w:rsidP="00137DFA">
      <w:pPr>
        <w:tabs>
          <w:tab w:val="num" w:pos="284"/>
          <w:tab w:val="left" w:pos="5670"/>
        </w:tabs>
        <w:ind w:left="1134" w:right="-2"/>
        <w:jc w:val="both"/>
      </w:pPr>
    </w:p>
    <w:p w:rsidR="00726D19" w:rsidRDefault="004C5AB1" w:rsidP="00DC59C8">
      <w:pPr>
        <w:ind w:left="1134" w:right="-2"/>
        <w:jc w:val="both"/>
      </w:pPr>
      <w:r w:rsidRPr="00B95CA4">
        <w:t xml:space="preserve">Ålands hälso- och sjukvård (ÅHS) har till uppgift att handha den offentliga hälso- och sjukvården på Åland. </w:t>
      </w:r>
      <w:r w:rsidR="00DC59C8" w:rsidRPr="00B95CA4">
        <w:t>2</w:t>
      </w:r>
      <w:r w:rsidR="00DC59C8">
        <w:t>015 uppgår</w:t>
      </w:r>
      <w:r w:rsidR="00DC59C8" w:rsidRPr="00B95CA4">
        <w:t xml:space="preserve"> utgifterna</w:t>
      </w:r>
      <w:r w:rsidR="00DC59C8">
        <w:t xml:space="preserve"> i </w:t>
      </w:r>
      <w:r w:rsidR="00726D19">
        <w:t xml:space="preserve">ordinarie </w:t>
      </w:r>
      <w:r w:rsidR="00DC59C8">
        <w:t>budgeten</w:t>
      </w:r>
      <w:r w:rsidR="00DC59C8" w:rsidRPr="00B95CA4">
        <w:t xml:space="preserve"> till 8</w:t>
      </w:r>
      <w:r w:rsidR="00B10174">
        <w:t>3</w:t>
      </w:r>
      <w:r w:rsidR="00DC59C8" w:rsidRPr="00B95CA4">
        <w:t>.</w:t>
      </w:r>
      <w:r w:rsidR="00B10174">
        <w:t>119</w:t>
      </w:r>
      <w:r w:rsidR="00DC59C8" w:rsidRPr="00B95CA4">
        <w:t xml:space="preserve">.000 </w:t>
      </w:r>
      <w:r w:rsidR="00DC59C8">
        <w:t>€</w:t>
      </w:r>
      <w:r w:rsidR="00726D19">
        <w:t xml:space="preserve"> och inkomsterna till 6.800.000 €. Totalt </w:t>
      </w:r>
      <w:r w:rsidR="00DC59C8" w:rsidRPr="00B95CA4">
        <w:t xml:space="preserve">utgör </w:t>
      </w:r>
      <w:r w:rsidR="00726D19">
        <w:t xml:space="preserve">ÅHS </w:t>
      </w:r>
      <w:r w:rsidR="00B10174">
        <w:t>ca</w:t>
      </w:r>
      <w:r w:rsidR="00DC59C8" w:rsidRPr="00B95CA4">
        <w:t xml:space="preserve"> </w:t>
      </w:r>
      <w:r w:rsidR="00726D19">
        <w:t>45</w:t>
      </w:r>
      <w:r w:rsidR="00DC59C8" w:rsidRPr="00B95CA4">
        <w:t xml:space="preserve"> %</w:t>
      </w:r>
      <w:r w:rsidR="00DC59C8">
        <w:t xml:space="preserve"> av</w:t>
      </w:r>
      <w:r w:rsidR="00DC59C8" w:rsidRPr="00E973CE">
        <w:t xml:space="preserve"> </w:t>
      </w:r>
      <w:r w:rsidR="00DC59C8" w:rsidRPr="00B95CA4">
        <w:t xml:space="preserve">landskapets </w:t>
      </w:r>
      <w:r w:rsidR="00DC59C8">
        <w:t xml:space="preserve">totala </w:t>
      </w:r>
      <w:r w:rsidR="00F74B68">
        <w:t>verksamhets</w:t>
      </w:r>
      <w:r w:rsidR="00C912DC">
        <w:t>utgifter (</w:t>
      </w:r>
      <w:r w:rsidR="00B43ACA">
        <w:t>då</w:t>
      </w:r>
      <w:r w:rsidR="00C912DC">
        <w:t xml:space="preserve"> budgeterade verksamhetsinkomster hos ÅHS </w:t>
      </w:r>
      <w:r w:rsidR="00B43ACA">
        <w:t>respektive</w:t>
      </w:r>
      <w:r w:rsidR="00C912DC">
        <w:t xml:space="preserve"> landskapet</w:t>
      </w:r>
      <w:r w:rsidR="00B43ACA">
        <w:t xml:space="preserve"> beaktats</w:t>
      </w:r>
      <w:r w:rsidR="00C912DC">
        <w:t>)</w:t>
      </w:r>
      <w:r w:rsidR="00DC59C8">
        <w:t xml:space="preserve">. </w:t>
      </w:r>
    </w:p>
    <w:p w:rsidR="00726D19" w:rsidRDefault="00726D19" w:rsidP="00DC59C8">
      <w:pPr>
        <w:ind w:left="1134" w:right="-2"/>
        <w:jc w:val="both"/>
      </w:pPr>
    </w:p>
    <w:p w:rsidR="00DC59C8" w:rsidRPr="008760EE" w:rsidRDefault="00DC59C8" w:rsidP="00DC59C8">
      <w:pPr>
        <w:ind w:left="1134" w:right="-2"/>
        <w:jc w:val="both"/>
        <w:rPr>
          <w:lang w:eastAsia="sv-FI"/>
        </w:rPr>
      </w:pPr>
      <w:r w:rsidRPr="00BC1F00">
        <w:rPr>
          <w:lang w:eastAsia="sv-FI"/>
        </w:rPr>
        <w:t>För att erhålla kontinuitet</w:t>
      </w:r>
      <w:r>
        <w:rPr>
          <w:lang w:eastAsia="sv-FI"/>
        </w:rPr>
        <w:t xml:space="preserve"> i revisionsarbetet</w:t>
      </w:r>
      <w:r w:rsidRPr="00BC1F00">
        <w:rPr>
          <w:lang w:eastAsia="sv-FI"/>
        </w:rPr>
        <w:t xml:space="preserve"> </w:t>
      </w:r>
      <w:r>
        <w:rPr>
          <w:lang w:eastAsia="sv-FI"/>
        </w:rPr>
        <w:t>har Landskapsrevisionen valt att anlita</w:t>
      </w:r>
      <w:r w:rsidRPr="00BC1F00">
        <w:rPr>
          <w:lang w:eastAsia="sv-FI"/>
        </w:rPr>
        <w:t xml:space="preserve"> ett utomstående revisionssamfund som kan tillhandahålla certifierade revisorer.</w:t>
      </w:r>
      <w:r>
        <w:rPr>
          <w:lang w:eastAsia="sv-FI"/>
        </w:rPr>
        <w:t xml:space="preserve"> Ett 3-årigt r</w:t>
      </w:r>
      <w:r w:rsidRPr="008760EE">
        <w:rPr>
          <w:lang w:eastAsia="sv-FI"/>
        </w:rPr>
        <w:t>amavtal med möjlighet till 1 års förlängning</w:t>
      </w:r>
      <w:r>
        <w:rPr>
          <w:lang w:eastAsia="sv-FI"/>
        </w:rPr>
        <w:t xml:space="preserve"> har ingåtts med </w:t>
      </w:r>
      <w:r w:rsidRPr="008760EE">
        <w:rPr>
          <w:lang w:eastAsia="sv-FI"/>
        </w:rPr>
        <w:t>KPMG Oy Ab. Uppdragets omfattning uppskattas till 30 arbetsdagar per år.</w:t>
      </w:r>
    </w:p>
    <w:p w:rsidR="00DC59C8" w:rsidRDefault="00DC59C8" w:rsidP="00DC59C8">
      <w:pPr>
        <w:tabs>
          <w:tab w:val="left" w:pos="5670"/>
        </w:tabs>
        <w:ind w:left="1134" w:right="-2"/>
        <w:jc w:val="both"/>
      </w:pPr>
    </w:p>
    <w:p w:rsidR="007335AA" w:rsidRDefault="00DC59C8" w:rsidP="00137DFA">
      <w:pPr>
        <w:tabs>
          <w:tab w:val="left" w:pos="5670"/>
        </w:tabs>
        <w:ind w:left="1134" w:right="-2"/>
        <w:jc w:val="both"/>
      </w:pPr>
      <w:r>
        <w:t>Revisionssamfundet och Landskapsrevisionen</w:t>
      </w:r>
      <w:r w:rsidRPr="00C26B1C">
        <w:t xml:space="preserve"> </w:t>
      </w:r>
      <w:r>
        <w:t>överenskommer årligen om en revisionsplan. Under 201</w:t>
      </w:r>
      <w:r w:rsidR="00B10174">
        <w:t>5</w:t>
      </w:r>
      <w:r>
        <w:t xml:space="preserve"> har granskningen omfattat </w:t>
      </w:r>
      <w:r w:rsidR="00A031B5">
        <w:t>IT med fokus på informationssäkerheten</w:t>
      </w:r>
      <w:r>
        <w:t xml:space="preserve"> samt </w:t>
      </w:r>
      <w:r w:rsidR="00A031B5">
        <w:t>användningen av hyrläkare</w:t>
      </w:r>
      <w:r w:rsidRPr="002D52EF">
        <w:t>.</w:t>
      </w:r>
    </w:p>
    <w:p w:rsidR="00A031B5" w:rsidRDefault="00A031B5" w:rsidP="00137DFA">
      <w:pPr>
        <w:tabs>
          <w:tab w:val="left" w:pos="5670"/>
        </w:tabs>
        <w:ind w:left="1134" w:right="-2"/>
        <w:jc w:val="both"/>
      </w:pPr>
    </w:p>
    <w:p w:rsidR="001912AB" w:rsidRDefault="00CE5EE1" w:rsidP="00CE5EE1">
      <w:pPr>
        <w:tabs>
          <w:tab w:val="left" w:pos="5670"/>
        </w:tabs>
        <w:ind w:left="1134" w:right="-2"/>
        <w:jc w:val="both"/>
      </w:pPr>
      <w:r>
        <w:t xml:space="preserve">Ett uppenbart problemområde inom ÅHS verksamhet är att en del viktiga IT-system inte lever upp till de krav som skäligen kan ställas idag. Under senare år har granskningar inom IT-området utförts. </w:t>
      </w:r>
      <w:r w:rsidR="00B43ACA">
        <w:t>Det b</w:t>
      </w:r>
      <w:r>
        <w:t xml:space="preserve">edömdes därför som aktuellt att följa upp vilka åtgärder som vidtagits av ÅHS på basen </w:t>
      </w:r>
      <w:r w:rsidR="00B43ACA">
        <w:t xml:space="preserve">av </w:t>
      </w:r>
      <w:r w:rsidR="001912AB">
        <w:t>dessa granskningar.</w:t>
      </w:r>
    </w:p>
    <w:p w:rsidR="001912AB" w:rsidRDefault="001912AB" w:rsidP="00CE5EE1">
      <w:pPr>
        <w:tabs>
          <w:tab w:val="left" w:pos="5670"/>
        </w:tabs>
        <w:ind w:left="1134" w:right="-2"/>
        <w:jc w:val="both"/>
      </w:pPr>
    </w:p>
    <w:p w:rsidR="005F576C" w:rsidRDefault="00E31502" w:rsidP="00CE5EE1">
      <w:pPr>
        <w:tabs>
          <w:tab w:val="left" w:pos="5670"/>
        </w:tabs>
        <w:ind w:left="1134" w:right="-2"/>
        <w:jc w:val="both"/>
      </w:pPr>
      <w:r>
        <w:t>IT-g</w:t>
      </w:r>
      <w:r w:rsidR="00DE290C">
        <w:t>ranskningsr</w:t>
      </w:r>
      <w:r w:rsidR="001912AB">
        <w:t>apporte</w:t>
      </w:r>
      <w:r w:rsidR="00DE290C">
        <w:t xml:space="preserve">n </w:t>
      </w:r>
      <w:r w:rsidR="005F576C">
        <w:t xml:space="preserve">i bilaga och på hemsidan innehåller </w:t>
      </w:r>
      <w:r w:rsidR="00F45B22">
        <w:t xml:space="preserve">den </w:t>
      </w:r>
      <w:r w:rsidR="005F576C">
        <w:t xml:space="preserve">information som kan offentliggöras. Den konfidentiella delen innehåller detaljerad information som </w:t>
      </w:r>
      <w:r w:rsidR="008F33FA">
        <w:lastRenderedPageBreak/>
        <w:t>i första hand</w:t>
      </w:r>
      <w:r w:rsidR="005F576C">
        <w:t xml:space="preserve"> </w:t>
      </w:r>
      <w:r w:rsidR="00A308CF">
        <w:t xml:space="preserve">är ämnad för </w:t>
      </w:r>
      <w:r w:rsidR="001946A0">
        <w:t>den reviderade organisationen (</w:t>
      </w:r>
      <w:r w:rsidR="005F576C">
        <w:t>ÅHS</w:t>
      </w:r>
      <w:r w:rsidR="001946A0">
        <w:t>)</w:t>
      </w:r>
      <w:r w:rsidR="005F576C">
        <w:t>.</w:t>
      </w:r>
      <w:r w:rsidR="001946A0">
        <w:t xml:space="preserve"> Vid bedömningen av vilken information som kan offentliggöras hänvisas till landskapslagen (1977:72) om allmänna handlingars offentlighet § 9 punkt i.</w:t>
      </w:r>
      <w:r w:rsidR="006F4DA9">
        <w:t xml:space="preserve"> Punkten i tillkom vid en lagändring (2013:92).</w:t>
      </w:r>
    </w:p>
    <w:p w:rsidR="007335AA" w:rsidRDefault="007335AA" w:rsidP="00CE5EE1">
      <w:pPr>
        <w:tabs>
          <w:tab w:val="left" w:pos="5670"/>
        </w:tabs>
        <w:ind w:left="1134" w:right="-2"/>
        <w:jc w:val="both"/>
      </w:pPr>
    </w:p>
    <w:p w:rsidR="0074314E" w:rsidRDefault="00F3773B" w:rsidP="00137DFA">
      <w:pPr>
        <w:tabs>
          <w:tab w:val="left" w:pos="5670"/>
        </w:tabs>
        <w:ind w:left="1134" w:right="-2"/>
        <w:jc w:val="both"/>
      </w:pPr>
      <w:r>
        <w:t xml:space="preserve">ÅHS har sedan 2012 varit formellt medvetna om </w:t>
      </w:r>
      <w:r w:rsidR="0074314E">
        <w:t xml:space="preserve">den </w:t>
      </w:r>
      <w:r>
        <w:t>IT-skuld</w:t>
      </w:r>
      <w:r w:rsidR="0074314E">
        <w:t xml:space="preserve"> man har. IT-drift, IT-förvaltning och IT-utveckling </w:t>
      </w:r>
      <w:r w:rsidR="00F45B22">
        <w:t>överfördes</w:t>
      </w:r>
      <w:r w:rsidR="0074314E">
        <w:t xml:space="preserve"> den 1 januari 2015 till Åda Ab (ÅDA). ÅHS uppfattning är att den tidigare IT-avdelningen och nu ÅDA inte haft tillräckliga personresurser för att förverkliga tekniklyftet i önskad takt. </w:t>
      </w:r>
    </w:p>
    <w:p w:rsidR="0074314E" w:rsidRDefault="0074314E" w:rsidP="00137DFA">
      <w:pPr>
        <w:tabs>
          <w:tab w:val="left" w:pos="5670"/>
        </w:tabs>
        <w:ind w:left="1134" w:right="-2"/>
        <w:jc w:val="both"/>
      </w:pPr>
    </w:p>
    <w:p w:rsidR="00AB2F6A" w:rsidRDefault="00AC0682" w:rsidP="00137DFA">
      <w:pPr>
        <w:tabs>
          <w:tab w:val="left" w:pos="5670"/>
        </w:tabs>
        <w:ind w:left="1134" w:right="-2"/>
        <w:jc w:val="both"/>
      </w:pPr>
      <w:r>
        <w:t xml:space="preserve">Granskningen har lett till ett antal observationer och rekommendationer av vilka följande </w:t>
      </w:r>
      <w:r w:rsidR="00F1470E">
        <w:t xml:space="preserve">kan sammanfattas som </w:t>
      </w:r>
      <w:r>
        <w:t>d</w:t>
      </w:r>
      <w:r w:rsidR="00AB2F6A">
        <w:t>e viktigaste</w:t>
      </w:r>
      <w:r w:rsidR="00362217">
        <w:t>:</w:t>
      </w:r>
    </w:p>
    <w:p w:rsidR="00362217" w:rsidRDefault="00362217" w:rsidP="00137DFA">
      <w:pPr>
        <w:tabs>
          <w:tab w:val="left" w:pos="5670"/>
        </w:tabs>
        <w:ind w:left="1134" w:right="-2"/>
        <w:jc w:val="both"/>
      </w:pPr>
    </w:p>
    <w:p w:rsidR="003A587B" w:rsidRPr="003A587B" w:rsidRDefault="003A587B" w:rsidP="003A587B">
      <w:pPr>
        <w:numPr>
          <w:ilvl w:val="0"/>
          <w:numId w:val="16"/>
        </w:numPr>
        <w:tabs>
          <w:tab w:val="left" w:pos="1560"/>
        </w:tabs>
        <w:autoSpaceDE w:val="0"/>
        <w:autoSpaceDN w:val="0"/>
        <w:adjustRightInd w:val="0"/>
        <w:spacing w:after="120"/>
        <w:ind w:left="1560" w:right="-17"/>
        <w:jc w:val="both"/>
        <w:rPr>
          <w:lang w:val="sv-FI" w:eastAsia="sv-FI"/>
        </w:rPr>
      </w:pPr>
      <w:r w:rsidRPr="000D2959">
        <w:rPr>
          <w:lang w:val="sv-FI" w:eastAsia="sv-FI"/>
        </w:rPr>
        <w:t>Informationssäkerheten är på en låg nivå</w:t>
      </w:r>
      <w:r>
        <w:rPr>
          <w:lang w:val="sv-FI" w:eastAsia="sv-FI"/>
        </w:rPr>
        <w:t xml:space="preserve">. </w:t>
      </w:r>
      <w:r w:rsidR="00F1470E">
        <w:rPr>
          <w:lang w:val="sv-FI" w:eastAsia="sv-FI"/>
        </w:rPr>
        <w:t>Att förbättra</w:t>
      </w:r>
      <w:r w:rsidRPr="003A587B">
        <w:rPr>
          <w:lang w:val="sv-FI" w:eastAsia="sv-FI"/>
        </w:rPr>
        <w:t xml:space="preserve"> informations</w:t>
      </w:r>
      <w:r w:rsidR="00F1470E">
        <w:rPr>
          <w:lang w:val="sv-FI" w:eastAsia="sv-FI"/>
        </w:rPr>
        <w:t>-</w:t>
      </w:r>
      <w:r w:rsidRPr="003A587B">
        <w:rPr>
          <w:lang w:val="sv-FI" w:eastAsia="sv-FI"/>
        </w:rPr>
        <w:t>säkerh</w:t>
      </w:r>
      <w:r>
        <w:rPr>
          <w:lang w:val="sv-FI" w:eastAsia="sv-FI"/>
        </w:rPr>
        <w:t>et</w:t>
      </w:r>
      <w:r w:rsidR="00DA73EC">
        <w:rPr>
          <w:lang w:val="sv-FI" w:eastAsia="sv-FI"/>
        </w:rPr>
        <w:t>en</w:t>
      </w:r>
      <w:r w:rsidRPr="003A587B">
        <w:rPr>
          <w:lang w:val="sv-FI" w:eastAsia="sv-FI"/>
        </w:rPr>
        <w:t xml:space="preserve"> bör vara ett strategiskt mål inom </w:t>
      </w:r>
      <w:r>
        <w:rPr>
          <w:lang w:val="sv-FI" w:eastAsia="sv-FI"/>
        </w:rPr>
        <w:t>ÅH</w:t>
      </w:r>
      <w:r w:rsidRPr="003A587B">
        <w:rPr>
          <w:lang w:val="sv-FI" w:eastAsia="sv-FI"/>
        </w:rPr>
        <w:t>S och man bör från</w:t>
      </w:r>
      <w:r>
        <w:rPr>
          <w:lang w:val="sv-FI" w:eastAsia="sv-FI"/>
        </w:rPr>
        <w:t xml:space="preserve"> </w:t>
      </w:r>
      <w:r w:rsidRPr="003A587B">
        <w:rPr>
          <w:lang w:val="sv-FI" w:eastAsia="sv-FI"/>
        </w:rPr>
        <w:t>styrelse och ledning ne</w:t>
      </w:r>
      <w:r w:rsidR="006E03DF">
        <w:rPr>
          <w:lang w:val="sv-FI" w:eastAsia="sv-FI"/>
        </w:rPr>
        <w:t>d</w:t>
      </w:r>
      <w:r w:rsidRPr="003A587B">
        <w:rPr>
          <w:lang w:val="sv-FI" w:eastAsia="sv-FI"/>
        </w:rPr>
        <w:t>åt i organisationen organisera sig och reservera resurser och</w:t>
      </w:r>
      <w:r>
        <w:rPr>
          <w:lang w:val="sv-FI" w:eastAsia="sv-FI"/>
        </w:rPr>
        <w:t xml:space="preserve"> </w:t>
      </w:r>
      <w:r w:rsidRPr="003A587B">
        <w:rPr>
          <w:lang w:val="sv-FI" w:eastAsia="sv-FI"/>
        </w:rPr>
        <w:t xml:space="preserve">kompetens både </w:t>
      </w:r>
      <w:r>
        <w:rPr>
          <w:lang w:val="sv-FI" w:eastAsia="sv-FI"/>
        </w:rPr>
        <w:t>inom Å</w:t>
      </w:r>
      <w:r w:rsidRPr="003A587B">
        <w:rPr>
          <w:lang w:val="sv-FI" w:eastAsia="sv-FI"/>
        </w:rPr>
        <w:t xml:space="preserve">HS och hos </w:t>
      </w:r>
      <w:r>
        <w:rPr>
          <w:lang w:val="sv-FI" w:eastAsia="sv-FI"/>
        </w:rPr>
        <w:t>ÅD</w:t>
      </w:r>
      <w:r w:rsidRPr="003A587B">
        <w:rPr>
          <w:lang w:val="sv-FI" w:eastAsia="sv-FI"/>
        </w:rPr>
        <w:t xml:space="preserve">A för </w:t>
      </w:r>
      <w:r>
        <w:rPr>
          <w:lang w:val="sv-FI" w:eastAsia="sv-FI"/>
        </w:rPr>
        <w:t xml:space="preserve">att </w:t>
      </w:r>
      <w:r w:rsidR="00DA73EC">
        <w:rPr>
          <w:lang w:val="sv-FI" w:eastAsia="sv-FI"/>
        </w:rPr>
        <w:t xml:space="preserve">höja </w:t>
      </w:r>
      <w:r w:rsidR="00DA73EC" w:rsidRPr="003A587B">
        <w:rPr>
          <w:lang w:val="sv-FI" w:eastAsia="sv-FI"/>
        </w:rPr>
        <w:t>informationssäkerh</w:t>
      </w:r>
      <w:r w:rsidR="00DA73EC">
        <w:rPr>
          <w:lang w:val="sv-FI" w:eastAsia="sv-FI"/>
        </w:rPr>
        <w:t>etsnivån</w:t>
      </w:r>
      <w:r w:rsidR="00DA73EC" w:rsidRPr="003A587B">
        <w:rPr>
          <w:lang w:val="sv-FI" w:eastAsia="sv-FI"/>
        </w:rPr>
        <w:t xml:space="preserve"> </w:t>
      </w:r>
      <w:r>
        <w:rPr>
          <w:lang w:val="sv-FI" w:eastAsia="sv-FI"/>
        </w:rPr>
        <w:t xml:space="preserve">och </w:t>
      </w:r>
      <w:r w:rsidR="005530F4">
        <w:rPr>
          <w:lang w:val="sv-FI" w:eastAsia="sv-FI"/>
        </w:rPr>
        <w:t xml:space="preserve">även </w:t>
      </w:r>
      <w:r>
        <w:rPr>
          <w:lang w:val="sv-FI" w:eastAsia="sv-FI"/>
        </w:rPr>
        <w:t>hållas på den</w:t>
      </w:r>
      <w:r w:rsidR="00DA73EC">
        <w:rPr>
          <w:lang w:val="sv-FI" w:eastAsia="sv-FI"/>
        </w:rPr>
        <w:t>na</w:t>
      </w:r>
      <w:r>
        <w:rPr>
          <w:lang w:val="sv-FI" w:eastAsia="sv-FI"/>
        </w:rPr>
        <w:t xml:space="preserve"> nivå.</w:t>
      </w:r>
      <w:r w:rsidRPr="003A587B">
        <w:rPr>
          <w:lang w:val="sv-FI" w:eastAsia="sv-FI"/>
        </w:rPr>
        <w:t xml:space="preserve">  </w:t>
      </w:r>
    </w:p>
    <w:p w:rsidR="005530F4" w:rsidRPr="005530F4" w:rsidRDefault="0031666B" w:rsidP="005530F4">
      <w:pPr>
        <w:numPr>
          <w:ilvl w:val="0"/>
          <w:numId w:val="16"/>
        </w:numPr>
        <w:tabs>
          <w:tab w:val="left" w:pos="1560"/>
        </w:tabs>
        <w:autoSpaceDE w:val="0"/>
        <w:autoSpaceDN w:val="0"/>
        <w:adjustRightInd w:val="0"/>
        <w:spacing w:after="120"/>
        <w:ind w:left="1560" w:right="-17"/>
        <w:jc w:val="both"/>
        <w:rPr>
          <w:lang w:val="sv-FI" w:eastAsia="sv-FI"/>
        </w:rPr>
      </w:pPr>
      <w:r w:rsidRPr="00751119">
        <w:rPr>
          <w:lang w:val="sv-FI" w:eastAsia="sv-FI"/>
        </w:rPr>
        <w:t>IT-</w:t>
      </w:r>
      <w:r w:rsidR="0050590D" w:rsidRPr="00751119">
        <w:rPr>
          <w:lang w:val="sv-FI" w:eastAsia="sv-FI"/>
        </w:rPr>
        <w:t>risk</w:t>
      </w:r>
      <w:r w:rsidR="00FD041A" w:rsidRPr="00751119">
        <w:rPr>
          <w:lang w:val="sv-FI" w:eastAsia="sv-FI"/>
        </w:rPr>
        <w:t>analys</w:t>
      </w:r>
      <w:r w:rsidR="00FD041A">
        <w:rPr>
          <w:lang w:val="sv-FI" w:eastAsia="sv-FI"/>
        </w:rPr>
        <w:t>en</w:t>
      </w:r>
      <w:r w:rsidR="0050590D" w:rsidRPr="00751119">
        <w:rPr>
          <w:lang w:val="sv-FI" w:eastAsia="sv-FI"/>
        </w:rPr>
        <w:t xml:space="preserve"> och </w:t>
      </w:r>
      <w:r w:rsidR="007A1073">
        <w:rPr>
          <w:lang w:val="sv-FI" w:eastAsia="sv-FI"/>
        </w:rPr>
        <w:t>-</w:t>
      </w:r>
      <w:r w:rsidR="0050590D" w:rsidRPr="00751119">
        <w:rPr>
          <w:lang w:val="sv-FI" w:eastAsia="sv-FI"/>
        </w:rPr>
        <w:t>risk</w:t>
      </w:r>
      <w:r w:rsidR="00FD041A" w:rsidRPr="00751119">
        <w:rPr>
          <w:lang w:val="sv-FI" w:eastAsia="sv-FI"/>
        </w:rPr>
        <w:t>hantering</w:t>
      </w:r>
      <w:r w:rsidR="00FD041A">
        <w:rPr>
          <w:lang w:val="sv-FI" w:eastAsia="sv-FI"/>
        </w:rPr>
        <w:t>en</w:t>
      </w:r>
      <w:r w:rsidR="00751119" w:rsidRPr="00751119">
        <w:rPr>
          <w:lang w:val="sv-FI" w:eastAsia="sv-FI"/>
        </w:rPr>
        <w:t xml:space="preserve"> - </w:t>
      </w:r>
      <w:r w:rsidR="0050590D" w:rsidRPr="00751119">
        <w:rPr>
          <w:lang w:val="sv-FI" w:eastAsia="sv-FI"/>
        </w:rPr>
        <w:t xml:space="preserve">vilken </w:t>
      </w:r>
      <w:r w:rsidRPr="00751119">
        <w:rPr>
          <w:lang w:val="sv-FI" w:eastAsia="sv-FI"/>
        </w:rPr>
        <w:t>bör vara en naturlig del av allt arbete inom IT-verksamheten och speciellt inom kontinuitetsplaneringen</w:t>
      </w:r>
      <w:r w:rsidR="00751119" w:rsidRPr="00751119">
        <w:rPr>
          <w:lang w:val="sv-FI" w:eastAsia="sv-FI"/>
        </w:rPr>
        <w:t xml:space="preserve"> -</w:t>
      </w:r>
      <w:r w:rsidR="0050590D" w:rsidRPr="00751119">
        <w:rPr>
          <w:lang w:val="sv-FI" w:eastAsia="sv-FI"/>
        </w:rPr>
        <w:t xml:space="preserve"> bedöms vara otillräcklig</w:t>
      </w:r>
      <w:r w:rsidR="006E03DF" w:rsidRPr="00751119">
        <w:rPr>
          <w:lang w:val="sv-FI" w:eastAsia="sv-FI"/>
        </w:rPr>
        <w:t>. Ledningen bör skaffa sig tillräcklig insikt i IT-riskanalys och</w:t>
      </w:r>
      <w:r w:rsidR="006E03DF">
        <w:rPr>
          <w:lang w:val="sv-FI" w:eastAsia="sv-FI"/>
        </w:rPr>
        <w:t xml:space="preserve"> i de risker som finns inom </w:t>
      </w:r>
      <w:r w:rsidR="005530F4" w:rsidRPr="005530F4">
        <w:rPr>
          <w:lang w:val="sv-FI" w:eastAsia="sv-FI"/>
        </w:rPr>
        <w:t>IT</w:t>
      </w:r>
      <w:r w:rsidR="00EF7284">
        <w:rPr>
          <w:lang w:val="sv-FI" w:eastAsia="sv-FI"/>
        </w:rPr>
        <w:t>-verksamheten</w:t>
      </w:r>
      <w:r w:rsidR="006E03DF">
        <w:rPr>
          <w:lang w:val="sv-FI" w:eastAsia="sv-FI"/>
        </w:rPr>
        <w:t xml:space="preserve"> </w:t>
      </w:r>
      <w:r w:rsidR="00EF7284">
        <w:rPr>
          <w:lang w:val="sv-FI" w:eastAsia="sv-FI"/>
        </w:rPr>
        <w:t>för att kunna planera och utföra behövliga åtgärder i avsikt att minska eller eliminera befintliga risker.</w:t>
      </w:r>
    </w:p>
    <w:p w:rsidR="004C5DD3" w:rsidRDefault="004C5DD3" w:rsidP="004C5DD3">
      <w:pPr>
        <w:numPr>
          <w:ilvl w:val="0"/>
          <w:numId w:val="16"/>
        </w:numPr>
        <w:tabs>
          <w:tab w:val="left" w:pos="1560"/>
        </w:tabs>
        <w:autoSpaceDE w:val="0"/>
        <w:autoSpaceDN w:val="0"/>
        <w:adjustRightInd w:val="0"/>
        <w:spacing w:after="120"/>
        <w:ind w:left="1560" w:right="-17"/>
        <w:jc w:val="both"/>
        <w:rPr>
          <w:lang w:val="sv-FI" w:eastAsia="sv-FI"/>
        </w:rPr>
      </w:pPr>
      <w:r>
        <w:rPr>
          <w:lang w:eastAsia="sv-FI"/>
        </w:rPr>
        <w:t>I</w:t>
      </w:r>
      <w:r>
        <w:rPr>
          <w:lang w:val="sv-FI" w:eastAsia="sv-FI"/>
        </w:rPr>
        <w:t xml:space="preserve">nom ÅHS och ÅDA finns inte tillräckligt med resurser som har relevant IT-kompetens. Ledningen bör ta ansvar för att rätt resurser finns tillhanda i avsikt att tillsammans med ÅDA utveckla </w:t>
      </w:r>
      <w:r w:rsidRPr="00227121">
        <w:rPr>
          <w:lang w:val="sv-FI" w:eastAsia="sv-FI"/>
        </w:rPr>
        <w:t>IT</w:t>
      </w:r>
      <w:r>
        <w:rPr>
          <w:lang w:val="sv-FI" w:eastAsia="sv-FI"/>
        </w:rPr>
        <w:t>-verksamheten att motsvara dagens krav på bl.a. hantering av patientinformation.</w:t>
      </w:r>
    </w:p>
    <w:p w:rsidR="00362217" w:rsidRPr="00D85DFB" w:rsidRDefault="00D85DFB" w:rsidP="00EF7284">
      <w:pPr>
        <w:numPr>
          <w:ilvl w:val="0"/>
          <w:numId w:val="16"/>
        </w:numPr>
        <w:tabs>
          <w:tab w:val="left" w:pos="1560"/>
        </w:tabs>
        <w:spacing w:after="120"/>
        <w:ind w:left="1560" w:right="-17"/>
        <w:jc w:val="both"/>
      </w:pPr>
      <w:r>
        <w:rPr>
          <w:lang w:val="sv-FI" w:eastAsia="sv-FI"/>
        </w:rPr>
        <w:t xml:space="preserve">Dokumentationen är eftersatt. </w:t>
      </w:r>
      <w:r w:rsidR="00AC0682">
        <w:rPr>
          <w:lang w:val="sv-FI" w:eastAsia="sv-FI"/>
        </w:rPr>
        <w:t>Det behöver tas fram en n</w:t>
      </w:r>
      <w:r w:rsidRPr="00D85DFB">
        <w:rPr>
          <w:lang w:val="sv-FI" w:eastAsia="sv-FI"/>
        </w:rPr>
        <w:t xml:space="preserve">oggrann och uppdaterad dokumentation </w:t>
      </w:r>
      <w:r w:rsidR="009B5B86">
        <w:rPr>
          <w:lang w:val="sv-FI" w:eastAsia="sv-FI"/>
        </w:rPr>
        <w:t>på ÅH</w:t>
      </w:r>
      <w:r w:rsidRPr="00D85DFB">
        <w:rPr>
          <w:lang w:val="sv-FI" w:eastAsia="sv-FI"/>
        </w:rPr>
        <w:t xml:space="preserve">S systemomgivning inklusive systemens samverkan, integrationer och </w:t>
      </w:r>
      <w:r>
        <w:rPr>
          <w:lang w:val="sv-FI" w:eastAsia="sv-FI"/>
        </w:rPr>
        <w:t xml:space="preserve">den </w:t>
      </w:r>
      <w:r w:rsidRPr="00D85DFB">
        <w:rPr>
          <w:lang w:val="sv-FI" w:eastAsia="sv-FI"/>
        </w:rPr>
        <w:t>information systemen hanterar.</w:t>
      </w:r>
    </w:p>
    <w:p w:rsidR="00173FD2" w:rsidRPr="00E853F6" w:rsidRDefault="008947A3" w:rsidP="00362217">
      <w:pPr>
        <w:numPr>
          <w:ilvl w:val="0"/>
          <w:numId w:val="16"/>
        </w:numPr>
        <w:tabs>
          <w:tab w:val="left" w:pos="1560"/>
        </w:tabs>
        <w:spacing w:after="120"/>
        <w:ind w:left="1560" w:right="-17"/>
        <w:jc w:val="both"/>
        <w:rPr>
          <w:strike/>
        </w:rPr>
      </w:pPr>
      <w:r>
        <w:t xml:space="preserve">En extern och intern teknisk sårbarhetstestning av nätverket rekommenderas. </w:t>
      </w:r>
      <w:r w:rsidR="005D6C24">
        <w:t>På basen av testresultaten bör nätverksarkitekturen utvecklas f</w:t>
      </w:r>
      <w:r w:rsidR="0050590D">
        <w:t>rån ett riskbaserat perspektiv.</w:t>
      </w:r>
    </w:p>
    <w:p w:rsidR="00173FD2" w:rsidRDefault="00173FD2" w:rsidP="00362217">
      <w:pPr>
        <w:numPr>
          <w:ilvl w:val="0"/>
          <w:numId w:val="16"/>
        </w:numPr>
        <w:tabs>
          <w:tab w:val="left" w:pos="1560"/>
        </w:tabs>
        <w:spacing w:after="120"/>
        <w:ind w:left="1560" w:right="-17"/>
        <w:jc w:val="both"/>
      </w:pPr>
      <w:r>
        <w:t xml:space="preserve">Observationer från tidigare granskningar bör samlas in och arbetet med utvecklingsförslagen i respektive granskning startas. </w:t>
      </w:r>
    </w:p>
    <w:p w:rsidR="00B43ACA" w:rsidRDefault="00B43ACA" w:rsidP="00137DFA">
      <w:pPr>
        <w:tabs>
          <w:tab w:val="left" w:pos="5670"/>
        </w:tabs>
        <w:ind w:left="1134" w:right="-2"/>
        <w:jc w:val="both"/>
      </w:pPr>
    </w:p>
    <w:p w:rsidR="009342AD" w:rsidRDefault="009342AD" w:rsidP="00137DFA">
      <w:pPr>
        <w:tabs>
          <w:tab w:val="left" w:pos="5670"/>
        </w:tabs>
        <w:ind w:left="1134" w:right="-2"/>
        <w:jc w:val="both"/>
      </w:pPr>
    </w:p>
    <w:p w:rsidR="00B8162D" w:rsidRDefault="00B8162D" w:rsidP="00137DFA">
      <w:pPr>
        <w:tabs>
          <w:tab w:val="left" w:pos="5670"/>
        </w:tabs>
        <w:ind w:left="1134" w:right="-2"/>
        <w:jc w:val="both"/>
      </w:pPr>
      <w:r>
        <w:t>De viktigaste slutsatserna och rekommendationerna från granskningen av hyrläkarverksamheten inom ÅHS är följande:</w:t>
      </w:r>
    </w:p>
    <w:p w:rsidR="00B8162D" w:rsidRDefault="00B8162D" w:rsidP="00137DFA">
      <w:pPr>
        <w:tabs>
          <w:tab w:val="left" w:pos="5670"/>
        </w:tabs>
        <w:ind w:left="1134" w:right="-2"/>
        <w:jc w:val="both"/>
      </w:pPr>
    </w:p>
    <w:p w:rsidR="00B8162D" w:rsidRPr="00D85DFB" w:rsidRDefault="0042363F" w:rsidP="00B8162D">
      <w:pPr>
        <w:numPr>
          <w:ilvl w:val="0"/>
          <w:numId w:val="16"/>
        </w:numPr>
        <w:tabs>
          <w:tab w:val="left" w:pos="1560"/>
        </w:tabs>
        <w:spacing w:after="120"/>
        <w:ind w:left="1560" w:right="-17"/>
        <w:jc w:val="both"/>
      </w:pPr>
      <w:r>
        <w:rPr>
          <w:lang w:val="sv-FI" w:eastAsia="sv-FI"/>
        </w:rPr>
        <w:t xml:space="preserve">Det görs ingen direkt regelbunden uppföljning av totala kostnader (arvode + bikostnader) för inhyrda </w:t>
      </w:r>
      <w:r w:rsidR="007A1073">
        <w:rPr>
          <w:lang w:val="sv-FI" w:eastAsia="sv-FI"/>
        </w:rPr>
        <w:t>konsult</w:t>
      </w:r>
      <w:r>
        <w:rPr>
          <w:lang w:val="sv-FI" w:eastAsia="sv-FI"/>
        </w:rPr>
        <w:t>läkare eller jämförelse av dessa kostnader mot totalkostnader för ordinarie anställda läkare</w:t>
      </w:r>
      <w:r w:rsidR="00B8162D" w:rsidRPr="00D85DFB">
        <w:rPr>
          <w:lang w:val="sv-FI" w:eastAsia="sv-FI"/>
        </w:rPr>
        <w:t>.</w:t>
      </w:r>
      <w:r w:rsidR="00374B0C">
        <w:rPr>
          <w:lang w:val="sv-FI" w:eastAsia="sv-FI"/>
        </w:rPr>
        <w:t xml:space="preserve"> Rekommenderas att en regelbunden uppföljning införs.</w:t>
      </w:r>
    </w:p>
    <w:p w:rsidR="007A1073" w:rsidRPr="00751119" w:rsidRDefault="00655D3A" w:rsidP="007A1073">
      <w:pPr>
        <w:numPr>
          <w:ilvl w:val="0"/>
          <w:numId w:val="16"/>
        </w:numPr>
        <w:tabs>
          <w:tab w:val="left" w:pos="1560"/>
        </w:tabs>
        <w:spacing w:after="120"/>
        <w:ind w:left="1560" w:right="-17"/>
        <w:jc w:val="both"/>
      </w:pPr>
      <w:r>
        <w:rPr>
          <w:lang w:val="sv-FI" w:eastAsia="sv-FI"/>
        </w:rPr>
        <w:lastRenderedPageBreak/>
        <w:t>V</w:t>
      </w:r>
      <w:r w:rsidR="007A1073">
        <w:rPr>
          <w:lang w:val="sv-FI" w:eastAsia="sv-FI"/>
        </w:rPr>
        <w:t xml:space="preserve">id granskningen </w:t>
      </w:r>
      <w:r>
        <w:rPr>
          <w:lang w:val="sv-FI" w:eastAsia="sv-FI"/>
        </w:rPr>
        <w:t xml:space="preserve">utförd analys </w:t>
      </w:r>
      <w:r w:rsidR="007A1073">
        <w:rPr>
          <w:lang w:val="sv-FI" w:eastAsia="sv-FI"/>
        </w:rPr>
        <w:t xml:space="preserve">visade att totalkostnaden </w:t>
      </w:r>
      <w:r>
        <w:rPr>
          <w:lang w:val="sv-FI" w:eastAsia="sv-FI"/>
        </w:rPr>
        <w:t>vid</w:t>
      </w:r>
      <w:r w:rsidR="007A1073">
        <w:rPr>
          <w:lang w:val="sv-FI" w:eastAsia="sv-FI"/>
        </w:rPr>
        <w:t xml:space="preserve"> inhyrning av läkare är något över dubbla totalkostnaden för ordinarie anställda läkare.</w:t>
      </w:r>
    </w:p>
    <w:p w:rsidR="00751119" w:rsidRPr="00751119" w:rsidRDefault="00B8162D" w:rsidP="00B8162D">
      <w:pPr>
        <w:numPr>
          <w:ilvl w:val="0"/>
          <w:numId w:val="16"/>
        </w:numPr>
        <w:tabs>
          <w:tab w:val="left" w:pos="1560"/>
        </w:tabs>
        <w:spacing w:after="120"/>
        <w:ind w:left="1560" w:right="-17"/>
        <w:jc w:val="both"/>
        <w:rPr>
          <w:strike/>
        </w:rPr>
      </w:pPr>
      <w:r>
        <w:t>Ingen upphandling görs vid inköp av läkare på konsultbasis. Rekommenderas att man vid inköp av extern</w:t>
      </w:r>
      <w:r w:rsidR="00751119">
        <w:t>a</w:t>
      </w:r>
      <w:r>
        <w:t xml:space="preserve"> läkartjänster utvärderar </w:t>
      </w:r>
      <w:r w:rsidR="00751119">
        <w:t>om kontraktets värde överstiger gränsvärdena för upphandling och utför sådan vid behov.</w:t>
      </w:r>
    </w:p>
    <w:p w:rsidR="00B43ACA" w:rsidRDefault="00B43ACA" w:rsidP="00137DFA">
      <w:pPr>
        <w:tabs>
          <w:tab w:val="left" w:pos="5670"/>
        </w:tabs>
        <w:ind w:left="1134" w:right="-2"/>
        <w:jc w:val="both"/>
      </w:pPr>
    </w:p>
    <w:p w:rsidR="00AB2F6A" w:rsidRDefault="00AB2F6A" w:rsidP="00137DFA">
      <w:pPr>
        <w:tabs>
          <w:tab w:val="left" w:pos="5670"/>
        </w:tabs>
        <w:ind w:left="1134" w:right="-2"/>
        <w:jc w:val="both"/>
      </w:pPr>
    </w:p>
    <w:p w:rsidR="0011687C" w:rsidRPr="0011687C" w:rsidRDefault="0011687C" w:rsidP="00137DFA">
      <w:pPr>
        <w:pStyle w:val="Rubrik1"/>
        <w:numPr>
          <w:ilvl w:val="0"/>
          <w:numId w:val="8"/>
        </w:numPr>
        <w:tabs>
          <w:tab w:val="left" w:pos="1418"/>
        </w:tabs>
        <w:ind w:left="1134" w:right="-2" w:firstLine="0"/>
        <w:rPr>
          <w:rFonts w:ascii="Arial" w:hAnsi="Arial" w:cs="Arial"/>
          <w:sz w:val="24"/>
          <w:szCs w:val="24"/>
        </w:rPr>
      </w:pPr>
      <w:bookmarkStart w:id="4" w:name="_Toc378326780"/>
      <w:bookmarkStart w:id="5" w:name="_Toc443553621"/>
      <w:r>
        <w:rPr>
          <w:rFonts w:ascii="Arial" w:hAnsi="Arial" w:cs="Arial"/>
          <w:sz w:val="24"/>
          <w:szCs w:val="24"/>
        </w:rPr>
        <w:t xml:space="preserve">Granskning av </w:t>
      </w:r>
      <w:bookmarkEnd w:id="4"/>
      <w:r w:rsidR="00C912DC">
        <w:rPr>
          <w:rFonts w:ascii="Arial" w:hAnsi="Arial" w:cs="Arial"/>
          <w:sz w:val="24"/>
          <w:szCs w:val="24"/>
        </w:rPr>
        <w:t>museibyrån</w:t>
      </w:r>
      <w:bookmarkEnd w:id="5"/>
    </w:p>
    <w:p w:rsidR="0011687C" w:rsidRDefault="0011687C" w:rsidP="00137DFA">
      <w:pPr>
        <w:tabs>
          <w:tab w:val="num" w:pos="284"/>
          <w:tab w:val="left" w:pos="5670"/>
        </w:tabs>
        <w:ind w:left="1134" w:right="-2"/>
        <w:jc w:val="both"/>
      </w:pPr>
    </w:p>
    <w:p w:rsidR="000A12CD" w:rsidRDefault="00BE6E4C" w:rsidP="000A12CD">
      <w:pPr>
        <w:ind w:left="1134"/>
        <w:jc w:val="both"/>
      </w:pPr>
      <w:r>
        <w:t xml:space="preserve">Museibyråns uppdrag är att i stöd med lagstiftningen vara landskapets kunskapscentrum för kulturhistoria, kulturmiljö- och byggnadsarv samt konst. </w:t>
      </w:r>
      <w:r w:rsidR="000A12CD">
        <w:t xml:space="preserve">Granskningen har omfattat hela </w:t>
      </w:r>
      <w:r w:rsidR="000A12CD" w:rsidRPr="00B27753">
        <w:t>verksamhet</w:t>
      </w:r>
      <w:r w:rsidR="00961BD5">
        <w:t>en. Särskild vikt har lagts på k</w:t>
      </w:r>
      <w:r w:rsidR="000A12CD">
        <w:t xml:space="preserve">ulturarvsenheten </w:t>
      </w:r>
      <w:r w:rsidR="00DB7425">
        <w:t>samt</w:t>
      </w:r>
      <w:r w:rsidR="000A12CD">
        <w:t xml:space="preserve"> uppbyggnaden av en ny basutställning i Ålands museum</w:t>
      </w:r>
      <w:r w:rsidR="00961BD5">
        <w:t>.</w:t>
      </w:r>
    </w:p>
    <w:p w:rsidR="000A12CD" w:rsidRDefault="000A12CD" w:rsidP="000A12CD">
      <w:pPr>
        <w:ind w:left="1134"/>
        <w:jc w:val="both"/>
      </w:pPr>
    </w:p>
    <w:p w:rsidR="000A12CD" w:rsidRDefault="002D0AA1" w:rsidP="000A12CD">
      <w:pPr>
        <w:ind w:left="1134"/>
        <w:jc w:val="both"/>
      </w:pPr>
      <w:r>
        <w:t xml:space="preserve">Slutsatser och rekommendationer framgår av rapporten i bilaga. </w:t>
      </w:r>
      <w:r w:rsidR="00DA3082">
        <w:t>Följande</w:t>
      </w:r>
      <w:r w:rsidR="00DA3082" w:rsidRPr="00DA3082">
        <w:t xml:space="preserve"> </w:t>
      </w:r>
      <w:r w:rsidR="000A12CD">
        <w:t>rekommendationer</w:t>
      </w:r>
      <w:r w:rsidR="00DA3082">
        <w:t xml:space="preserve"> </w:t>
      </w:r>
      <w:r w:rsidR="008D78CA">
        <w:t>kan framhållas</w:t>
      </w:r>
      <w:r w:rsidR="00DA3082">
        <w:t xml:space="preserve"> gällande organisation och förvaltning</w:t>
      </w:r>
      <w:r w:rsidR="000A12CD">
        <w:t>:</w:t>
      </w:r>
    </w:p>
    <w:p w:rsidR="00FA40BE" w:rsidRDefault="00FA40BE" w:rsidP="00137DFA">
      <w:pPr>
        <w:tabs>
          <w:tab w:val="left" w:pos="5670"/>
        </w:tabs>
        <w:ind w:left="1134" w:right="-2"/>
        <w:jc w:val="both"/>
      </w:pPr>
    </w:p>
    <w:p w:rsidR="00CD30E3" w:rsidRPr="001E3E05" w:rsidRDefault="00CD30E3" w:rsidP="00835D90">
      <w:pPr>
        <w:numPr>
          <w:ilvl w:val="0"/>
          <w:numId w:val="16"/>
        </w:numPr>
        <w:tabs>
          <w:tab w:val="left" w:pos="426"/>
          <w:tab w:val="left" w:pos="1560"/>
        </w:tabs>
        <w:spacing w:after="120"/>
        <w:ind w:left="1559" w:right="-17" w:hanging="425"/>
        <w:jc w:val="both"/>
        <w:rPr>
          <w:b/>
        </w:rPr>
      </w:pPr>
      <w:r w:rsidRPr="001E3E05">
        <w:t xml:space="preserve">Museibyråns personal har minskat betydligt de senaste åren. Verksamheten tål inga ytterligare stora neddragningar. I stället borde energin läggas på att sköta verksamheten så effektivt som möjligt med nuvarande antal personal. </w:t>
      </w:r>
    </w:p>
    <w:p w:rsidR="00CD30E3" w:rsidRDefault="00CD30E3" w:rsidP="00DB7425">
      <w:pPr>
        <w:numPr>
          <w:ilvl w:val="0"/>
          <w:numId w:val="16"/>
        </w:numPr>
        <w:tabs>
          <w:tab w:val="left" w:pos="426"/>
          <w:tab w:val="left" w:pos="1560"/>
        </w:tabs>
        <w:spacing w:after="120"/>
        <w:ind w:left="1559" w:right="-17" w:hanging="425"/>
        <w:jc w:val="both"/>
      </w:pPr>
      <w:r>
        <w:t xml:space="preserve">Det finns mycket arbete för fältarkeologer. Det har blivit för många arkeologer som sysslar med annat (forskning, rådgivning, </w:t>
      </w:r>
      <w:r w:rsidRPr="00296DE0">
        <w:t>skrivande</w:t>
      </w:r>
      <w:r>
        <w:t>, administration m.m.)</w:t>
      </w:r>
      <w:r w:rsidR="008D78CA">
        <w:t>.</w:t>
      </w:r>
      <w:r>
        <w:t xml:space="preserve"> Organisationen är inte optimal med beaktande av anhopningen av arbete inom fältarkeologin. Resurserna borde förstärkas inom fältarkeologin när naturlig avgång blir aktuell.</w:t>
      </w:r>
    </w:p>
    <w:p w:rsidR="00CD30E3" w:rsidRDefault="00CD30E3" w:rsidP="00137DFA">
      <w:pPr>
        <w:tabs>
          <w:tab w:val="left" w:pos="5670"/>
        </w:tabs>
        <w:ind w:left="1134" w:right="-2"/>
        <w:jc w:val="both"/>
      </w:pPr>
    </w:p>
    <w:p w:rsidR="000A12CD" w:rsidRDefault="007B168A" w:rsidP="00137DFA">
      <w:pPr>
        <w:tabs>
          <w:tab w:val="left" w:pos="5670"/>
        </w:tabs>
        <w:ind w:left="1134" w:right="-2"/>
        <w:jc w:val="both"/>
      </w:pPr>
      <w:r>
        <w:t>F</w:t>
      </w:r>
      <w:r w:rsidR="00DA3082">
        <w:t>örnyande</w:t>
      </w:r>
      <w:r>
        <w:t>t</w:t>
      </w:r>
      <w:r w:rsidR="00DA3082">
        <w:t xml:space="preserve"> av basutställningen i Åland museum har försenats </w:t>
      </w:r>
      <w:r w:rsidR="00855D78">
        <w:t>kraft</w:t>
      </w:r>
      <w:r w:rsidR="00DA3082">
        <w:t xml:space="preserve">igt. Renoveringen av byggnaden </w:t>
      </w:r>
      <w:r w:rsidR="00DB7425">
        <w:t xml:space="preserve">blev </w:t>
      </w:r>
      <w:r w:rsidR="00DA3082">
        <w:t xml:space="preserve">mångdubbelt dyrare än beräknat. Många händelser har lett till den uppkomna situationen. </w:t>
      </w:r>
      <w:r w:rsidR="00835D90">
        <w:t xml:space="preserve">Bland de </w:t>
      </w:r>
      <w:r w:rsidR="00DA3082">
        <w:t xml:space="preserve">viktigaste </w:t>
      </w:r>
      <w:r w:rsidR="00835D90">
        <w:t>slutsatse</w:t>
      </w:r>
      <w:r w:rsidR="00DA3082">
        <w:t xml:space="preserve">rna </w:t>
      </w:r>
      <w:r w:rsidR="00835D90">
        <w:t>från</w:t>
      </w:r>
      <w:r w:rsidR="00DA3082">
        <w:t xml:space="preserve"> granskningen </w:t>
      </w:r>
      <w:r w:rsidR="00835D90">
        <w:t>kan</w:t>
      </w:r>
      <w:r w:rsidR="00DA3082">
        <w:t xml:space="preserve"> följande</w:t>
      </w:r>
      <w:r w:rsidR="00835D90">
        <w:t xml:space="preserve"> nämnas</w:t>
      </w:r>
      <w:r w:rsidR="00DA3082">
        <w:t>:</w:t>
      </w:r>
    </w:p>
    <w:p w:rsidR="00171609" w:rsidRDefault="00171609" w:rsidP="00137DFA">
      <w:pPr>
        <w:tabs>
          <w:tab w:val="left" w:pos="5670"/>
        </w:tabs>
        <w:ind w:left="1134" w:right="-2"/>
      </w:pPr>
    </w:p>
    <w:p w:rsidR="00835D90" w:rsidRPr="007D13B8" w:rsidRDefault="00835D90" w:rsidP="00835D90">
      <w:pPr>
        <w:numPr>
          <w:ilvl w:val="0"/>
          <w:numId w:val="16"/>
        </w:numPr>
        <w:tabs>
          <w:tab w:val="left" w:pos="567"/>
          <w:tab w:val="left" w:pos="1560"/>
        </w:tabs>
        <w:spacing w:after="120"/>
        <w:ind w:left="1560" w:right="-17" w:hanging="426"/>
        <w:jc w:val="both"/>
        <w:rPr>
          <w:b/>
        </w:rPr>
      </w:pPr>
      <w:r w:rsidRPr="007D13B8">
        <w:t xml:space="preserve">Det är förvånande att beslutet om att stänga den gamla basutställningen tas i augusti 2012 utan grundligare planering. Beslutsfattarna borde ha insett att det inte är möjligt att hinna med tillräckliga förberedelser under ett halvår fram till den 1.3.2013. Det hade varit bättre att hålla öppet sommarsäsongen 2013 och stängt muséet hösten 2013 i stället. </w:t>
      </w:r>
    </w:p>
    <w:p w:rsidR="00835D90" w:rsidRDefault="00835D90" w:rsidP="00835D90">
      <w:pPr>
        <w:numPr>
          <w:ilvl w:val="0"/>
          <w:numId w:val="16"/>
        </w:numPr>
        <w:tabs>
          <w:tab w:val="left" w:pos="426"/>
          <w:tab w:val="left" w:pos="1560"/>
        </w:tabs>
        <w:spacing w:after="120"/>
        <w:ind w:left="1560" w:right="-17" w:hanging="426"/>
        <w:jc w:val="both"/>
      </w:pPr>
      <w:r>
        <w:t>När det var dags att stänga basutställningen hade museibyrån inte hunnit med planerat förberedelsearbete på grund av att flera andra</w:t>
      </w:r>
      <w:r w:rsidRPr="00FE79B5">
        <w:t xml:space="preserve"> </w:t>
      </w:r>
      <w:r>
        <w:t>tidsödande ärenden var aktuella vid den här tidpunkten. Byggnadsbyrån hade gjort en första uppskattning av renoveringen och flaggade för att tillräckligt med pengar inte fanns i budgeten för 2013. Eftersom nödvändigt planeringsarbete fortfarande var ogjort borde man ha ändrat sig och skjutit upp stängningen av muséet.</w:t>
      </w:r>
    </w:p>
    <w:p w:rsidR="009342AD" w:rsidRDefault="009342AD" w:rsidP="009342AD">
      <w:pPr>
        <w:numPr>
          <w:ilvl w:val="0"/>
          <w:numId w:val="16"/>
        </w:numPr>
        <w:tabs>
          <w:tab w:val="left" w:pos="426"/>
          <w:tab w:val="left" w:pos="1560"/>
        </w:tabs>
        <w:spacing w:after="120"/>
        <w:ind w:left="1560" w:right="-17" w:hanging="426"/>
        <w:jc w:val="both"/>
      </w:pPr>
      <w:r w:rsidRPr="00BF1E35">
        <w:t>Upphandlingen av utställningsformgivare</w:t>
      </w:r>
      <w:r>
        <w:t xml:space="preserve"> samt färdigställande av</w:t>
      </w:r>
      <w:r w:rsidRPr="00BF1E35">
        <w:t xml:space="preserve"> synopsis (manus) för den nya basutställningen </w:t>
      </w:r>
      <w:r>
        <w:t xml:space="preserve">tog lång tid för </w:t>
      </w:r>
      <w:r w:rsidRPr="00BF1E35">
        <w:t>museibyrån</w:t>
      </w:r>
      <w:r>
        <w:t xml:space="preserve"> att få klart</w:t>
      </w:r>
      <w:r w:rsidRPr="00BF1E35">
        <w:t xml:space="preserve">. </w:t>
      </w:r>
      <w:r w:rsidR="00706388">
        <w:t xml:space="preserve">Det </w:t>
      </w:r>
      <w:r>
        <w:t>tog förhållandevis lång tid</w:t>
      </w:r>
      <w:r w:rsidR="00706388" w:rsidRPr="00706388">
        <w:t xml:space="preserve"> </w:t>
      </w:r>
      <w:r w:rsidR="00706388">
        <w:t>att få anbudsunderlagen för renoveringen färdigställda</w:t>
      </w:r>
      <w:r>
        <w:t xml:space="preserve">. </w:t>
      </w:r>
      <w:r w:rsidR="009204CD">
        <w:t xml:space="preserve">Politiska beslut dröjde. </w:t>
      </w:r>
      <w:r>
        <w:t xml:space="preserve">Sammantaget uppstod väsentliga </w:t>
      </w:r>
      <w:r>
        <w:lastRenderedPageBreak/>
        <w:t>förseningar i projektet.</w:t>
      </w:r>
      <w:r w:rsidR="009204CD">
        <w:t xml:space="preserve"> </w:t>
      </w:r>
      <w:r w:rsidR="00706388">
        <w:t>Samordningen mellan b</w:t>
      </w:r>
      <w:r w:rsidR="009204CD" w:rsidRPr="0024509C">
        <w:t xml:space="preserve">yggnadsbyrån och museibyrån borde </w:t>
      </w:r>
      <w:r w:rsidR="00961BD5">
        <w:t xml:space="preserve">även </w:t>
      </w:r>
      <w:r w:rsidR="009204CD" w:rsidRPr="0024509C">
        <w:t xml:space="preserve">ha </w:t>
      </w:r>
      <w:r w:rsidR="00706388">
        <w:t>fungerat</w:t>
      </w:r>
      <w:r w:rsidR="009204CD" w:rsidRPr="0024509C">
        <w:t xml:space="preserve"> bättre.</w:t>
      </w:r>
    </w:p>
    <w:p w:rsidR="009342AD" w:rsidRDefault="009342AD" w:rsidP="009342AD">
      <w:pPr>
        <w:numPr>
          <w:ilvl w:val="0"/>
          <w:numId w:val="16"/>
        </w:numPr>
        <w:tabs>
          <w:tab w:val="left" w:pos="426"/>
          <w:tab w:val="left" w:pos="1560"/>
        </w:tabs>
        <w:spacing w:after="120"/>
        <w:ind w:left="1560" w:right="-17" w:hanging="426"/>
        <w:jc w:val="both"/>
      </w:pPr>
      <w:r>
        <w:t>När det gäller museibyråns basutställningsprojekt har planeringen samt den interna styrningen och kontrollen inte fungerat så som man har rätt att kräva. För att undvika liknande misstag i framtiden är det väsentligt att landskapsregeringen ökar förståelsen för samt prioriterar den interna styrningen och kontrollen på alla nivåer - den politiska ledningen, avdelningschefer, byråchefer, myndighetschefer m.fl. - inom förvaltningen.</w:t>
      </w:r>
    </w:p>
    <w:p w:rsidR="00362217" w:rsidRDefault="00362217" w:rsidP="00137DFA">
      <w:pPr>
        <w:ind w:left="1134" w:right="-2"/>
        <w:jc w:val="both"/>
      </w:pPr>
    </w:p>
    <w:p w:rsidR="00362217" w:rsidRDefault="00362217" w:rsidP="00137DFA">
      <w:pPr>
        <w:ind w:left="1134" w:right="-2"/>
        <w:jc w:val="both"/>
      </w:pPr>
    </w:p>
    <w:p w:rsidR="00362217" w:rsidRPr="0011687C" w:rsidRDefault="00362217" w:rsidP="00362217">
      <w:pPr>
        <w:pStyle w:val="Rubrik1"/>
        <w:numPr>
          <w:ilvl w:val="0"/>
          <w:numId w:val="8"/>
        </w:numPr>
        <w:tabs>
          <w:tab w:val="left" w:pos="1418"/>
        </w:tabs>
        <w:ind w:left="1134" w:right="-2" w:firstLine="0"/>
        <w:rPr>
          <w:rFonts w:ascii="Arial" w:hAnsi="Arial" w:cs="Arial"/>
          <w:sz w:val="24"/>
          <w:szCs w:val="24"/>
        </w:rPr>
      </w:pPr>
      <w:bookmarkStart w:id="6" w:name="_Toc443553622"/>
      <w:r>
        <w:rPr>
          <w:rFonts w:ascii="Arial" w:hAnsi="Arial" w:cs="Arial"/>
          <w:sz w:val="24"/>
          <w:szCs w:val="24"/>
        </w:rPr>
        <w:t xml:space="preserve">Granskning av </w:t>
      </w:r>
      <w:r w:rsidR="00173FD2">
        <w:rPr>
          <w:rFonts w:ascii="Arial" w:hAnsi="Arial" w:cs="Arial"/>
          <w:sz w:val="24"/>
          <w:szCs w:val="24"/>
        </w:rPr>
        <w:t xml:space="preserve">Ålands </w:t>
      </w:r>
      <w:r w:rsidR="000E11F4">
        <w:rPr>
          <w:rFonts w:ascii="Arial" w:hAnsi="Arial" w:cs="Arial"/>
          <w:sz w:val="24"/>
          <w:szCs w:val="24"/>
        </w:rPr>
        <w:t>miljö</w:t>
      </w:r>
      <w:r w:rsidR="00173FD2">
        <w:rPr>
          <w:rFonts w:ascii="Arial" w:hAnsi="Arial" w:cs="Arial"/>
          <w:sz w:val="24"/>
          <w:szCs w:val="24"/>
        </w:rPr>
        <w:t xml:space="preserve">- och </w:t>
      </w:r>
      <w:r w:rsidR="000E11F4">
        <w:rPr>
          <w:rFonts w:ascii="Arial" w:hAnsi="Arial" w:cs="Arial"/>
          <w:sz w:val="24"/>
          <w:szCs w:val="24"/>
        </w:rPr>
        <w:t>hälso</w:t>
      </w:r>
      <w:r w:rsidR="00173FD2">
        <w:rPr>
          <w:rFonts w:ascii="Arial" w:hAnsi="Arial" w:cs="Arial"/>
          <w:sz w:val="24"/>
          <w:szCs w:val="24"/>
        </w:rPr>
        <w:t>skyddsmyndighet</w:t>
      </w:r>
      <w:bookmarkEnd w:id="6"/>
    </w:p>
    <w:p w:rsidR="00362217" w:rsidRDefault="00362217" w:rsidP="00362217">
      <w:pPr>
        <w:tabs>
          <w:tab w:val="num" w:pos="284"/>
          <w:tab w:val="left" w:pos="5670"/>
        </w:tabs>
        <w:ind w:left="1134" w:right="-2"/>
        <w:jc w:val="both"/>
      </w:pPr>
    </w:p>
    <w:p w:rsidR="00560EF0" w:rsidRDefault="00560EF0" w:rsidP="00560EF0">
      <w:pPr>
        <w:pStyle w:val="Indragetstycke"/>
        <w:ind w:left="1134"/>
        <w:jc w:val="both"/>
        <w:rPr>
          <w:lang w:val="sv-FI"/>
        </w:rPr>
      </w:pPr>
      <w:r>
        <w:rPr>
          <w:lang w:val="sv-FI"/>
        </w:rPr>
        <w:t>I Ålands miljö- och hälsoskyddsmyndighets (ÅMHM) uppdrag ingår bland annat tillsyn inom områdena hälso</w:t>
      </w:r>
      <w:r>
        <w:t>skydd, livsmedel, vatten, tobak, konsumentsäkerhet, djurskydd, socialvård, hälso- och sjukvård samt miljö, såväl tillstånd som tillsyn gällande alkoholservering, handläggning av miljötillstånds- och miljögranskningsärenden samt beredskapsfrågor. Dessutom tillhandahåller ÅMHM veterinärvård samt ackrediterade laboratorietjänster.</w:t>
      </w:r>
    </w:p>
    <w:p w:rsidR="00560EF0" w:rsidRDefault="00560EF0" w:rsidP="008D78CA">
      <w:pPr>
        <w:ind w:left="1134"/>
        <w:jc w:val="both"/>
        <w:rPr>
          <w:lang w:val="sv-FI"/>
        </w:rPr>
      </w:pPr>
    </w:p>
    <w:p w:rsidR="00DE2CB9" w:rsidRDefault="009742CF" w:rsidP="00655D3A">
      <w:pPr>
        <w:ind w:left="1134"/>
        <w:jc w:val="both"/>
      </w:pPr>
      <w:r>
        <w:t xml:space="preserve">Granskningen har omfattat hela </w:t>
      </w:r>
      <w:r w:rsidRPr="00B27753">
        <w:t>verksamhet</w:t>
      </w:r>
      <w:r>
        <w:t>en</w:t>
      </w:r>
      <w:r w:rsidR="00F001C6" w:rsidRPr="00F001C6">
        <w:t xml:space="preserve"> </w:t>
      </w:r>
      <w:r w:rsidR="00F001C6">
        <w:t>inom ÅMHM</w:t>
      </w:r>
      <w:r>
        <w:t xml:space="preserve">. </w:t>
      </w:r>
      <w:r w:rsidR="00493335">
        <w:t>M</w:t>
      </w:r>
      <w:r w:rsidR="00493335" w:rsidRPr="008851FF">
        <w:t>iljöskyddsinspektörernas a</w:t>
      </w:r>
      <w:r w:rsidR="00493335">
        <w:t>rbets</w:t>
      </w:r>
      <w:r w:rsidR="00493335" w:rsidRPr="008851FF">
        <w:t>område</w:t>
      </w:r>
      <w:r w:rsidR="00493335">
        <w:t xml:space="preserve"> </w:t>
      </w:r>
      <w:r w:rsidR="008D78CA">
        <w:t>har ägnats särskild uppmärksamhet</w:t>
      </w:r>
      <w:r w:rsidR="008D78CA" w:rsidRPr="006D54FD">
        <w:t xml:space="preserve">. </w:t>
      </w:r>
      <w:r w:rsidR="008D78CA">
        <w:t xml:space="preserve">Slutsatser och rekommendationer framgår av rapporten i bilaga. </w:t>
      </w:r>
      <w:r w:rsidR="00DE2CB9">
        <w:t>Bland de viktigaste kan följande nämnas:</w:t>
      </w:r>
    </w:p>
    <w:p w:rsidR="00362217" w:rsidRDefault="00362217" w:rsidP="00137DFA">
      <w:pPr>
        <w:ind w:left="1134" w:right="-2"/>
        <w:jc w:val="both"/>
      </w:pPr>
    </w:p>
    <w:p w:rsidR="00D31925" w:rsidRDefault="00D31925" w:rsidP="00644673">
      <w:pPr>
        <w:numPr>
          <w:ilvl w:val="0"/>
          <w:numId w:val="16"/>
        </w:numPr>
        <w:tabs>
          <w:tab w:val="left" w:pos="1560"/>
        </w:tabs>
        <w:spacing w:after="120"/>
        <w:ind w:left="1560" w:right="-17" w:hanging="426"/>
        <w:jc w:val="both"/>
      </w:pPr>
      <w:r>
        <w:t xml:space="preserve">Styrelse för ÅMHM behövs inte om man ser till de ärenden som nu behandlas där. </w:t>
      </w:r>
      <w:r w:rsidRPr="00E16741">
        <w:t>Myndighetschefen kan få utökade befogenheter (jämför t.ex. med AMS som inte har någon styrelse).</w:t>
      </w:r>
      <w:r w:rsidRPr="000A1F3B">
        <w:rPr>
          <w:color w:val="00B050"/>
        </w:rPr>
        <w:t xml:space="preserve"> </w:t>
      </w:r>
      <w:r>
        <w:t xml:space="preserve">Finner man att vissa </w:t>
      </w:r>
      <w:r w:rsidRPr="00E16741">
        <w:t>ärenden (sakfrågor utan politisk koppling)</w:t>
      </w:r>
      <w:r>
        <w:t xml:space="preserve"> kräver en bredare förankring kan prövningsnämnden ges utökade befogenheter. Politiskt inflytande över den lagstyrda verksamheten bör inte finnas. Den politiska styrningen sker via lagstiftningen som hanteras på social- och miljöavdelningen. Därifrån kan även föreslås prioriteringar av områden som tillsynen borde inriktas på.</w:t>
      </w:r>
    </w:p>
    <w:p w:rsidR="00D31925" w:rsidRPr="00D31925" w:rsidRDefault="00D31925" w:rsidP="00644673">
      <w:pPr>
        <w:numPr>
          <w:ilvl w:val="0"/>
          <w:numId w:val="16"/>
        </w:numPr>
        <w:tabs>
          <w:tab w:val="left" w:pos="1560"/>
        </w:tabs>
        <w:spacing w:after="120"/>
        <w:ind w:left="1560" w:right="-17" w:hanging="426"/>
        <w:jc w:val="both"/>
      </w:pPr>
      <w:r>
        <w:rPr>
          <w:lang w:val="sv-FI" w:eastAsia="sv-FI"/>
        </w:rPr>
        <w:t>Den interna styrningen och kontrollen inom ÅMHM har inte fungerat tillfredsställande</w:t>
      </w:r>
      <w:r w:rsidRPr="00E16741">
        <w:rPr>
          <w:lang w:val="sv-FI" w:eastAsia="sv-FI"/>
        </w:rPr>
        <w:t>, undantaget laboratoriet.</w:t>
      </w:r>
      <w:r>
        <w:rPr>
          <w:lang w:val="sv-FI" w:eastAsia="sv-FI"/>
        </w:rPr>
        <w:t xml:space="preserve"> Det är förvånande att ingen systematisk kartläggning av miljölagstiftningen finns och vad den i praktiken innebär för myndighetens uppdrag. </w:t>
      </w:r>
      <w:r w:rsidRPr="00E16741">
        <w:rPr>
          <w:lang w:val="sv-FI" w:eastAsia="sv-FI"/>
        </w:rPr>
        <w:t>Myndighetsjuristens pågående</w:t>
      </w:r>
      <w:r w:rsidRPr="00843FAE">
        <w:rPr>
          <w:color w:val="00B050"/>
          <w:lang w:val="sv-FI" w:eastAsia="sv-FI"/>
        </w:rPr>
        <w:t xml:space="preserve"> </w:t>
      </w:r>
      <w:r>
        <w:rPr>
          <w:lang w:val="sv-FI" w:eastAsia="sv-FI"/>
        </w:rPr>
        <w:t xml:space="preserve">arbete med detta borde prioriteras </w:t>
      </w:r>
      <w:r w:rsidRPr="00E16741">
        <w:rPr>
          <w:lang w:val="sv-FI" w:eastAsia="sv-FI"/>
        </w:rPr>
        <w:t>ännu kraftigare</w:t>
      </w:r>
      <w:r>
        <w:rPr>
          <w:lang w:val="sv-FI" w:eastAsia="sv-FI"/>
        </w:rPr>
        <w:t>.</w:t>
      </w:r>
    </w:p>
    <w:p w:rsidR="00D31925" w:rsidRDefault="00D31925" w:rsidP="00644673">
      <w:pPr>
        <w:numPr>
          <w:ilvl w:val="0"/>
          <w:numId w:val="16"/>
        </w:numPr>
        <w:tabs>
          <w:tab w:val="left" w:pos="1560"/>
        </w:tabs>
        <w:spacing w:after="120"/>
        <w:ind w:left="1560" w:right="-17" w:hanging="426"/>
        <w:jc w:val="both"/>
      </w:pPr>
      <w:r>
        <w:t>Tillsyn inom social-, hälso- och sjukvården flyttades till ÅMHM. Den borde flyttas tillbaka till landskapsregeringen eftersom den inte passar in i den övriga verksamheten. Sakkunskapen inom detta område finns på socialbyrån samt hälso- och sjukvårdsbyrån varför man är bäst lämpad att även sköta tillsynen. Det är inte ändamålsenligt att bygga upp kompetens inom detta omfattande ämnesområde på två olika ställen inom landskapets förvaltning.</w:t>
      </w:r>
    </w:p>
    <w:p w:rsidR="00D31925" w:rsidRDefault="00D31925" w:rsidP="00644673">
      <w:pPr>
        <w:numPr>
          <w:ilvl w:val="0"/>
          <w:numId w:val="16"/>
        </w:numPr>
        <w:tabs>
          <w:tab w:val="left" w:pos="1560"/>
        </w:tabs>
        <w:spacing w:after="120"/>
        <w:ind w:left="1560" w:right="-17" w:hanging="426"/>
        <w:jc w:val="both"/>
      </w:pPr>
      <w:r>
        <w:t xml:space="preserve">Landskapsregeringen måste åtgärda bristerna i lagstiftningen inom veterinärvården. En ny </w:t>
      </w:r>
      <w:r w:rsidRPr="00F81149">
        <w:t>djurskyddslag planeras av landskapsregeringen. Det vore mest ändamålsenligt</w:t>
      </w:r>
      <w:r>
        <w:t xml:space="preserve"> att gå in för blankettlagstiftning inom detta </w:t>
      </w:r>
      <w:r>
        <w:lastRenderedPageBreak/>
        <w:t>speciella område. Högst antagligen behövs en landskapsveterinär för att tillsammans med lagberedningen och ÅMHM arbeta med detta. Alternativt överförs alla veterinärfrågor till ÅMHM vilket fordrar en veterinär till för att man ska klara av både det löpande veterinärarbetet inklusive jour och lagstiftningsarbetet.</w:t>
      </w:r>
    </w:p>
    <w:p w:rsidR="00D31925" w:rsidRDefault="00D31925" w:rsidP="00644673">
      <w:pPr>
        <w:numPr>
          <w:ilvl w:val="0"/>
          <w:numId w:val="16"/>
        </w:numPr>
        <w:tabs>
          <w:tab w:val="left" w:pos="1560"/>
        </w:tabs>
        <w:spacing w:after="120"/>
        <w:ind w:left="1560" w:right="-17" w:hanging="426"/>
        <w:jc w:val="both"/>
      </w:pPr>
      <w:r w:rsidRPr="004310FA">
        <w:rPr>
          <w:lang w:val="sv-FI" w:eastAsia="sv-FI"/>
        </w:rPr>
        <w:t>ÅMHM bör utveckla en praxis för handläggningen av olika ärenden och dokumentera denna</w:t>
      </w:r>
      <w:r>
        <w:rPr>
          <w:lang w:val="sv-FI" w:eastAsia="sv-FI"/>
        </w:rPr>
        <w:t xml:space="preserve"> (</w:t>
      </w:r>
      <w:r w:rsidRPr="00464EC6">
        <w:rPr>
          <w:lang w:val="sv-FI" w:eastAsia="sv-FI"/>
        </w:rPr>
        <w:t>ingår som en del i det pågående kvalitetsarbetet</w:t>
      </w:r>
      <w:r>
        <w:rPr>
          <w:lang w:val="sv-FI" w:eastAsia="sv-FI"/>
        </w:rPr>
        <w:t>)</w:t>
      </w:r>
      <w:r w:rsidRPr="00464EC6">
        <w:rPr>
          <w:lang w:val="sv-FI" w:eastAsia="sv-FI"/>
        </w:rPr>
        <w:t>.</w:t>
      </w:r>
      <w:r>
        <w:rPr>
          <w:color w:val="00B050"/>
          <w:lang w:val="sv-FI" w:eastAsia="sv-FI"/>
        </w:rPr>
        <w:t xml:space="preserve"> </w:t>
      </w:r>
      <w:r w:rsidRPr="004310FA">
        <w:rPr>
          <w:lang w:val="sv-FI" w:eastAsia="sv-FI"/>
        </w:rPr>
        <w:t>Myndighetschef</w:t>
      </w:r>
      <w:r>
        <w:rPr>
          <w:lang w:val="sv-FI" w:eastAsia="sv-FI"/>
        </w:rPr>
        <w:t>en</w:t>
      </w:r>
      <w:r w:rsidRPr="004310FA">
        <w:rPr>
          <w:lang w:val="sv-FI" w:eastAsia="sv-FI"/>
        </w:rPr>
        <w:t xml:space="preserve"> och </w:t>
      </w:r>
      <w:r>
        <w:rPr>
          <w:lang w:val="sv-FI" w:eastAsia="sv-FI"/>
        </w:rPr>
        <w:t>-</w:t>
      </w:r>
      <w:r w:rsidRPr="004310FA">
        <w:rPr>
          <w:lang w:val="sv-FI" w:eastAsia="sv-FI"/>
        </w:rPr>
        <w:t xml:space="preserve">juristen har nyckelroller i detta arbete. </w:t>
      </w:r>
      <w:r w:rsidRPr="004310FA">
        <w:t>ÅMHM har den praktiska sakkunskapen inom sitt område och de bästa</w:t>
      </w:r>
      <w:r>
        <w:t xml:space="preserve"> förutsättningarna att ta fram anvisningar. Samma sakkunskap finns inte hos landskapsregeringen. Det är inte ändamålsenligt att ha tjänstemän med tillräcklig kompetens inom de olika miljöområdena på två olika ställen inom landskapets förvaltning.</w:t>
      </w:r>
    </w:p>
    <w:p w:rsidR="00D31925" w:rsidRPr="00304386" w:rsidRDefault="00D31925" w:rsidP="00644673">
      <w:pPr>
        <w:numPr>
          <w:ilvl w:val="0"/>
          <w:numId w:val="16"/>
        </w:numPr>
        <w:tabs>
          <w:tab w:val="left" w:pos="1560"/>
        </w:tabs>
        <w:spacing w:after="120"/>
        <w:ind w:left="1560" w:right="-17" w:hanging="426"/>
        <w:jc w:val="both"/>
      </w:pPr>
      <w:r>
        <w:t xml:space="preserve">ÅMHM bör utveckla tillsynen genom att införa riskbaserad tillsyn på objektnivå. Dagens system innebär att en verksamhet med godkänd riskhantering kontrolleras lika ofta som en som konstaterats ha brister. Därtill </w:t>
      </w:r>
      <w:r w:rsidRPr="001D687F">
        <w:t>leder inte alltid brister vid tillsynen till ett föreläggande (inklusive</w:t>
      </w:r>
      <w:r>
        <w:t xml:space="preserve"> tilläggsavgift)</w:t>
      </w:r>
      <w:r w:rsidRPr="000832A3">
        <w:t>. Verksamheter med fungerande</w:t>
      </w:r>
      <w:r>
        <w:t xml:space="preserve"> riskhantering ska kunna ha en lägre tillsynsavgift. Systemet med årsfakturering bör överges.</w:t>
      </w:r>
    </w:p>
    <w:p w:rsidR="00D31925" w:rsidRDefault="00D31925" w:rsidP="00137DFA">
      <w:pPr>
        <w:ind w:left="1134" w:right="-2"/>
        <w:jc w:val="both"/>
      </w:pPr>
    </w:p>
    <w:p w:rsidR="00D31925" w:rsidRDefault="00D31925" w:rsidP="00137DFA">
      <w:pPr>
        <w:ind w:left="1134" w:right="-2"/>
        <w:jc w:val="both"/>
      </w:pPr>
    </w:p>
    <w:p w:rsidR="00362217" w:rsidRPr="0011687C" w:rsidRDefault="00362217" w:rsidP="005D2EB9">
      <w:pPr>
        <w:pStyle w:val="Rubrik1"/>
        <w:numPr>
          <w:ilvl w:val="0"/>
          <w:numId w:val="8"/>
        </w:numPr>
        <w:tabs>
          <w:tab w:val="left" w:pos="1418"/>
        </w:tabs>
        <w:ind w:left="1418" w:right="-2" w:hanging="284"/>
        <w:rPr>
          <w:rFonts w:ascii="Arial" w:hAnsi="Arial" w:cs="Arial"/>
          <w:sz w:val="24"/>
          <w:szCs w:val="24"/>
        </w:rPr>
      </w:pPr>
      <w:bookmarkStart w:id="7" w:name="_Toc443553623"/>
      <w:r>
        <w:rPr>
          <w:rFonts w:ascii="Arial" w:hAnsi="Arial" w:cs="Arial"/>
          <w:sz w:val="24"/>
          <w:szCs w:val="24"/>
        </w:rPr>
        <w:t xml:space="preserve">Granskning av </w:t>
      </w:r>
      <w:r w:rsidR="00173FD2">
        <w:rPr>
          <w:rFonts w:ascii="Arial" w:hAnsi="Arial" w:cs="Arial"/>
          <w:sz w:val="24"/>
          <w:szCs w:val="24"/>
        </w:rPr>
        <w:t>upphandlingsprocesserna inom landskapets centralförvaltning</w:t>
      </w:r>
      <w:bookmarkEnd w:id="7"/>
    </w:p>
    <w:p w:rsidR="00362217" w:rsidRDefault="00362217" w:rsidP="00362217">
      <w:pPr>
        <w:tabs>
          <w:tab w:val="num" w:pos="284"/>
          <w:tab w:val="left" w:pos="5670"/>
        </w:tabs>
        <w:ind w:left="1134" w:right="-2"/>
        <w:jc w:val="both"/>
      </w:pPr>
    </w:p>
    <w:p w:rsidR="005D2EB9" w:rsidRDefault="005D2EB9" w:rsidP="005D2EB9">
      <w:pPr>
        <w:tabs>
          <w:tab w:val="left" w:pos="9072"/>
        </w:tabs>
        <w:ind w:left="1134"/>
        <w:jc w:val="both"/>
      </w:pPr>
      <w:r>
        <w:t xml:space="preserve">Bakgrunden till offentlig upphandling står att finna i fördraget om Europeiska unionens funktionssätt och principerna om fri rörlighet för varor och tjänster samt därtill hörande principer om likabehandling, icke-diskriminering, proportionalitet och öppenhet.  </w:t>
      </w:r>
    </w:p>
    <w:p w:rsidR="005D2EB9" w:rsidRDefault="005D2EB9" w:rsidP="005D2EB9">
      <w:pPr>
        <w:tabs>
          <w:tab w:val="left" w:pos="9072"/>
        </w:tabs>
        <w:ind w:left="1134"/>
        <w:jc w:val="both"/>
      </w:pPr>
    </w:p>
    <w:p w:rsidR="005D2EB9" w:rsidRDefault="005D2EB9" w:rsidP="005D2EB9">
      <w:pPr>
        <w:tabs>
          <w:tab w:val="left" w:pos="9072"/>
        </w:tabs>
        <w:ind w:left="1134"/>
        <w:jc w:val="both"/>
      </w:pPr>
      <w:r>
        <w:t>EU-upphandling innebär att upphandlingen överstiger EU:s fastställda tröskelvärde</w:t>
      </w:r>
      <w:r w:rsidR="008E556F">
        <w:t>n</w:t>
      </w:r>
      <w:r>
        <w:t>, varvid rikets lag om offentlig upphandling tillämpas. För upphandlingar under EU:s tröskelvärden tillämpas landskapets regler. Unionens lagstiftning ligger till grund för den nationella lagstiftningen och även för upphandlingar under tröskelvärdena ska kommissionens tolkningsmeddelande beaktas. EU:s tröskelvärden uppdateras vart annat år</w:t>
      </w:r>
      <w:r w:rsidR="00AD0C9F">
        <w:t xml:space="preserve"> (från 1.1.2016 är gränsen </w:t>
      </w:r>
      <w:r w:rsidR="0001043A">
        <w:t xml:space="preserve">för upphandling av varor och tjänster </w:t>
      </w:r>
      <w:r w:rsidR="00AD0C9F">
        <w:t>209 000 euro)</w:t>
      </w:r>
      <w:r>
        <w:t>.</w:t>
      </w:r>
    </w:p>
    <w:p w:rsidR="00D149F8" w:rsidRDefault="00D149F8" w:rsidP="005D2EB9">
      <w:pPr>
        <w:tabs>
          <w:tab w:val="left" w:pos="9072"/>
        </w:tabs>
        <w:ind w:left="1134"/>
        <w:jc w:val="both"/>
      </w:pPr>
    </w:p>
    <w:p w:rsidR="00D149F8" w:rsidRDefault="00D149F8" w:rsidP="00D149F8">
      <w:pPr>
        <w:ind w:left="1134"/>
        <w:jc w:val="both"/>
      </w:pPr>
      <w:r>
        <w:t>Slutsatser från granskningen framgår av rapporten i bilaga. Bland de viktigaste kan följande nämnas:</w:t>
      </w:r>
    </w:p>
    <w:p w:rsidR="005D2EB9" w:rsidRDefault="005D2EB9" w:rsidP="005D2EB9">
      <w:pPr>
        <w:tabs>
          <w:tab w:val="left" w:pos="9072"/>
        </w:tabs>
        <w:ind w:left="1134"/>
        <w:jc w:val="both"/>
      </w:pPr>
    </w:p>
    <w:p w:rsidR="00E206B3" w:rsidRPr="00304386" w:rsidRDefault="00E206B3" w:rsidP="00E206B3">
      <w:pPr>
        <w:numPr>
          <w:ilvl w:val="0"/>
          <w:numId w:val="16"/>
        </w:numPr>
        <w:tabs>
          <w:tab w:val="left" w:pos="426"/>
          <w:tab w:val="left" w:pos="1560"/>
        </w:tabs>
        <w:spacing w:after="120"/>
        <w:ind w:left="1560" w:right="-17" w:hanging="426"/>
        <w:jc w:val="both"/>
      </w:pPr>
      <w:r>
        <w:t>Allmänt</w:t>
      </w:r>
      <w:r w:rsidRPr="005D2EB9">
        <w:t xml:space="preserve"> konstateras att u</w:t>
      </w:r>
      <w:r>
        <w:t>pphandlingsprocesserna fungerar</w:t>
      </w:r>
      <w:r w:rsidRPr="005D2EB9">
        <w:t xml:space="preserve"> men inte på ett systematiskt sätt. Upphandling av tjänster är </w:t>
      </w:r>
      <w:r>
        <w:t>vanligast</w:t>
      </w:r>
      <w:r w:rsidRPr="005D2EB9">
        <w:t xml:space="preserve">. </w:t>
      </w:r>
      <w:r>
        <w:t>R</w:t>
      </w:r>
      <w:r w:rsidRPr="005D2EB9">
        <w:t>elativt få</w:t>
      </w:r>
      <w:r>
        <w:t xml:space="preserve"> av dessa </w:t>
      </w:r>
      <w:r w:rsidRPr="005D2EB9">
        <w:t>upphandlingar</w:t>
      </w:r>
      <w:r>
        <w:t xml:space="preserve"> ö</w:t>
      </w:r>
      <w:r w:rsidRPr="005D2EB9">
        <w:t>ver</w:t>
      </w:r>
      <w:r>
        <w:t>stiger</w:t>
      </w:r>
      <w:r w:rsidRPr="005D2EB9">
        <w:t xml:space="preserve"> EU:s tröskelvärden</w:t>
      </w:r>
      <w:r>
        <w:t>.</w:t>
      </w:r>
    </w:p>
    <w:p w:rsidR="00E206B3" w:rsidRPr="00304386" w:rsidRDefault="00E206B3" w:rsidP="00E206B3">
      <w:pPr>
        <w:numPr>
          <w:ilvl w:val="0"/>
          <w:numId w:val="16"/>
        </w:numPr>
        <w:tabs>
          <w:tab w:val="left" w:pos="426"/>
          <w:tab w:val="left" w:pos="1560"/>
        </w:tabs>
        <w:spacing w:after="120"/>
        <w:ind w:left="1560" w:right="-17" w:hanging="426"/>
        <w:jc w:val="both"/>
      </w:pPr>
      <w:r w:rsidRPr="005D2EB9">
        <w:t>Ramavtal, eller generell överenskommelse, innebär en förenklad byråkrati vid offentlig upphandling och kan bidra till kostnadseffektivare anskaffningar.</w:t>
      </w:r>
      <w:r>
        <w:t xml:space="preserve"> </w:t>
      </w:r>
      <w:r w:rsidR="0001043A">
        <w:lastRenderedPageBreak/>
        <w:t>D</w:t>
      </w:r>
      <w:r w:rsidR="0001043A" w:rsidRPr="005D2EB9">
        <w:t xml:space="preserve">enna typ av samordnad upphandling </w:t>
      </w:r>
      <w:r w:rsidRPr="005D2EB9">
        <w:t xml:space="preserve">tillämpas inte så ofta som önskvärt </w:t>
      </w:r>
      <w:r>
        <w:t xml:space="preserve">eftersom </w:t>
      </w:r>
      <w:r w:rsidR="00401967">
        <w:t>metoden</w:t>
      </w:r>
      <w:r w:rsidR="0001043A" w:rsidRPr="005D2EB9">
        <w:t xml:space="preserve"> </w:t>
      </w:r>
      <w:r>
        <w:t>in</w:t>
      </w:r>
      <w:r w:rsidRPr="005D2EB9">
        <w:t xml:space="preserve">om flera avdelningar </w:t>
      </w:r>
      <w:r w:rsidR="0001043A">
        <w:t xml:space="preserve">inte </w:t>
      </w:r>
      <w:r w:rsidRPr="005D2EB9">
        <w:t xml:space="preserve">anses </w:t>
      </w:r>
      <w:r w:rsidR="0001043A">
        <w:t>vara</w:t>
      </w:r>
      <w:r w:rsidRPr="005D2EB9">
        <w:t xml:space="preserve"> ändamålsenlig</w:t>
      </w:r>
      <w:r>
        <w:t>.</w:t>
      </w:r>
    </w:p>
    <w:p w:rsidR="00E206B3" w:rsidRPr="00304386" w:rsidRDefault="001C6C9A" w:rsidP="00E206B3">
      <w:pPr>
        <w:numPr>
          <w:ilvl w:val="0"/>
          <w:numId w:val="16"/>
        </w:numPr>
        <w:tabs>
          <w:tab w:val="left" w:pos="426"/>
          <w:tab w:val="left" w:pos="1560"/>
        </w:tabs>
        <w:spacing w:after="120"/>
        <w:ind w:left="1560" w:right="-17" w:hanging="426"/>
        <w:jc w:val="both"/>
      </w:pPr>
      <w:r>
        <w:t>Regele</w:t>
      </w:r>
      <w:r w:rsidR="00E206B3" w:rsidRPr="008E556F">
        <w:t>fterlevnaden varierar beroende på typ av upphandling. För anskaffningar över 20 000 euro, vilka kräver beslut, är efterlevnaden relativt god. I vissa fall har det dock varit svårt att hitta kopplingen mellan inköpet oc</w:t>
      </w:r>
      <w:r w:rsidR="00E206B3">
        <w:t>h eventuellt beslut eller avtal.</w:t>
      </w:r>
      <w:r w:rsidR="00E206B3" w:rsidRPr="008E556F">
        <w:t xml:space="preserve"> </w:t>
      </w:r>
      <w:r w:rsidR="00E206B3">
        <w:t>D</w:t>
      </w:r>
      <w:r w:rsidR="00E206B3" w:rsidRPr="008E556F">
        <w:t>okumentationen är inte alltid tillfredsställande</w:t>
      </w:r>
      <w:r w:rsidR="00E206B3">
        <w:t>.</w:t>
      </w:r>
    </w:p>
    <w:p w:rsidR="00E206B3" w:rsidRPr="00304386" w:rsidRDefault="00E206B3" w:rsidP="00E206B3">
      <w:pPr>
        <w:numPr>
          <w:ilvl w:val="0"/>
          <w:numId w:val="16"/>
        </w:numPr>
        <w:tabs>
          <w:tab w:val="left" w:pos="426"/>
          <w:tab w:val="left" w:pos="1560"/>
        </w:tabs>
        <w:spacing w:after="120"/>
        <w:ind w:left="1560" w:right="-17" w:hanging="426"/>
        <w:jc w:val="both"/>
      </w:pPr>
      <w:r>
        <w:t>Problemområdet inom upphandling är uppenbart de små upphandlingarna i intervallet 10 000 - 20 000 euro</w:t>
      </w:r>
      <w:r w:rsidRPr="00D30526">
        <w:t xml:space="preserve"> </w:t>
      </w:r>
      <w:r>
        <w:t>där upphandling i förekommande fall inte alls görs eller upphandlingsreglerna medvetet eller omedvetet tillämpas på felaktigt sätt. Dokumentationen är relativt knapphändig vilket gör det svårt att bedöma hur anskaffningen har gjorts. Det finns inte heller någon som helst kontrollfunktion som säkrar att upphandlingsreglerna följs.</w:t>
      </w:r>
    </w:p>
    <w:p w:rsidR="00E206B3" w:rsidRPr="00304386" w:rsidRDefault="00AD0C9F" w:rsidP="00E206B3">
      <w:pPr>
        <w:numPr>
          <w:ilvl w:val="0"/>
          <w:numId w:val="16"/>
        </w:numPr>
        <w:tabs>
          <w:tab w:val="left" w:pos="426"/>
          <w:tab w:val="left" w:pos="1560"/>
        </w:tabs>
        <w:spacing w:after="120"/>
        <w:ind w:left="1560" w:right="-17" w:hanging="426"/>
        <w:jc w:val="both"/>
      </w:pPr>
      <w:r w:rsidRPr="007F0A20">
        <w:t>Med det nya beslutet gällande vissa upphandlingar, som trädde i kraft den 15 september 2015, kommer säkert en del av problemen med de s.k. små upphandlingarna att minska i och med att gränsen för direkt köp höjdes från 10 000 till 50 000 euro. Däremot kan det finnas risk för att</w:t>
      </w:r>
      <w:r>
        <w:t xml:space="preserve"> regeln om direkt köp tillämpas genomgående på anskaffningar under 50 000 och att</w:t>
      </w:r>
      <w:r w:rsidRPr="007F0A20">
        <w:t xml:space="preserve"> huvudregeln </w:t>
      </w:r>
      <w:r>
        <w:t xml:space="preserve">om </w:t>
      </w:r>
      <w:r w:rsidRPr="007F0A20">
        <w:t>upphandling genom öppet förfarande och utannonsering i massmedia</w:t>
      </w:r>
      <w:r>
        <w:t xml:space="preserve"> åsidosätts för lätt</w:t>
      </w:r>
      <w:r w:rsidR="00E206B3">
        <w:t>.</w:t>
      </w:r>
    </w:p>
    <w:p w:rsidR="00E206B3" w:rsidRPr="00304386" w:rsidRDefault="00AD0C9F" w:rsidP="00E206B3">
      <w:pPr>
        <w:numPr>
          <w:ilvl w:val="0"/>
          <w:numId w:val="16"/>
        </w:numPr>
        <w:tabs>
          <w:tab w:val="left" w:pos="426"/>
          <w:tab w:val="left" w:pos="1560"/>
        </w:tabs>
        <w:spacing w:after="120"/>
        <w:ind w:left="1560" w:right="-17" w:hanging="426"/>
        <w:jc w:val="both"/>
      </w:pPr>
      <w:r w:rsidRPr="005D2EB9">
        <w:t>Generellt sett görs stora upphandlingar (över EU:s tröskelvärden eller stora entreprenader) i enlighet med gällande regelverk och dokumentationen är tillräcklig. Orsaken kan vara det detaljerade regelverket och att erfarna upphandlare handhar ärendena. Å andra sidan är regelverket för denna typ av upphandlingar komplicerat vilket kan vara en bidragande orsak till de brister i upphand</w:t>
      </w:r>
      <w:r>
        <w:t>lingsförfarandet som upptäckts</w:t>
      </w:r>
      <w:r w:rsidR="00E206B3">
        <w:t>.</w:t>
      </w:r>
    </w:p>
    <w:p w:rsidR="00AD0C9F" w:rsidRPr="00304386" w:rsidRDefault="00AD0C9F" w:rsidP="00AD0C9F">
      <w:pPr>
        <w:numPr>
          <w:ilvl w:val="0"/>
          <w:numId w:val="16"/>
        </w:numPr>
        <w:tabs>
          <w:tab w:val="left" w:pos="426"/>
          <w:tab w:val="left" w:pos="1560"/>
        </w:tabs>
        <w:spacing w:after="120"/>
        <w:ind w:left="1560" w:right="-17" w:hanging="426"/>
        <w:jc w:val="both"/>
      </w:pPr>
      <w:r w:rsidRPr="00B604FC">
        <w:t xml:space="preserve">Det inledande arbetet med lagtingets projekt ”E-demokrati” </w:t>
      </w:r>
      <w:r w:rsidR="00401967">
        <w:t xml:space="preserve">– preliminär budget 2 187 000 euro - </w:t>
      </w:r>
      <w:r w:rsidRPr="00B604FC">
        <w:t>har utförts av två projektanställda</w:t>
      </w:r>
      <w:r>
        <w:t xml:space="preserve">. </w:t>
      </w:r>
      <w:r w:rsidRPr="00B604FC">
        <w:t xml:space="preserve">Lönerna kan inte anses vara skäliga och </w:t>
      </w:r>
      <w:r>
        <w:t xml:space="preserve">man </w:t>
      </w:r>
      <w:r w:rsidRPr="00B604FC">
        <w:t>har inte</w:t>
      </w:r>
      <w:r>
        <w:t xml:space="preserve"> heller följt det normala tillvägagångssättet vid genomförande av IT-projekt inom förvaltningen. Anställning av projektpersonal som alternativ till upphandling borde </w:t>
      </w:r>
      <w:r w:rsidRPr="00887E98">
        <w:t>motiveras i tillräcklig omfattning samt skälig lönesättning tillämpas</w:t>
      </w:r>
      <w:r>
        <w:t>.</w:t>
      </w:r>
    </w:p>
    <w:p w:rsidR="005D2EB9" w:rsidRDefault="005D2EB9" w:rsidP="005D2EB9">
      <w:pPr>
        <w:tabs>
          <w:tab w:val="left" w:pos="9072"/>
        </w:tabs>
        <w:ind w:left="1134"/>
        <w:jc w:val="both"/>
      </w:pPr>
    </w:p>
    <w:sectPr w:rsidR="005D2EB9" w:rsidSect="002E049F">
      <w:headerReference w:type="even" r:id="rId11"/>
      <w:headerReference w:type="default" r:id="rId12"/>
      <w:footerReference w:type="default" r:id="rId13"/>
      <w:footerReference w:type="first" r:id="rId14"/>
      <w:pgSz w:w="11906" w:h="16838" w:code="9"/>
      <w:pgMar w:top="1418" w:right="1418" w:bottom="1701" w:left="1418" w:header="709" w:footer="7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4D" w:rsidRDefault="00BA014D">
      <w:r>
        <w:separator/>
      </w:r>
    </w:p>
  </w:endnote>
  <w:endnote w:type="continuationSeparator" w:id="0">
    <w:p w:rsidR="00BA014D" w:rsidRDefault="00BA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EC1" w:rsidRDefault="00373EC1">
    <w:pPr>
      <w:pStyle w:val="Sidfot"/>
    </w:pPr>
  </w:p>
  <w:p w:rsidR="00373EC1" w:rsidRDefault="00373E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4D" w:rsidRDefault="00BA014D">
    <w:pPr>
      <w:pBdr>
        <w:bottom w:val="single" w:sz="12" w:space="1" w:color="auto"/>
      </w:pBdr>
      <w:tabs>
        <w:tab w:val="left" w:pos="851"/>
      </w:tabs>
    </w:pPr>
  </w:p>
  <w:p w:rsidR="00BA014D" w:rsidRDefault="00BA014D">
    <w:pPr>
      <w:tabs>
        <w:tab w:val="left" w:pos="3686"/>
        <w:tab w:val="left" w:pos="5387"/>
        <w:tab w:val="left" w:pos="7088"/>
      </w:tabs>
      <w:rPr>
        <w:sz w:val="16"/>
        <w:lang w:val="de-DE"/>
      </w:rPr>
    </w:pPr>
    <w:r>
      <w:rPr>
        <w:sz w:val="16"/>
        <w:lang w:val="de-DE"/>
      </w:rPr>
      <w:t>Postadress</w:t>
    </w:r>
    <w:r>
      <w:rPr>
        <w:sz w:val="16"/>
        <w:lang w:val="de-DE"/>
      </w:rPr>
      <w:tab/>
      <w:t>Telefon</w:t>
    </w:r>
    <w:r>
      <w:rPr>
        <w:sz w:val="16"/>
        <w:lang w:val="de-DE"/>
      </w:rPr>
      <w:tab/>
      <w:t>Telefax</w:t>
    </w:r>
    <w:r>
      <w:rPr>
        <w:sz w:val="16"/>
        <w:lang w:val="de-DE"/>
      </w:rPr>
      <w:tab/>
      <w:t>E-post</w:t>
    </w:r>
  </w:p>
  <w:p w:rsidR="00BA014D" w:rsidRDefault="00BA014D">
    <w:pPr>
      <w:tabs>
        <w:tab w:val="left" w:pos="3686"/>
        <w:tab w:val="left" w:pos="5387"/>
        <w:tab w:val="left" w:pos="7088"/>
      </w:tabs>
      <w:rPr>
        <w:sz w:val="18"/>
      </w:rPr>
    </w:pPr>
    <w:r>
      <w:rPr>
        <w:sz w:val="18"/>
      </w:rPr>
      <w:t>PB 1060</w:t>
    </w:r>
    <w:r>
      <w:rPr>
        <w:sz w:val="18"/>
      </w:rPr>
      <w:tab/>
      <w:t>(018) 25000</w:t>
    </w:r>
    <w:r>
      <w:rPr>
        <w:sz w:val="18"/>
      </w:rPr>
      <w:tab/>
      <w:t>(018) 19155</w:t>
    </w:r>
    <w:r>
      <w:rPr>
        <w:sz w:val="18"/>
      </w:rPr>
      <w:tab/>
      <w:t>registrator@ls.aland.fi</w:t>
    </w:r>
  </w:p>
  <w:p w:rsidR="00BA014D" w:rsidRDefault="00BA014D">
    <w:pPr>
      <w:tabs>
        <w:tab w:val="left" w:pos="7088"/>
      </w:tabs>
      <w:rPr>
        <w:sz w:val="18"/>
      </w:rPr>
    </w:pPr>
    <w:r>
      <w:rPr>
        <w:sz w:val="18"/>
      </w:rPr>
      <w:t>AX-22111 MARIEHAMN, Åland</w:t>
    </w:r>
    <w:r>
      <w:rPr>
        <w:sz w:val="18"/>
      </w:rPr>
      <w:tab/>
      <w:t>URL www.ls.aland.fi</w:t>
    </w:r>
  </w:p>
  <w:p w:rsidR="00BA014D" w:rsidRDefault="00BA014D">
    <w:pPr>
      <w:tabs>
        <w:tab w:val="left" w:pos="851"/>
      </w:tabs>
      <w:rPr>
        <w:sz w:val="18"/>
      </w:rPr>
    </w:pPr>
    <w:r>
      <w:rPr>
        <w:sz w:val="18"/>
      </w:rPr>
      <w:t>Tjänstebrev bör ställas till Ålands landskapsregering, inte till enskild tjänsteman</w:t>
    </w:r>
  </w:p>
  <w:p w:rsidR="00BA014D" w:rsidRDefault="00BA014D">
    <w:pPr>
      <w:pStyle w:val="Sidfot"/>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4D" w:rsidRDefault="00BA014D">
      <w:r>
        <w:separator/>
      </w:r>
    </w:p>
  </w:footnote>
  <w:footnote w:type="continuationSeparator" w:id="0">
    <w:p w:rsidR="00BA014D" w:rsidRDefault="00BA0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4D" w:rsidRDefault="00BA01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rsidR="00BA014D" w:rsidRDefault="00BA014D">
    <w:pPr>
      <w:pStyle w:val="Sidhuvud"/>
      <w:ind w:right="360"/>
    </w:pPr>
  </w:p>
  <w:p w:rsidR="00BA014D" w:rsidRDefault="00BA01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14D" w:rsidRPr="008D449B" w:rsidRDefault="00BA014D">
    <w:pPr>
      <w:pStyle w:val="Sidhuvud"/>
      <w:framePr w:wrap="around" w:vAnchor="text" w:hAnchor="margin" w:xAlign="right" w:y="1"/>
      <w:rPr>
        <w:rStyle w:val="Sidnummer"/>
        <w:rFonts w:ascii="Arial" w:hAnsi="Arial" w:cs="Arial"/>
        <w:sz w:val="22"/>
        <w:szCs w:val="22"/>
      </w:rPr>
    </w:pPr>
    <w:r w:rsidRPr="008D449B">
      <w:rPr>
        <w:rStyle w:val="Sidnummer"/>
        <w:rFonts w:ascii="Arial" w:hAnsi="Arial" w:cs="Arial"/>
        <w:sz w:val="22"/>
        <w:szCs w:val="22"/>
      </w:rPr>
      <w:fldChar w:fldCharType="begin"/>
    </w:r>
    <w:r w:rsidRPr="008D449B">
      <w:rPr>
        <w:rStyle w:val="Sidnummer"/>
        <w:rFonts w:ascii="Arial" w:hAnsi="Arial" w:cs="Arial"/>
        <w:sz w:val="22"/>
        <w:szCs w:val="22"/>
      </w:rPr>
      <w:instrText xml:space="preserve">PAGE  </w:instrText>
    </w:r>
    <w:r w:rsidRPr="008D449B">
      <w:rPr>
        <w:rStyle w:val="Sidnummer"/>
        <w:rFonts w:ascii="Arial" w:hAnsi="Arial" w:cs="Arial"/>
        <w:sz w:val="22"/>
        <w:szCs w:val="22"/>
      </w:rPr>
      <w:fldChar w:fldCharType="separate"/>
    </w:r>
    <w:r w:rsidR="001A0870">
      <w:rPr>
        <w:rStyle w:val="Sidnummer"/>
        <w:rFonts w:ascii="Arial" w:hAnsi="Arial" w:cs="Arial"/>
        <w:noProof/>
        <w:sz w:val="22"/>
        <w:szCs w:val="22"/>
      </w:rPr>
      <w:t>1</w:t>
    </w:r>
    <w:r w:rsidRPr="008D449B">
      <w:rPr>
        <w:rStyle w:val="Sidnummer"/>
        <w:rFonts w:ascii="Arial" w:hAnsi="Arial" w:cs="Arial"/>
        <w:sz w:val="22"/>
        <w:szCs w:val="22"/>
      </w:rPr>
      <w:fldChar w:fldCharType="end"/>
    </w:r>
    <w:r w:rsidRPr="008D449B">
      <w:rPr>
        <w:rStyle w:val="Sidnummer"/>
        <w:rFonts w:ascii="Arial" w:hAnsi="Arial" w:cs="Arial"/>
        <w:sz w:val="22"/>
        <w:szCs w:val="22"/>
      </w:rPr>
      <w:t xml:space="preserve"> (</w:t>
    </w:r>
    <w:r w:rsidRPr="008D449B">
      <w:rPr>
        <w:rStyle w:val="Sidnummer"/>
        <w:rFonts w:ascii="Arial" w:hAnsi="Arial" w:cs="Arial"/>
        <w:sz w:val="22"/>
        <w:szCs w:val="22"/>
      </w:rPr>
      <w:fldChar w:fldCharType="begin"/>
    </w:r>
    <w:r w:rsidRPr="008D449B">
      <w:rPr>
        <w:rStyle w:val="Sidnummer"/>
        <w:rFonts w:ascii="Arial" w:hAnsi="Arial" w:cs="Arial"/>
        <w:sz w:val="22"/>
        <w:szCs w:val="22"/>
      </w:rPr>
      <w:instrText xml:space="preserve"> NUMPAGES </w:instrText>
    </w:r>
    <w:r w:rsidRPr="008D449B">
      <w:rPr>
        <w:rStyle w:val="Sidnummer"/>
        <w:rFonts w:ascii="Arial" w:hAnsi="Arial" w:cs="Arial"/>
        <w:sz w:val="22"/>
        <w:szCs w:val="22"/>
      </w:rPr>
      <w:fldChar w:fldCharType="separate"/>
    </w:r>
    <w:r w:rsidR="001A0870">
      <w:rPr>
        <w:rStyle w:val="Sidnummer"/>
        <w:rFonts w:ascii="Arial" w:hAnsi="Arial" w:cs="Arial"/>
        <w:noProof/>
        <w:sz w:val="22"/>
        <w:szCs w:val="22"/>
      </w:rPr>
      <w:t>8</w:t>
    </w:r>
    <w:r w:rsidRPr="008D449B">
      <w:rPr>
        <w:rStyle w:val="Sidnummer"/>
        <w:rFonts w:ascii="Arial" w:hAnsi="Arial" w:cs="Arial"/>
        <w:sz w:val="22"/>
        <w:szCs w:val="22"/>
      </w:rPr>
      <w:fldChar w:fldCharType="end"/>
    </w:r>
    <w:r w:rsidRPr="008D449B">
      <w:rPr>
        <w:rStyle w:val="Sidnummer"/>
        <w:rFonts w:ascii="Arial" w:hAnsi="Arial" w:cs="Arial"/>
        <w:sz w:val="22"/>
        <w:szCs w:val="22"/>
      </w:rPr>
      <w:t>)</w:t>
    </w:r>
  </w:p>
  <w:p w:rsidR="00BA014D" w:rsidRDefault="00BA014D">
    <w:pPr>
      <w:pStyle w:val="Sidhuvud"/>
      <w:ind w:right="360"/>
    </w:pPr>
  </w:p>
  <w:p w:rsidR="00BA014D" w:rsidRDefault="00BA01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DA5"/>
    <w:multiLevelType w:val="hybridMultilevel"/>
    <w:tmpl w:val="153299DE"/>
    <w:lvl w:ilvl="0" w:tplc="42CAAB3E">
      <w:start w:val="3"/>
      <w:numFmt w:val="bullet"/>
      <w:lvlText w:val="-"/>
      <w:lvlJc w:val="left"/>
      <w:pPr>
        <w:ind w:left="1494" w:hanging="360"/>
      </w:pPr>
      <w:rPr>
        <w:rFonts w:ascii="Times New Roman" w:eastAsia="Times New Roman" w:hAnsi="Times New Roman" w:cs="Times New Roman"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1">
    <w:nsid w:val="0E044EFD"/>
    <w:multiLevelType w:val="hybridMultilevel"/>
    <w:tmpl w:val="3BDA66D4"/>
    <w:lvl w:ilvl="0" w:tplc="CB2498CC">
      <w:start w:val="1"/>
      <w:numFmt w:val="decimal"/>
      <w:lvlText w:val="%1)"/>
      <w:lvlJc w:val="left"/>
      <w:pPr>
        <w:tabs>
          <w:tab w:val="num" w:pos="840"/>
        </w:tabs>
        <w:ind w:left="840" w:hanging="360"/>
      </w:pPr>
      <w:rPr>
        <w:rFonts w:hint="default"/>
      </w:rPr>
    </w:lvl>
    <w:lvl w:ilvl="1" w:tplc="041D0019" w:tentative="1">
      <w:start w:val="1"/>
      <w:numFmt w:val="lowerLetter"/>
      <w:lvlText w:val="%2."/>
      <w:lvlJc w:val="left"/>
      <w:pPr>
        <w:tabs>
          <w:tab w:val="num" w:pos="1560"/>
        </w:tabs>
        <w:ind w:left="1560" w:hanging="360"/>
      </w:pPr>
    </w:lvl>
    <w:lvl w:ilvl="2" w:tplc="041D001B" w:tentative="1">
      <w:start w:val="1"/>
      <w:numFmt w:val="lowerRoman"/>
      <w:lvlText w:val="%3."/>
      <w:lvlJc w:val="right"/>
      <w:pPr>
        <w:tabs>
          <w:tab w:val="num" w:pos="2280"/>
        </w:tabs>
        <w:ind w:left="2280" w:hanging="180"/>
      </w:pPr>
    </w:lvl>
    <w:lvl w:ilvl="3" w:tplc="041D000F" w:tentative="1">
      <w:start w:val="1"/>
      <w:numFmt w:val="decimal"/>
      <w:lvlText w:val="%4."/>
      <w:lvlJc w:val="left"/>
      <w:pPr>
        <w:tabs>
          <w:tab w:val="num" w:pos="3000"/>
        </w:tabs>
        <w:ind w:left="3000" w:hanging="360"/>
      </w:pPr>
    </w:lvl>
    <w:lvl w:ilvl="4" w:tplc="041D0019" w:tentative="1">
      <w:start w:val="1"/>
      <w:numFmt w:val="lowerLetter"/>
      <w:lvlText w:val="%5."/>
      <w:lvlJc w:val="left"/>
      <w:pPr>
        <w:tabs>
          <w:tab w:val="num" w:pos="3720"/>
        </w:tabs>
        <w:ind w:left="3720" w:hanging="360"/>
      </w:pPr>
    </w:lvl>
    <w:lvl w:ilvl="5" w:tplc="041D001B" w:tentative="1">
      <w:start w:val="1"/>
      <w:numFmt w:val="lowerRoman"/>
      <w:lvlText w:val="%6."/>
      <w:lvlJc w:val="right"/>
      <w:pPr>
        <w:tabs>
          <w:tab w:val="num" w:pos="4440"/>
        </w:tabs>
        <w:ind w:left="4440" w:hanging="180"/>
      </w:pPr>
    </w:lvl>
    <w:lvl w:ilvl="6" w:tplc="041D000F" w:tentative="1">
      <w:start w:val="1"/>
      <w:numFmt w:val="decimal"/>
      <w:lvlText w:val="%7."/>
      <w:lvlJc w:val="left"/>
      <w:pPr>
        <w:tabs>
          <w:tab w:val="num" w:pos="5160"/>
        </w:tabs>
        <w:ind w:left="5160" w:hanging="360"/>
      </w:pPr>
    </w:lvl>
    <w:lvl w:ilvl="7" w:tplc="041D0019" w:tentative="1">
      <w:start w:val="1"/>
      <w:numFmt w:val="lowerLetter"/>
      <w:lvlText w:val="%8."/>
      <w:lvlJc w:val="left"/>
      <w:pPr>
        <w:tabs>
          <w:tab w:val="num" w:pos="5880"/>
        </w:tabs>
        <w:ind w:left="5880" w:hanging="360"/>
      </w:pPr>
    </w:lvl>
    <w:lvl w:ilvl="8" w:tplc="041D001B" w:tentative="1">
      <w:start w:val="1"/>
      <w:numFmt w:val="lowerRoman"/>
      <w:lvlText w:val="%9."/>
      <w:lvlJc w:val="right"/>
      <w:pPr>
        <w:tabs>
          <w:tab w:val="num" w:pos="6600"/>
        </w:tabs>
        <w:ind w:left="6600" w:hanging="180"/>
      </w:pPr>
    </w:lvl>
  </w:abstractNum>
  <w:abstractNum w:abstractNumId="2">
    <w:nsid w:val="142E6CAF"/>
    <w:multiLevelType w:val="hybridMultilevel"/>
    <w:tmpl w:val="92FA2624"/>
    <w:lvl w:ilvl="0" w:tplc="976ECF34">
      <w:start w:val="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nsid w:val="182161E3"/>
    <w:multiLevelType w:val="hybridMultilevel"/>
    <w:tmpl w:val="6A4E9A1A"/>
    <w:lvl w:ilvl="0" w:tplc="09B600F0">
      <w:start w:val="1"/>
      <w:numFmt w:val="decimal"/>
      <w:lvlText w:val="%1."/>
      <w:lvlJc w:val="left"/>
      <w:pPr>
        <w:ind w:left="1494" w:hanging="360"/>
      </w:pPr>
      <w:rPr>
        <w:rFonts w:hint="default"/>
      </w:rPr>
    </w:lvl>
    <w:lvl w:ilvl="1" w:tplc="081D0019" w:tentative="1">
      <w:start w:val="1"/>
      <w:numFmt w:val="lowerLetter"/>
      <w:lvlText w:val="%2."/>
      <w:lvlJc w:val="left"/>
      <w:pPr>
        <w:ind w:left="2214" w:hanging="360"/>
      </w:pPr>
    </w:lvl>
    <w:lvl w:ilvl="2" w:tplc="081D001B" w:tentative="1">
      <w:start w:val="1"/>
      <w:numFmt w:val="lowerRoman"/>
      <w:lvlText w:val="%3."/>
      <w:lvlJc w:val="right"/>
      <w:pPr>
        <w:ind w:left="2934" w:hanging="180"/>
      </w:pPr>
    </w:lvl>
    <w:lvl w:ilvl="3" w:tplc="081D000F" w:tentative="1">
      <w:start w:val="1"/>
      <w:numFmt w:val="decimal"/>
      <w:lvlText w:val="%4."/>
      <w:lvlJc w:val="left"/>
      <w:pPr>
        <w:ind w:left="3654" w:hanging="360"/>
      </w:pPr>
    </w:lvl>
    <w:lvl w:ilvl="4" w:tplc="081D0019" w:tentative="1">
      <w:start w:val="1"/>
      <w:numFmt w:val="lowerLetter"/>
      <w:lvlText w:val="%5."/>
      <w:lvlJc w:val="left"/>
      <w:pPr>
        <w:ind w:left="4374" w:hanging="360"/>
      </w:pPr>
    </w:lvl>
    <w:lvl w:ilvl="5" w:tplc="081D001B" w:tentative="1">
      <w:start w:val="1"/>
      <w:numFmt w:val="lowerRoman"/>
      <w:lvlText w:val="%6."/>
      <w:lvlJc w:val="right"/>
      <w:pPr>
        <w:ind w:left="5094" w:hanging="180"/>
      </w:pPr>
    </w:lvl>
    <w:lvl w:ilvl="6" w:tplc="081D000F" w:tentative="1">
      <w:start w:val="1"/>
      <w:numFmt w:val="decimal"/>
      <w:lvlText w:val="%7."/>
      <w:lvlJc w:val="left"/>
      <w:pPr>
        <w:ind w:left="5814" w:hanging="360"/>
      </w:pPr>
    </w:lvl>
    <w:lvl w:ilvl="7" w:tplc="081D0019" w:tentative="1">
      <w:start w:val="1"/>
      <w:numFmt w:val="lowerLetter"/>
      <w:lvlText w:val="%8."/>
      <w:lvlJc w:val="left"/>
      <w:pPr>
        <w:ind w:left="6534" w:hanging="360"/>
      </w:pPr>
    </w:lvl>
    <w:lvl w:ilvl="8" w:tplc="081D001B" w:tentative="1">
      <w:start w:val="1"/>
      <w:numFmt w:val="lowerRoman"/>
      <w:lvlText w:val="%9."/>
      <w:lvlJc w:val="right"/>
      <w:pPr>
        <w:ind w:left="7254" w:hanging="180"/>
      </w:pPr>
    </w:lvl>
  </w:abstractNum>
  <w:abstractNum w:abstractNumId="4">
    <w:nsid w:val="1B2A4C42"/>
    <w:multiLevelType w:val="hybridMultilevel"/>
    <w:tmpl w:val="682E30BE"/>
    <w:lvl w:ilvl="0" w:tplc="BF70A200">
      <w:start w:val="3"/>
      <w:numFmt w:val="bullet"/>
      <w:lvlText w:val="-"/>
      <w:lvlJc w:val="left"/>
      <w:pPr>
        <w:ind w:left="1494" w:hanging="360"/>
      </w:pPr>
      <w:rPr>
        <w:rFonts w:ascii="Times New Roman" w:eastAsia="Times New Roman" w:hAnsi="Times New Roman" w:cs="Times New Roman" w:hint="default"/>
      </w:rPr>
    </w:lvl>
    <w:lvl w:ilvl="1" w:tplc="081D0003">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5">
    <w:nsid w:val="2A7C1EDF"/>
    <w:multiLevelType w:val="hybridMultilevel"/>
    <w:tmpl w:val="7F3A6CF6"/>
    <w:lvl w:ilvl="0" w:tplc="68F8729E">
      <w:start w:val="2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2C835B0F"/>
    <w:multiLevelType w:val="multilevel"/>
    <w:tmpl w:val="2FB817F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49B5DA7"/>
    <w:multiLevelType w:val="hybridMultilevel"/>
    <w:tmpl w:val="E3503A88"/>
    <w:lvl w:ilvl="0" w:tplc="0D9463BE">
      <w:start w:val="3"/>
      <w:numFmt w:val="bullet"/>
      <w:lvlText w:val="-"/>
      <w:lvlJc w:val="left"/>
      <w:pPr>
        <w:ind w:left="1854" w:hanging="360"/>
      </w:pPr>
      <w:rPr>
        <w:rFonts w:ascii="Times New Roman" w:eastAsia="Times New Roman" w:hAnsi="Times New Roman" w:cs="Times New Roman" w:hint="default"/>
      </w:rPr>
    </w:lvl>
    <w:lvl w:ilvl="1" w:tplc="081D0003" w:tentative="1">
      <w:start w:val="1"/>
      <w:numFmt w:val="bullet"/>
      <w:lvlText w:val="o"/>
      <w:lvlJc w:val="left"/>
      <w:pPr>
        <w:ind w:left="2574" w:hanging="360"/>
      </w:pPr>
      <w:rPr>
        <w:rFonts w:ascii="Courier New" w:hAnsi="Courier New" w:cs="Courier New" w:hint="default"/>
      </w:rPr>
    </w:lvl>
    <w:lvl w:ilvl="2" w:tplc="081D0005" w:tentative="1">
      <w:start w:val="1"/>
      <w:numFmt w:val="bullet"/>
      <w:lvlText w:val=""/>
      <w:lvlJc w:val="left"/>
      <w:pPr>
        <w:ind w:left="3294" w:hanging="360"/>
      </w:pPr>
      <w:rPr>
        <w:rFonts w:ascii="Wingdings" w:hAnsi="Wingdings" w:hint="default"/>
      </w:rPr>
    </w:lvl>
    <w:lvl w:ilvl="3" w:tplc="081D0001" w:tentative="1">
      <w:start w:val="1"/>
      <w:numFmt w:val="bullet"/>
      <w:lvlText w:val=""/>
      <w:lvlJc w:val="left"/>
      <w:pPr>
        <w:ind w:left="4014" w:hanging="360"/>
      </w:pPr>
      <w:rPr>
        <w:rFonts w:ascii="Symbol" w:hAnsi="Symbol" w:hint="default"/>
      </w:rPr>
    </w:lvl>
    <w:lvl w:ilvl="4" w:tplc="081D0003" w:tentative="1">
      <w:start w:val="1"/>
      <w:numFmt w:val="bullet"/>
      <w:lvlText w:val="o"/>
      <w:lvlJc w:val="left"/>
      <w:pPr>
        <w:ind w:left="4734" w:hanging="360"/>
      </w:pPr>
      <w:rPr>
        <w:rFonts w:ascii="Courier New" w:hAnsi="Courier New" w:cs="Courier New" w:hint="default"/>
      </w:rPr>
    </w:lvl>
    <w:lvl w:ilvl="5" w:tplc="081D0005" w:tentative="1">
      <w:start w:val="1"/>
      <w:numFmt w:val="bullet"/>
      <w:lvlText w:val=""/>
      <w:lvlJc w:val="left"/>
      <w:pPr>
        <w:ind w:left="5454" w:hanging="360"/>
      </w:pPr>
      <w:rPr>
        <w:rFonts w:ascii="Wingdings" w:hAnsi="Wingdings" w:hint="default"/>
      </w:rPr>
    </w:lvl>
    <w:lvl w:ilvl="6" w:tplc="081D0001" w:tentative="1">
      <w:start w:val="1"/>
      <w:numFmt w:val="bullet"/>
      <w:lvlText w:val=""/>
      <w:lvlJc w:val="left"/>
      <w:pPr>
        <w:ind w:left="6174" w:hanging="360"/>
      </w:pPr>
      <w:rPr>
        <w:rFonts w:ascii="Symbol" w:hAnsi="Symbol" w:hint="default"/>
      </w:rPr>
    </w:lvl>
    <w:lvl w:ilvl="7" w:tplc="081D0003" w:tentative="1">
      <w:start w:val="1"/>
      <w:numFmt w:val="bullet"/>
      <w:lvlText w:val="o"/>
      <w:lvlJc w:val="left"/>
      <w:pPr>
        <w:ind w:left="6894" w:hanging="360"/>
      </w:pPr>
      <w:rPr>
        <w:rFonts w:ascii="Courier New" w:hAnsi="Courier New" w:cs="Courier New" w:hint="default"/>
      </w:rPr>
    </w:lvl>
    <w:lvl w:ilvl="8" w:tplc="081D0005" w:tentative="1">
      <w:start w:val="1"/>
      <w:numFmt w:val="bullet"/>
      <w:lvlText w:val=""/>
      <w:lvlJc w:val="left"/>
      <w:pPr>
        <w:ind w:left="7614" w:hanging="360"/>
      </w:pPr>
      <w:rPr>
        <w:rFonts w:ascii="Wingdings" w:hAnsi="Wingdings" w:hint="default"/>
      </w:rPr>
    </w:lvl>
  </w:abstractNum>
  <w:abstractNum w:abstractNumId="8">
    <w:nsid w:val="42B60143"/>
    <w:multiLevelType w:val="multilevel"/>
    <w:tmpl w:val="2EA61E4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nsid w:val="46601C4A"/>
    <w:multiLevelType w:val="hybridMultilevel"/>
    <w:tmpl w:val="88C09F0C"/>
    <w:lvl w:ilvl="0" w:tplc="0FA8F0DA">
      <w:numFmt w:val="bullet"/>
      <w:lvlText w:val="-"/>
      <w:lvlJc w:val="left"/>
      <w:pPr>
        <w:ind w:left="720" w:hanging="360"/>
      </w:pPr>
      <w:rPr>
        <w:rFonts w:ascii="Calibri" w:eastAsia="Calibr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0">
    <w:nsid w:val="4985451D"/>
    <w:multiLevelType w:val="hybridMultilevel"/>
    <w:tmpl w:val="5C5EDF24"/>
    <w:lvl w:ilvl="0" w:tplc="BA3C047C">
      <w:start w:val="1"/>
      <w:numFmt w:val="decimal"/>
      <w:lvlText w:val="%1)"/>
      <w:lvlJc w:val="left"/>
      <w:pPr>
        <w:tabs>
          <w:tab w:val="num" w:pos="780"/>
        </w:tabs>
        <w:ind w:left="780" w:hanging="360"/>
      </w:pPr>
      <w:rPr>
        <w:rFonts w:hint="default"/>
      </w:r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11">
    <w:nsid w:val="51AB4FE9"/>
    <w:multiLevelType w:val="hybridMultilevel"/>
    <w:tmpl w:val="66623C66"/>
    <w:lvl w:ilvl="0" w:tplc="A74A685E">
      <w:start w:val="4"/>
      <w:numFmt w:val="bullet"/>
      <w:lvlText w:val="-"/>
      <w:lvlJc w:val="left"/>
      <w:pPr>
        <w:ind w:left="720" w:hanging="360"/>
      </w:pPr>
      <w:rPr>
        <w:rFonts w:ascii="Times New Roman" w:eastAsia="Times New Roman" w:hAnsi="Times New Roman" w:cs="Times New Roman"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2">
    <w:nsid w:val="54F91323"/>
    <w:multiLevelType w:val="hybridMultilevel"/>
    <w:tmpl w:val="5872847C"/>
    <w:lvl w:ilvl="0" w:tplc="041D000F">
      <w:start w:val="6"/>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nsid w:val="5A177770"/>
    <w:multiLevelType w:val="hybridMultilevel"/>
    <w:tmpl w:val="62722BE6"/>
    <w:lvl w:ilvl="0" w:tplc="E544DF42">
      <w:start w:val="2"/>
      <w:numFmt w:val="bullet"/>
      <w:lvlText w:val="-"/>
      <w:lvlJc w:val="left"/>
      <w:pPr>
        <w:ind w:left="1494" w:hanging="360"/>
      </w:pPr>
      <w:rPr>
        <w:rFonts w:ascii="Times New Roman" w:eastAsia="Times New Roman" w:hAnsi="Times New Roman" w:cs="Times New Roman" w:hint="default"/>
      </w:rPr>
    </w:lvl>
    <w:lvl w:ilvl="1" w:tplc="081D0003" w:tentative="1">
      <w:start w:val="1"/>
      <w:numFmt w:val="bullet"/>
      <w:lvlText w:val="o"/>
      <w:lvlJc w:val="left"/>
      <w:pPr>
        <w:ind w:left="2214" w:hanging="360"/>
      </w:pPr>
      <w:rPr>
        <w:rFonts w:ascii="Courier New" w:hAnsi="Courier New" w:cs="Courier New" w:hint="default"/>
      </w:rPr>
    </w:lvl>
    <w:lvl w:ilvl="2" w:tplc="081D0005" w:tentative="1">
      <w:start w:val="1"/>
      <w:numFmt w:val="bullet"/>
      <w:lvlText w:val=""/>
      <w:lvlJc w:val="left"/>
      <w:pPr>
        <w:ind w:left="2934" w:hanging="360"/>
      </w:pPr>
      <w:rPr>
        <w:rFonts w:ascii="Wingdings" w:hAnsi="Wingdings" w:hint="default"/>
      </w:rPr>
    </w:lvl>
    <w:lvl w:ilvl="3" w:tplc="081D0001" w:tentative="1">
      <w:start w:val="1"/>
      <w:numFmt w:val="bullet"/>
      <w:lvlText w:val=""/>
      <w:lvlJc w:val="left"/>
      <w:pPr>
        <w:ind w:left="3654" w:hanging="360"/>
      </w:pPr>
      <w:rPr>
        <w:rFonts w:ascii="Symbol" w:hAnsi="Symbol" w:hint="default"/>
      </w:rPr>
    </w:lvl>
    <w:lvl w:ilvl="4" w:tplc="081D0003" w:tentative="1">
      <w:start w:val="1"/>
      <w:numFmt w:val="bullet"/>
      <w:lvlText w:val="o"/>
      <w:lvlJc w:val="left"/>
      <w:pPr>
        <w:ind w:left="4374" w:hanging="360"/>
      </w:pPr>
      <w:rPr>
        <w:rFonts w:ascii="Courier New" w:hAnsi="Courier New" w:cs="Courier New" w:hint="default"/>
      </w:rPr>
    </w:lvl>
    <w:lvl w:ilvl="5" w:tplc="081D0005" w:tentative="1">
      <w:start w:val="1"/>
      <w:numFmt w:val="bullet"/>
      <w:lvlText w:val=""/>
      <w:lvlJc w:val="left"/>
      <w:pPr>
        <w:ind w:left="5094" w:hanging="360"/>
      </w:pPr>
      <w:rPr>
        <w:rFonts w:ascii="Wingdings" w:hAnsi="Wingdings" w:hint="default"/>
      </w:rPr>
    </w:lvl>
    <w:lvl w:ilvl="6" w:tplc="081D0001" w:tentative="1">
      <w:start w:val="1"/>
      <w:numFmt w:val="bullet"/>
      <w:lvlText w:val=""/>
      <w:lvlJc w:val="left"/>
      <w:pPr>
        <w:ind w:left="5814" w:hanging="360"/>
      </w:pPr>
      <w:rPr>
        <w:rFonts w:ascii="Symbol" w:hAnsi="Symbol" w:hint="default"/>
      </w:rPr>
    </w:lvl>
    <w:lvl w:ilvl="7" w:tplc="081D0003" w:tentative="1">
      <w:start w:val="1"/>
      <w:numFmt w:val="bullet"/>
      <w:lvlText w:val="o"/>
      <w:lvlJc w:val="left"/>
      <w:pPr>
        <w:ind w:left="6534" w:hanging="360"/>
      </w:pPr>
      <w:rPr>
        <w:rFonts w:ascii="Courier New" w:hAnsi="Courier New" w:cs="Courier New" w:hint="default"/>
      </w:rPr>
    </w:lvl>
    <w:lvl w:ilvl="8" w:tplc="081D0005" w:tentative="1">
      <w:start w:val="1"/>
      <w:numFmt w:val="bullet"/>
      <w:lvlText w:val=""/>
      <w:lvlJc w:val="left"/>
      <w:pPr>
        <w:ind w:left="7254" w:hanging="360"/>
      </w:pPr>
      <w:rPr>
        <w:rFonts w:ascii="Wingdings" w:hAnsi="Wingdings" w:hint="default"/>
      </w:rPr>
    </w:lvl>
  </w:abstractNum>
  <w:abstractNum w:abstractNumId="14">
    <w:nsid w:val="5AD031C7"/>
    <w:multiLevelType w:val="hybridMultilevel"/>
    <w:tmpl w:val="60D68B8E"/>
    <w:lvl w:ilvl="0" w:tplc="081D000F">
      <w:start w:val="6"/>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5">
    <w:nsid w:val="60224B25"/>
    <w:multiLevelType w:val="multilevel"/>
    <w:tmpl w:val="1234DC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1E01F8D"/>
    <w:multiLevelType w:val="hybridMultilevel"/>
    <w:tmpl w:val="675A497A"/>
    <w:lvl w:ilvl="0" w:tplc="381E66A0">
      <w:start w:val="8"/>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6"/>
  </w:num>
  <w:num w:numId="4">
    <w:abstractNumId w:val="12"/>
  </w:num>
  <w:num w:numId="5">
    <w:abstractNumId w:val="5"/>
  </w:num>
  <w:num w:numId="6">
    <w:abstractNumId w:val="10"/>
  </w:num>
  <w:num w:numId="7">
    <w:abstractNumId w:val="1"/>
  </w:num>
  <w:num w:numId="8">
    <w:abstractNumId w:val="15"/>
  </w:num>
  <w:num w:numId="9">
    <w:abstractNumId w:val="14"/>
  </w:num>
  <w:num w:numId="10">
    <w:abstractNumId w:val="9"/>
  </w:num>
  <w:num w:numId="11">
    <w:abstractNumId w:val="11"/>
  </w:num>
  <w:num w:numId="12">
    <w:abstractNumId w:val="2"/>
  </w:num>
  <w:num w:numId="13">
    <w:abstractNumId w:val="0"/>
  </w:num>
  <w:num w:numId="14">
    <w:abstractNumId w:val="7"/>
  </w:num>
  <w:num w:numId="15">
    <w:abstractNumId w:val="3"/>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246"/>
    <w:rsid w:val="00000895"/>
    <w:rsid w:val="000016B7"/>
    <w:rsid w:val="00003159"/>
    <w:rsid w:val="00004267"/>
    <w:rsid w:val="00004C5A"/>
    <w:rsid w:val="00005C64"/>
    <w:rsid w:val="0001043A"/>
    <w:rsid w:val="00015828"/>
    <w:rsid w:val="000208BC"/>
    <w:rsid w:val="00020B99"/>
    <w:rsid w:val="00021836"/>
    <w:rsid w:val="00022030"/>
    <w:rsid w:val="0002482C"/>
    <w:rsid w:val="00033B74"/>
    <w:rsid w:val="00034E4D"/>
    <w:rsid w:val="0004254B"/>
    <w:rsid w:val="000548EA"/>
    <w:rsid w:val="0005557D"/>
    <w:rsid w:val="00060003"/>
    <w:rsid w:val="000610FB"/>
    <w:rsid w:val="00065728"/>
    <w:rsid w:val="00065D40"/>
    <w:rsid w:val="00070230"/>
    <w:rsid w:val="00071CFF"/>
    <w:rsid w:val="00077F8F"/>
    <w:rsid w:val="00082CF9"/>
    <w:rsid w:val="00084843"/>
    <w:rsid w:val="00085C6C"/>
    <w:rsid w:val="00087EC3"/>
    <w:rsid w:val="00090481"/>
    <w:rsid w:val="0009137E"/>
    <w:rsid w:val="00094E6D"/>
    <w:rsid w:val="00096076"/>
    <w:rsid w:val="000A008A"/>
    <w:rsid w:val="000A03C5"/>
    <w:rsid w:val="000A1050"/>
    <w:rsid w:val="000A12CD"/>
    <w:rsid w:val="000A1C86"/>
    <w:rsid w:val="000A4AA9"/>
    <w:rsid w:val="000A67C0"/>
    <w:rsid w:val="000A78E0"/>
    <w:rsid w:val="000B1F0E"/>
    <w:rsid w:val="000B281B"/>
    <w:rsid w:val="000B5006"/>
    <w:rsid w:val="000B64F3"/>
    <w:rsid w:val="000B7C98"/>
    <w:rsid w:val="000C32D3"/>
    <w:rsid w:val="000C34F5"/>
    <w:rsid w:val="000C56DC"/>
    <w:rsid w:val="000C6B9C"/>
    <w:rsid w:val="000C759B"/>
    <w:rsid w:val="000D10D0"/>
    <w:rsid w:val="000D2959"/>
    <w:rsid w:val="000E11F4"/>
    <w:rsid w:val="000E32EE"/>
    <w:rsid w:val="000E6597"/>
    <w:rsid w:val="000F0D5D"/>
    <w:rsid w:val="000F1060"/>
    <w:rsid w:val="000F3255"/>
    <w:rsid w:val="000F6069"/>
    <w:rsid w:val="000F71E8"/>
    <w:rsid w:val="00100FAC"/>
    <w:rsid w:val="00101BF6"/>
    <w:rsid w:val="00101C5A"/>
    <w:rsid w:val="001111D3"/>
    <w:rsid w:val="00111D84"/>
    <w:rsid w:val="0011357E"/>
    <w:rsid w:val="0011687C"/>
    <w:rsid w:val="001219BA"/>
    <w:rsid w:val="00121FDF"/>
    <w:rsid w:val="00124A72"/>
    <w:rsid w:val="001312D2"/>
    <w:rsid w:val="00131ECA"/>
    <w:rsid w:val="00132EB3"/>
    <w:rsid w:val="0013644F"/>
    <w:rsid w:val="00137C68"/>
    <w:rsid w:val="00137DFA"/>
    <w:rsid w:val="0014101E"/>
    <w:rsid w:val="00141E6B"/>
    <w:rsid w:val="00146A25"/>
    <w:rsid w:val="00147F5E"/>
    <w:rsid w:val="0015051F"/>
    <w:rsid w:val="00151716"/>
    <w:rsid w:val="001517D2"/>
    <w:rsid w:val="001545F4"/>
    <w:rsid w:val="001577C6"/>
    <w:rsid w:val="00157FC8"/>
    <w:rsid w:val="00171609"/>
    <w:rsid w:val="00172A90"/>
    <w:rsid w:val="00173FD2"/>
    <w:rsid w:val="001745F7"/>
    <w:rsid w:val="001754B6"/>
    <w:rsid w:val="0018174A"/>
    <w:rsid w:val="001827BF"/>
    <w:rsid w:val="0018752E"/>
    <w:rsid w:val="001912AB"/>
    <w:rsid w:val="00191B3E"/>
    <w:rsid w:val="00192B8A"/>
    <w:rsid w:val="001946A0"/>
    <w:rsid w:val="0019507A"/>
    <w:rsid w:val="00195F8C"/>
    <w:rsid w:val="001A0870"/>
    <w:rsid w:val="001A103C"/>
    <w:rsid w:val="001A1918"/>
    <w:rsid w:val="001A480F"/>
    <w:rsid w:val="001A5059"/>
    <w:rsid w:val="001A794E"/>
    <w:rsid w:val="001B0CFE"/>
    <w:rsid w:val="001B579E"/>
    <w:rsid w:val="001B6F8C"/>
    <w:rsid w:val="001B7710"/>
    <w:rsid w:val="001C1410"/>
    <w:rsid w:val="001C4745"/>
    <w:rsid w:val="001C4DCE"/>
    <w:rsid w:val="001C5342"/>
    <w:rsid w:val="001C6C9A"/>
    <w:rsid w:val="001C7421"/>
    <w:rsid w:val="001C7691"/>
    <w:rsid w:val="001C7C5C"/>
    <w:rsid w:val="001D1C2C"/>
    <w:rsid w:val="001D5033"/>
    <w:rsid w:val="001E106D"/>
    <w:rsid w:val="001E1DDC"/>
    <w:rsid w:val="001E1E55"/>
    <w:rsid w:val="001E2C17"/>
    <w:rsid w:val="001E6349"/>
    <w:rsid w:val="001E719B"/>
    <w:rsid w:val="001F4AF4"/>
    <w:rsid w:val="002022DB"/>
    <w:rsid w:val="00202F69"/>
    <w:rsid w:val="002034D9"/>
    <w:rsid w:val="00204247"/>
    <w:rsid w:val="002042EF"/>
    <w:rsid w:val="0020635C"/>
    <w:rsid w:val="00210D2F"/>
    <w:rsid w:val="00211EEF"/>
    <w:rsid w:val="00212C67"/>
    <w:rsid w:val="00216A6F"/>
    <w:rsid w:val="00217E55"/>
    <w:rsid w:val="00221D82"/>
    <w:rsid w:val="00221F51"/>
    <w:rsid w:val="00222F8A"/>
    <w:rsid w:val="00227121"/>
    <w:rsid w:val="002322B6"/>
    <w:rsid w:val="002341F9"/>
    <w:rsid w:val="00250AE9"/>
    <w:rsid w:val="00252279"/>
    <w:rsid w:val="00253198"/>
    <w:rsid w:val="0025560D"/>
    <w:rsid w:val="00256175"/>
    <w:rsid w:val="00260868"/>
    <w:rsid w:val="00263C7F"/>
    <w:rsid w:val="00265AC5"/>
    <w:rsid w:val="00270147"/>
    <w:rsid w:val="00271F62"/>
    <w:rsid w:val="00272E36"/>
    <w:rsid w:val="00274845"/>
    <w:rsid w:val="00275B70"/>
    <w:rsid w:val="00280695"/>
    <w:rsid w:val="00282A52"/>
    <w:rsid w:val="0028622E"/>
    <w:rsid w:val="00287CDB"/>
    <w:rsid w:val="002914F7"/>
    <w:rsid w:val="00292C89"/>
    <w:rsid w:val="00292CE3"/>
    <w:rsid w:val="00296382"/>
    <w:rsid w:val="00297B24"/>
    <w:rsid w:val="002A0464"/>
    <w:rsid w:val="002A1624"/>
    <w:rsid w:val="002A2A16"/>
    <w:rsid w:val="002A3FBC"/>
    <w:rsid w:val="002B0272"/>
    <w:rsid w:val="002B03D4"/>
    <w:rsid w:val="002B03DC"/>
    <w:rsid w:val="002B1C94"/>
    <w:rsid w:val="002B303B"/>
    <w:rsid w:val="002B68C4"/>
    <w:rsid w:val="002B7474"/>
    <w:rsid w:val="002C0F28"/>
    <w:rsid w:val="002C1797"/>
    <w:rsid w:val="002C222F"/>
    <w:rsid w:val="002C6B1F"/>
    <w:rsid w:val="002D01DB"/>
    <w:rsid w:val="002D0AA1"/>
    <w:rsid w:val="002D15D1"/>
    <w:rsid w:val="002D15DD"/>
    <w:rsid w:val="002D2109"/>
    <w:rsid w:val="002D6A2C"/>
    <w:rsid w:val="002D6A6F"/>
    <w:rsid w:val="002E049F"/>
    <w:rsid w:val="002E0884"/>
    <w:rsid w:val="002E3314"/>
    <w:rsid w:val="002E3591"/>
    <w:rsid w:val="002E3CFB"/>
    <w:rsid w:val="002E428A"/>
    <w:rsid w:val="002F0925"/>
    <w:rsid w:val="002F1833"/>
    <w:rsid w:val="002F2550"/>
    <w:rsid w:val="002F4562"/>
    <w:rsid w:val="002F5143"/>
    <w:rsid w:val="002F56A1"/>
    <w:rsid w:val="002F5F89"/>
    <w:rsid w:val="002F7510"/>
    <w:rsid w:val="002F7757"/>
    <w:rsid w:val="002F7B2A"/>
    <w:rsid w:val="00300656"/>
    <w:rsid w:val="003018B6"/>
    <w:rsid w:val="0030374B"/>
    <w:rsid w:val="00303D64"/>
    <w:rsid w:val="00305B57"/>
    <w:rsid w:val="00307F48"/>
    <w:rsid w:val="003112FC"/>
    <w:rsid w:val="0031133A"/>
    <w:rsid w:val="0031666B"/>
    <w:rsid w:val="00316815"/>
    <w:rsid w:val="00317B98"/>
    <w:rsid w:val="00320AD2"/>
    <w:rsid w:val="00321710"/>
    <w:rsid w:val="0032374B"/>
    <w:rsid w:val="00324962"/>
    <w:rsid w:val="00324C8B"/>
    <w:rsid w:val="00326BBB"/>
    <w:rsid w:val="0032794B"/>
    <w:rsid w:val="0033266A"/>
    <w:rsid w:val="0033757D"/>
    <w:rsid w:val="003418D9"/>
    <w:rsid w:val="003422A3"/>
    <w:rsid w:val="00342D4E"/>
    <w:rsid w:val="003445B7"/>
    <w:rsid w:val="003465AB"/>
    <w:rsid w:val="00347667"/>
    <w:rsid w:val="00350570"/>
    <w:rsid w:val="00352147"/>
    <w:rsid w:val="00352381"/>
    <w:rsid w:val="003533FC"/>
    <w:rsid w:val="00353FC5"/>
    <w:rsid w:val="00354FF7"/>
    <w:rsid w:val="003550EB"/>
    <w:rsid w:val="00357759"/>
    <w:rsid w:val="00362217"/>
    <w:rsid w:val="00363D91"/>
    <w:rsid w:val="00364E4A"/>
    <w:rsid w:val="0036518D"/>
    <w:rsid w:val="00365D3E"/>
    <w:rsid w:val="00373EC1"/>
    <w:rsid w:val="003746FD"/>
    <w:rsid w:val="00374B0C"/>
    <w:rsid w:val="003756F3"/>
    <w:rsid w:val="00377934"/>
    <w:rsid w:val="00381751"/>
    <w:rsid w:val="00384ECB"/>
    <w:rsid w:val="00385E70"/>
    <w:rsid w:val="00395B0E"/>
    <w:rsid w:val="003A0417"/>
    <w:rsid w:val="003A1714"/>
    <w:rsid w:val="003A1E86"/>
    <w:rsid w:val="003A2282"/>
    <w:rsid w:val="003A5343"/>
    <w:rsid w:val="003A587B"/>
    <w:rsid w:val="003B49A1"/>
    <w:rsid w:val="003B4EC1"/>
    <w:rsid w:val="003B7FFE"/>
    <w:rsid w:val="003C218F"/>
    <w:rsid w:val="003C41DD"/>
    <w:rsid w:val="003C6C3B"/>
    <w:rsid w:val="003D4593"/>
    <w:rsid w:val="003E12D8"/>
    <w:rsid w:val="003E20FC"/>
    <w:rsid w:val="003E399C"/>
    <w:rsid w:val="003E65EC"/>
    <w:rsid w:val="003F07B4"/>
    <w:rsid w:val="003F714E"/>
    <w:rsid w:val="00401967"/>
    <w:rsid w:val="00401EA7"/>
    <w:rsid w:val="00411B34"/>
    <w:rsid w:val="004134B7"/>
    <w:rsid w:val="004134EC"/>
    <w:rsid w:val="0042331B"/>
    <w:rsid w:val="0042363F"/>
    <w:rsid w:val="004256FE"/>
    <w:rsid w:val="004342E4"/>
    <w:rsid w:val="00434EE4"/>
    <w:rsid w:val="00437281"/>
    <w:rsid w:val="004444D4"/>
    <w:rsid w:val="0044545B"/>
    <w:rsid w:val="00446134"/>
    <w:rsid w:val="004463A3"/>
    <w:rsid w:val="00446CA9"/>
    <w:rsid w:val="00446EA8"/>
    <w:rsid w:val="004509F3"/>
    <w:rsid w:val="004514AC"/>
    <w:rsid w:val="00455BFE"/>
    <w:rsid w:val="00455CE6"/>
    <w:rsid w:val="00461858"/>
    <w:rsid w:val="00461C8C"/>
    <w:rsid w:val="00461DF6"/>
    <w:rsid w:val="0046241A"/>
    <w:rsid w:val="004657DB"/>
    <w:rsid w:val="0046615A"/>
    <w:rsid w:val="00471A71"/>
    <w:rsid w:val="00472A2F"/>
    <w:rsid w:val="00474CBF"/>
    <w:rsid w:val="004752FC"/>
    <w:rsid w:val="00475700"/>
    <w:rsid w:val="00477D03"/>
    <w:rsid w:val="00480266"/>
    <w:rsid w:val="00480EEF"/>
    <w:rsid w:val="004844B5"/>
    <w:rsid w:val="00484BF4"/>
    <w:rsid w:val="00493335"/>
    <w:rsid w:val="00494228"/>
    <w:rsid w:val="004950DC"/>
    <w:rsid w:val="004B1EF5"/>
    <w:rsid w:val="004B26FE"/>
    <w:rsid w:val="004B283B"/>
    <w:rsid w:val="004B4167"/>
    <w:rsid w:val="004B462F"/>
    <w:rsid w:val="004B60FE"/>
    <w:rsid w:val="004B69D7"/>
    <w:rsid w:val="004C096B"/>
    <w:rsid w:val="004C1F88"/>
    <w:rsid w:val="004C5AB1"/>
    <w:rsid w:val="004C5DD3"/>
    <w:rsid w:val="004D45B9"/>
    <w:rsid w:val="004D6570"/>
    <w:rsid w:val="004D7EF0"/>
    <w:rsid w:val="004E42EC"/>
    <w:rsid w:val="004E58DB"/>
    <w:rsid w:val="004E58FC"/>
    <w:rsid w:val="004E6E5B"/>
    <w:rsid w:val="004F1D46"/>
    <w:rsid w:val="00501B4C"/>
    <w:rsid w:val="0050590D"/>
    <w:rsid w:val="00505C1E"/>
    <w:rsid w:val="005069F3"/>
    <w:rsid w:val="0051133E"/>
    <w:rsid w:val="00511700"/>
    <w:rsid w:val="00511828"/>
    <w:rsid w:val="00515DFE"/>
    <w:rsid w:val="0052325C"/>
    <w:rsid w:val="005239F1"/>
    <w:rsid w:val="00524E55"/>
    <w:rsid w:val="005259CC"/>
    <w:rsid w:val="00531DA6"/>
    <w:rsid w:val="0053256B"/>
    <w:rsid w:val="00533926"/>
    <w:rsid w:val="00534CB8"/>
    <w:rsid w:val="005352FB"/>
    <w:rsid w:val="00535F34"/>
    <w:rsid w:val="00537A78"/>
    <w:rsid w:val="00541A14"/>
    <w:rsid w:val="005457C6"/>
    <w:rsid w:val="005502A2"/>
    <w:rsid w:val="005530F4"/>
    <w:rsid w:val="00554F70"/>
    <w:rsid w:val="00560EF0"/>
    <w:rsid w:val="005633B3"/>
    <w:rsid w:val="00572FD5"/>
    <w:rsid w:val="0057661E"/>
    <w:rsid w:val="00581603"/>
    <w:rsid w:val="005829C6"/>
    <w:rsid w:val="00584DFC"/>
    <w:rsid w:val="00585E9A"/>
    <w:rsid w:val="005868EF"/>
    <w:rsid w:val="00591A5E"/>
    <w:rsid w:val="00593796"/>
    <w:rsid w:val="0059558F"/>
    <w:rsid w:val="00597A94"/>
    <w:rsid w:val="005A0880"/>
    <w:rsid w:val="005A3956"/>
    <w:rsid w:val="005A4DF3"/>
    <w:rsid w:val="005A622F"/>
    <w:rsid w:val="005A6922"/>
    <w:rsid w:val="005A6F37"/>
    <w:rsid w:val="005A7671"/>
    <w:rsid w:val="005B369D"/>
    <w:rsid w:val="005B5965"/>
    <w:rsid w:val="005B5F5A"/>
    <w:rsid w:val="005C015E"/>
    <w:rsid w:val="005C2A92"/>
    <w:rsid w:val="005C544F"/>
    <w:rsid w:val="005C5722"/>
    <w:rsid w:val="005C65B8"/>
    <w:rsid w:val="005D225E"/>
    <w:rsid w:val="005D2EB9"/>
    <w:rsid w:val="005D3038"/>
    <w:rsid w:val="005D404F"/>
    <w:rsid w:val="005D6C24"/>
    <w:rsid w:val="005D7355"/>
    <w:rsid w:val="005E30D5"/>
    <w:rsid w:val="005E3261"/>
    <w:rsid w:val="005E4252"/>
    <w:rsid w:val="005E7A07"/>
    <w:rsid w:val="005F0E4D"/>
    <w:rsid w:val="005F2332"/>
    <w:rsid w:val="005F31F9"/>
    <w:rsid w:val="005F4DC0"/>
    <w:rsid w:val="005F5046"/>
    <w:rsid w:val="005F576C"/>
    <w:rsid w:val="0060513B"/>
    <w:rsid w:val="006053A4"/>
    <w:rsid w:val="00606392"/>
    <w:rsid w:val="006064DB"/>
    <w:rsid w:val="006074F0"/>
    <w:rsid w:val="00612732"/>
    <w:rsid w:val="006147CB"/>
    <w:rsid w:val="0061490D"/>
    <w:rsid w:val="0062016F"/>
    <w:rsid w:val="0062033F"/>
    <w:rsid w:val="006220B8"/>
    <w:rsid w:val="006225E5"/>
    <w:rsid w:val="006227E3"/>
    <w:rsid w:val="00625E11"/>
    <w:rsid w:val="00632779"/>
    <w:rsid w:val="00633BAB"/>
    <w:rsid w:val="006353F8"/>
    <w:rsid w:val="00641414"/>
    <w:rsid w:val="0064154E"/>
    <w:rsid w:val="006438B6"/>
    <w:rsid w:val="00644673"/>
    <w:rsid w:val="0064585D"/>
    <w:rsid w:val="00646681"/>
    <w:rsid w:val="00647F94"/>
    <w:rsid w:val="00651918"/>
    <w:rsid w:val="00653734"/>
    <w:rsid w:val="006555C9"/>
    <w:rsid w:val="00655D3A"/>
    <w:rsid w:val="006576F1"/>
    <w:rsid w:val="00662D59"/>
    <w:rsid w:val="00663792"/>
    <w:rsid w:val="006642DF"/>
    <w:rsid w:val="006653CD"/>
    <w:rsid w:val="0066541B"/>
    <w:rsid w:val="006654AF"/>
    <w:rsid w:val="00666139"/>
    <w:rsid w:val="006711B9"/>
    <w:rsid w:val="00671351"/>
    <w:rsid w:val="00671A8C"/>
    <w:rsid w:val="00675F84"/>
    <w:rsid w:val="00676395"/>
    <w:rsid w:val="00676524"/>
    <w:rsid w:val="00676B87"/>
    <w:rsid w:val="00677DF1"/>
    <w:rsid w:val="00677E72"/>
    <w:rsid w:val="00682276"/>
    <w:rsid w:val="006832F0"/>
    <w:rsid w:val="006845D6"/>
    <w:rsid w:val="00686437"/>
    <w:rsid w:val="00687711"/>
    <w:rsid w:val="00692166"/>
    <w:rsid w:val="00692BA6"/>
    <w:rsid w:val="006937E1"/>
    <w:rsid w:val="006A2E08"/>
    <w:rsid w:val="006A4807"/>
    <w:rsid w:val="006A5624"/>
    <w:rsid w:val="006A5BF6"/>
    <w:rsid w:val="006A7691"/>
    <w:rsid w:val="006B0C88"/>
    <w:rsid w:val="006B31CD"/>
    <w:rsid w:val="006B511C"/>
    <w:rsid w:val="006B5290"/>
    <w:rsid w:val="006B57F1"/>
    <w:rsid w:val="006B702E"/>
    <w:rsid w:val="006C088D"/>
    <w:rsid w:val="006C345A"/>
    <w:rsid w:val="006C65EA"/>
    <w:rsid w:val="006C698F"/>
    <w:rsid w:val="006C77D1"/>
    <w:rsid w:val="006D13E5"/>
    <w:rsid w:val="006D2E2B"/>
    <w:rsid w:val="006D5CD5"/>
    <w:rsid w:val="006E03DF"/>
    <w:rsid w:val="006E455D"/>
    <w:rsid w:val="006E4DA2"/>
    <w:rsid w:val="006E4F78"/>
    <w:rsid w:val="006E7E8B"/>
    <w:rsid w:val="006F003A"/>
    <w:rsid w:val="006F13E3"/>
    <w:rsid w:val="006F14F4"/>
    <w:rsid w:val="006F260D"/>
    <w:rsid w:val="006F3A52"/>
    <w:rsid w:val="006F4DA9"/>
    <w:rsid w:val="006F5782"/>
    <w:rsid w:val="006F5C16"/>
    <w:rsid w:val="007017D3"/>
    <w:rsid w:val="00701CF8"/>
    <w:rsid w:val="00703C83"/>
    <w:rsid w:val="00706388"/>
    <w:rsid w:val="00707937"/>
    <w:rsid w:val="00712909"/>
    <w:rsid w:val="00715F47"/>
    <w:rsid w:val="00715FA4"/>
    <w:rsid w:val="00720FAA"/>
    <w:rsid w:val="00721765"/>
    <w:rsid w:val="0072182B"/>
    <w:rsid w:val="00721897"/>
    <w:rsid w:val="00725766"/>
    <w:rsid w:val="00725C8D"/>
    <w:rsid w:val="00726D19"/>
    <w:rsid w:val="00730D7A"/>
    <w:rsid w:val="007335AA"/>
    <w:rsid w:val="0073556F"/>
    <w:rsid w:val="00740F76"/>
    <w:rsid w:val="0074314E"/>
    <w:rsid w:val="00743CCF"/>
    <w:rsid w:val="0074449C"/>
    <w:rsid w:val="0074585A"/>
    <w:rsid w:val="0074631A"/>
    <w:rsid w:val="00747178"/>
    <w:rsid w:val="00751119"/>
    <w:rsid w:val="0076084C"/>
    <w:rsid w:val="00760BD5"/>
    <w:rsid w:val="00764813"/>
    <w:rsid w:val="00766BB5"/>
    <w:rsid w:val="00770B58"/>
    <w:rsid w:val="00771601"/>
    <w:rsid w:val="00773D3A"/>
    <w:rsid w:val="007743F9"/>
    <w:rsid w:val="00776E5D"/>
    <w:rsid w:val="00777106"/>
    <w:rsid w:val="00777152"/>
    <w:rsid w:val="00777ABD"/>
    <w:rsid w:val="00785129"/>
    <w:rsid w:val="007933A5"/>
    <w:rsid w:val="007A092F"/>
    <w:rsid w:val="007A1073"/>
    <w:rsid w:val="007A4FB0"/>
    <w:rsid w:val="007B168A"/>
    <w:rsid w:val="007B3505"/>
    <w:rsid w:val="007B5AEF"/>
    <w:rsid w:val="007B6BA2"/>
    <w:rsid w:val="007B6D62"/>
    <w:rsid w:val="007B77A3"/>
    <w:rsid w:val="007C0300"/>
    <w:rsid w:val="007C0F9F"/>
    <w:rsid w:val="007C11BE"/>
    <w:rsid w:val="007C154B"/>
    <w:rsid w:val="007C25F8"/>
    <w:rsid w:val="007C5250"/>
    <w:rsid w:val="007C7C8B"/>
    <w:rsid w:val="007D1996"/>
    <w:rsid w:val="007D46D9"/>
    <w:rsid w:val="007D681A"/>
    <w:rsid w:val="007E0ADA"/>
    <w:rsid w:val="007E0C9F"/>
    <w:rsid w:val="007E1376"/>
    <w:rsid w:val="007E2850"/>
    <w:rsid w:val="007E385E"/>
    <w:rsid w:val="007E480A"/>
    <w:rsid w:val="007E5301"/>
    <w:rsid w:val="007E6C98"/>
    <w:rsid w:val="007F20E7"/>
    <w:rsid w:val="007F75FB"/>
    <w:rsid w:val="00804905"/>
    <w:rsid w:val="008069F8"/>
    <w:rsid w:val="00806FA1"/>
    <w:rsid w:val="00807DEC"/>
    <w:rsid w:val="00812DBF"/>
    <w:rsid w:val="00813278"/>
    <w:rsid w:val="0081328A"/>
    <w:rsid w:val="00813960"/>
    <w:rsid w:val="0081535D"/>
    <w:rsid w:val="0081571A"/>
    <w:rsid w:val="00821E04"/>
    <w:rsid w:val="0082332D"/>
    <w:rsid w:val="00824299"/>
    <w:rsid w:val="008323C3"/>
    <w:rsid w:val="008336C5"/>
    <w:rsid w:val="0083518A"/>
    <w:rsid w:val="008351C8"/>
    <w:rsid w:val="00835D90"/>
    <w:rsid w:val="008368DF"/>
    <w:rsid w:val="00840EEC"/>
    <w:rsid w:val="00845336"/>
    <w:rsid w:val="00846ABF"/>
    <w:rsid w:val="008475B5"/>
    <w:rsid w:val="0084797E"/>
    <w:rsid w:val="00847E9E"/>
    <w:rsid w:val="00850939"/>
    <w:rsid w:val="00850B53"/>
    <w:rsid w:val="0085108E"/>
    <w:rsid w:val="00855D78"/>
    <w:rsid w:val="008577E6"/>
    <w:rsid w:val="00860967"/>
    <w:rsid w:val="00862DF5"/>
    <w:rsid w:val="00864C69"/>
    <w:rsid w:val="008678CD"/>
    <w:rsid w:val="008708D5"/>
    <w:rsid w:val="00874A51"/>
    <w:rsid w:val="008754A9"/>
    <w:rsid w:val="008760EE"/>
    <w:rsid w:val="0087671B"/>
    <w:rsid w:val="00877F3B"/>
    <w:rsid w:val="00882D7A"/>
    <w:rsid w:val="00883A42"/>
    <w:rsid w:val="00883A7D"/>
    <w:rsid w:val="008845C0"/>
    <w:rsid w:val="00884730"/>
    <w:rsid w:val="0088734A"/>
    <w:rsid w:val="008947A3"/>
    <w:rsid w:val="00894DDC"/>
    <w:rsid w:val="0089641C"/>
    <w:rsid w:val="00897B09"/>
    <w:rsid w:val="008A0551"/>
    <w:rsid w:val="008A333E"/>
    <w:rsid w:val="008A3BD3"/>
    <w:rsid w:val="008A7D06"/>
    <w:rsid w:val="008B465D"/>
    <w:rsid w:val="008C2BB9"/>
    <w:rsid w:val="008C3608"/>
    <w:rsid w:val="008C4ACE"/>
    <w:rsid w:val="008C5DDE"/>
    <w:rsid w:val="008D10E5"/>
    <w:rsid w:val="008D135C"/>
    <w:rsid w:val="008D3E65"/>
    <w:rsid w:val="008D449B"/>
    <w:rsid w:val="008D4AC1"/>
    <w:rsid w:val="008D6F5B"/>
    <w:rsid w:val="008D78CA"/>
    <w:rsid w:val="008D7C2C"/>
    <w:rsid w:val="008E083A"/>
    <w:rsid w:val="008E0DCC"/>
    <w:rsid w:val="008E2469"/>
    <w:rsid w:val="008E556F"/>
    <w:rsid w:val="008F33FA"/>
    <w:rsid w:val="008F3EB5"/>
    <w:rsid w:val="008F773C"/>
    <w:rsid w:val="009011EC"/>
    <w:rsid w:val="00902838"/>
    <w:rsid w:val="00903D65"/>
    <w:rsid w:val="0090499E"/>
    <w:rsid w:val="00904AD3"/>
    <w:rsid w:val="00904B4F"/>
    <w:rsid w:val="00907929"/>
    <w:rsid w:val="00910CC9"/>
    <w:rsid w:val="00912BDE"/>
    <w:rsid w:val="00914FF2"/>
    <w:rsid w:val="00916373"/>
    <w:rsid w:val="009166E0"/>
    <w:rsid w:val="00916749"/>
    <w:rsid w:val="00917122"/>
    <w:rsid w:val="00917A8F"/>
    <w:rsid w:val="009203D7"/>
    <w:rsid w:val="009204CD"/>
    <w:rsid w:val="00921969"/>
    <w:rsid w:val="00922B63"/>
    <w:rsid w:val="00925F71"/>
    <w:rsid w:val="0093088A"/>
    <w:rsid w:val="00933D9D"/>
    <w:rsid w:val="009342AD"/>
    <w:rsid w:val="00936E12"/>
    <w:rsid w:val="00937B21"/>
    <w:rsid w:val="00943CE7"/>
    <w:rsid w:val="00952DE4"/>
    <w:rsid w:val="00954709"/>
    <w:rsid w:val="009556A5"/>
    <w:rsid w:val="00955B09"/>
    <w:rsid w:val="00957395"/>
    <w:rsid w:val="009603CB"/>
    <w:rsid w:val="00961BD5"/>
    <w:rsid w:val="009630BE"/>
    <w:rsid w:val="00970FB2"/>
    <w:rsid w:val="00973141"/>
    <w:rsid w:val="009733E1"/>
    <w:rsid w:val="009742CF"/>
    <w:rsid w:val="009750AC"/>
    <w:rsid w:val="00981FD1"/>
    <w:rsid w:val="009843F9"/>
    <w:rsid w:val="00984A2F"/>
    <w:rsid w:val="009857CD"/>
    <w:rsid w:val="00986F16"/>
    <w:rsid w:val="00990E21"/>
    <w:rsid w:val="00991D1F"/>
    <w:rsid w:val="00993FA1"/>
    <w:rsid w:val="009A0BB4"/>
    <w:rsid w:val="009A22C0"/>
    <w:rsid w:val="009A288D"/>
    <w:rsid w:val="009A3982"/>
    <w:rsid w:val="009A6A50"/>
    <w:rsid w:val="009A6D76"/>
    <w:rsid w:val="009A79A9"/>
    <w:rsid w:val="009A7B54"/>
    <w:rsid w:val="009B07AA"/>
    <w:rsid w:val="009B1306"/>
    <w:rsid w:val="009B5B7B"/>
    <w:rsid w:val="009B5B86"/>
    <w:rsid w:val="009C0FF7"/>
    <w:rsid w:val="009D0087"/>
    <w:rsid w:val="009D240C"/>
    <w:rsid w:val="009D24D3"/>
    <w:rsid w:val="009D2E28"/>
    <w:rsid w:val="009D4ABB"/>
    <w:rsid w:val="009D5729"/>
    <w:rsid w:val="009D7A7C"/>
    <w:rsid w:val="009D7BA0"/>
    <w:rsid w:val="009D7E91"/>
    <w:rsid w:val="009E2463"/>
    <w:rsid w:val="009E3A6C"/>
    <w:rsid w:val="009E5267"/>
    <w:rsid w:val="009E591A"/>
    <w:rsid w:val="009E6569"/>
    <w:rsid w:val="009E6C08"/>
    <w:rsid w:val="009E7EAD"/>
    <w:rsid w:val="009F0787"/>
    <w:rsid w:val="009F2300"/>
    <w:rsid w:val="009F3555"/>
    <w:rsid w:val="00A01B01"/>
    <w:rsid w:val="00A01B6F"/>
    <w:rsid w:val="00A031B5"/>
    <w:rsid w:val="00A044D3"/>
    <w:rsid w:val="00A04736"/>
    <w:rsid w:val="00A04A1D"/>
    <w:rsid w:val="00A05AC8"/>
    <w:rsid w:val="00A10FF5"/>
    <w:rsid w:val="00A124A6"/>
    <w:rsid w:val="00A13096"/>
    <w:rsid w:val="00A141B0"/>
    <w:rsid w:val="00A1619D"/>
    <w:rsid w:val="00A1751E"/>
    <w:rsid w:val="00A24D6D"/>
    <w:rsid w:val="00A308CF"/>
    <w:rsid w:val="00A331E9"/>
    <w:rsid w:val="00A335B4"/>
    <w:rsid w:val="00A33AB8"/>
    <w:rsid w:val="00A358D6"/>
    <w:rsid w:val="00A43841"/>
    <w:rsid w:val="00A441E1"/>
    <w:rsid w:val="00A45C21"/>
    <w:rsid w:val="00A461E9"/>
    <w:rsid w:val="00A52D77"/>
    <w:rsid w:val="00A5326F"/>
    <w:rsid w:val="00A5692B"/>
    <w:rsid w:val="00A61825"/>
    <w:rsid w:val="00A72BBA"/>
    <w:rsid w:val="00A72D40"/>
    <w:rsid w:val="00A74157"/>
    <w:rsid w:val="00A768D7"/>
    <w:rsid w:val="00A80FC4"/>
    <w:rsid w:val="00A81572"/>
    <w:rsid w:val="00A822CB"/>
    <w:rsid w:val="00A822EE"/>
    <w:rsid w:val="00A822EF"/>
    <w:rsid w:val="00A836C9"/>
    <w:rsid w:val="00A85008"/>
    <w:rsid w:val="00A85627"/>
    <w:rsid w:val="00AA19D4"/>
    <w:rsid w:val="00AA3126"/>
    <w:rsid w:val="00AA36FC"/>
    <w:rsid w:val="00AA3B67"/>
    <w:rsid w:val="00AA524E"/>
    <w:rsid w:val="00AA6257"/>
    <w:rsid w:val="00AA728C"/>
    <w:rsid w:val="00AB2F6A"/>
    <w:rsid w:val="00AB5939"/>
    <w:rsid w:val="00AB7FC7"/>
    <w:rsid w:val="00AC0682"/>
    <w:rsid w:val="00AC0727"/>
    <w:rsid w:val="00AC1BF5"/>
    <w:rsid w:val="00AC2D2B"/>
    <w:rsid w:val="00AD0C9F"/>
    <w:rsid w:val="00AD7636"/>
    <w:rsid w:val="00AE2D1D"/>
    <w:rsid w:val="00AF4655"/>
    <w:rsid w:val="00AF473D"/>
    <w:rsid w:val="00AF68FD"/>
    <w:rsid w:val="00B00943"/>
    <w:rsid w:val="00B057E2"/>
    <w:rsid w:val="00B10174"/>
    <w:rsid w:val="00B10CFA"/>
    <w:rsid w:val="00B14E8B"/>
    <w:rsid w:val="00B215F4"/>
    <w:rsid w:val="00B22AD4"/>
    <w:rsid w:val="00B232B5"/>
    <w:rsid w:val="00B233A9"/>
    <w:rsid w:val="00B24E97"/>
    <w:rsid w:val="00B25801"/>
    <w:rsid w:val="00B30810"/>
    <w:rsid w:val="00B31B65"/>
    <w:rsid w:val="00B32C6B"/>
    <w:rsid w:val="00B32F65"/>
    <w:rsid w:val="00B334A3"/>
    <w:rsid w:val="00B35A91"/>
    <w:rsid w:val="00B362BA"/>
    <w:rsid w:val="00B36E11"/>
    <w:rsid w:val="00B42BA6"/>
    <w:rsid w:val="00B42EC0"/>
    <w:rsid w:val="00B42F76"/>
    <w:rsid w:val="00B43ACA"/>
    <w:rsid w:val="00B44889"/>
    <w:rsid w:val="00B44B4A"/>
    <w:rsid w:val="00B530DE"/>
    <w:rsid w:val="00B55254"/>
    <w:rsid w:val="00B55784"/>
    <w:rsid w:val="00B7503F"/>
    <w:rsid w:val="00B77B79"/>
    <w:rsid w:val="00B80F61"/>
    <w:rsid w:val="00B8162D"/>
    <w:rsid w:val="00B8323F"/>
    <w:rsid w:val="00B83AAC"/>
    <w:rsid w:val="00B83ACF"/>
    <w:rsid w:val="00B90C8E"/>
    <w:rsid w:val="00B91381"/>
    <w:rsid w:val="00B91719"/>
    <w:rsid w:val="00B93907"/>
    <w:rsid w:val="00B943DB"/>
    <w:rsid w:val="00BA014D"/>
    <w:rsid w:val="00BA0922"/>
    <w:rsid w:val="00BA13B7"/>
    <w:rsid w:val="00BA1ADA"/>
    <w:rsid w:val="00BA4DCB"/>
    <w:rsid w:val="00BA6043"/>
    <w:rsid w:val="00BB10F9"/>
    <w:rsid w:val="00BB4D0A"/>
    <w:rsid w:val="00BB6C03"/>
    <w:rsid w:val="00BB7849"/>
    <w:rsid w:val="00BC0964"/>
    <w:rsid w:val="00BC1F00"/>
    <w:rsid w:val="00BC4ABC"/>
    <w:rsid w:val="00BC51EA"/>
    <w:rsid w:val="00BD4697"/>
    <w:rsid w:val="00BD49B4"/>
    <w:rsid w:val="00BD5DD7"/>
    <w:rsid w:val="00BD6E15"/>
    <w:rsid w:val="00BE0966"/>
    <w:rsid w:val="00BE142A"/>
    <w:rsid w:val="00BE1D66"/>
    <w:rsid w:val="00BE6E4C"/>
    <w:rsid w:val="00BE7962"/>
    <w:rsid w:val="00BF07CE"/>
    <w:rsid w:val="00BF09D4"/>
    <w:rsid w:val="00BF1508"/>
    <w:rsid w:val="00BF2AC5"/>
    <w:rsid w:val="00BF2CDA"/>
    <w:rsid w:val="00BF4A8D"/>
    <w:rsid w:val="00C00643"/>
    <w:rsid w:val="00C01C75"/>
    <w:rsid w:val="00C020E0"/>
    <w:rsid w:val="00C05BBB"/>
    <w:rsid w:val="00C06284"/>
    <w:rsid w:val="00C06346"/>
    <w:rsid w:val="00C06CBB"/>
    <w:rsid w:val="00C072EB"/>
    <w:rsid w:val="00C07642"/>
    <w:rsid w:val="00C10758"/>
    <w:rsid w:val="00C11524"/>
    <w:rsid w:val="00C1391D"/>
    <w:rsid w:val="00C16B3F"/>
    <w:rsid w:val="00C17BC2"/>
    <w:rsid w:val="00C17C87"/>
    <w:rsid w:val="00C226CA"/>
    <w:rsid w:val="00C247F0"/>
    <w:rsid w:val="00C26E8D"/>
    <w:rsid w:val="00C304EA"/>
    <w:rsid w:val="00C30872"/>
    <w:rsid w:val="00C31F07"/>
    <w:rsid w:val="00C33B51"/>
    <w:rsid w:val="00C343D5"/>
    <w:rsid w:val="00C3683F"/>
    <w:rsid w:val="00C4158B"/>
    <w:rsid w:val="00C42A02"/>
    <w:rsid w:val="00C453E2"/>
    <w:rsid w:val="00C50F7B"/>
    <w:rsid w:val="00C53EB5"/>
    <w:rsid w:val="00C56E52"/>
    <w:rsid w:val="00C60502"/>
    <w:rsid w:val="00C65AEC"/>
    <w:rsid w:val="00C66071"/>
    <w:rsid w:val="00C7042A"/>
    <w:rsid w:val="00C77CE5"/>
    <w:rsid w:val="00C82BD7"/>
    <w:rsid w:val="00C8430E"/>
    <w:rsid w:val="00C85BC7"/>
    <w:rsid w:val="00C90255"/>
    <w:rsid w:val="00C912DC"/>
    <w:rsid w:val="00CA31EA"/>
    <w:rsid w:val="00CA3237"/>
    <w:rsid w:val="00CA3F62"/>
    <w:rsid w:val="00CA45FF"/>
    <w:rsid w:val="00CA48DC"/>
    <w:rsid w:val="00CA72D0"/>
    <w:rsid w:val="00CA7689"/>
    <w:rsid w:val="00CA78C3"/>
    <w:rsid w:val="00CB62B7"/>
    <w:rsid w:val="00CB635D"/>
    <w:rsid w:val="00CB6647"/>
    <w:rsid w:val="00CC2102"/>
    <w:rsid w:val="00CC2318"/>
    <w:rsid w:val="00CC7CA1"/>
    <w:rsid w:val="00CD0214"/>
    <w:rsid w:val="00CD30E3"/>
    <w:rsid w:val="00CD3471"/>
    <w:rsid w:val="00CD7EB7"/>
    <w:rsid w:val="00CE1B79"/>
    <w:rsid w:val="00CE5EE1"/>
    <w:rsid w:val="00CF0C98"/>
    <w:rsid w:val="00CF232A"/>
    <w:rsid w:val="00CF3E02"/>
    <w:rsid w:val="00CF3FCD"/>
    <w:rsid w:val="00CF651D"/>
    <w:rsid w:val="00D00BDB"/>
    <w:rsid w:val="00D01D63"/>
    <w:rsid w:val="00D031EA"/>
    <w:rsid w:val="00D04565"/>
    <w:rsid w:val="00D04D23"/>
    <w:rsid w:val="00D04E8B"/>
    <w:rsid w:val="00D06108"/>
    <w:rsid w:val="00D07F30"/>
    <w:rsid w:val="00D12125"/>
    <w:rsid w:val="00D12B21"/>
    <w:rsid w:val="00D149F8"/>
    <w:rsid w:val="00D152CC"/>
    <w:rsid w:val="00D15540"/>
    <w:rsid w:val="00D17DF0"/>
    <w:rsid w:val="00D2202C"/>
    <w:rsid w:val="00D24058"/>
    <w:rsid w:val="00D26D3F"/>
    <w:rsid w:val="00D26DFC"/>
    <w:rsid w:val="00D2713D"/>
    <w:rsid w:val="00D300A8"/>
    <w:rsid w:val="00D31925"/>
    <w:rsid w:val="00D35621"/>
    <w:rsid w:val="00D42A88"/>
    <w:rsid w:val="00D50DA8"/>
    <w:rsid w:val="00D51082"/>
    <w:rsid w:val="00D52719"/>
    <w:rsid w:val="00D52A26"/>
    <w:rsid w:val="00D53872"/>
    <w:rsid w:val="00D56953"/>
    <w:rsid w:val="00D57146"/>
    <w:rsid w:val="00D57451"/>
    <w:rsid w:val="00D577AF"/>
    <w:rsid w:val="00D60044"/>
    <w:rsid w:val="00D602E6"/>
    <w:rsid w:val="00D6188D"/>
    <w:rsid w:val="00D6289B"/>
    <w:rsid w:val="00D64EF2"/>
    <w:rsid w:val="00D65F6D"/>
    <w:rsid w:val="00D667C3"/>
    <w:rsid w:val="00D73F86"/>
    <w:rsid w:val="00D74246"/>
    <w:rsid w:val="00D81871"/>
    <w:rsid w:val="00D82759"/>
    <w:rsid w:val="00D82959"/>
    <w:rsid w:val="00D831DE"/>
    <w:rsid w:val="00D85DFB"/>
    <w:rsid w:val="00D86C34"/>
    <w:rsid w:val="00D87555"/>
    <w:rsid w:val="00D92535"/>
    <w:rsid w:val="00D94041"/>
    <w:rsid w:val="00D977A7"/>
    <w:rsid w:val="00DA1806"/>
    <w:rsid w:val="00DA3082"/>
    <w:rsid w:val="00DA73EC"/>
    <w:rsid w:val="00DB24F3"/>
    <w:rsid w:val="00DB2FD4"/>
    <w:rsid w:val="00DB422D"/>
    <w:rsid w:val="00DB4AEC"/>
    <w:rsid w:val="00DB71F7"/>
    <w:rsid w:val="00DB73CD"/>
    <w:rsid w:val="00DB7425"/>
    <w:rsid w:val="00DB77E0"/>
    <w:rsid w:val="00DB7B20"/>
    <w:rsid w:val="00DC29C7"/>
    <w:rsid w:val="00DC36D6"/>
    <w:rsid w:val="00DC59C8"/>
    <w:rsid w:val="00DD3D19"/>
    <w:rsid w:val="00DD44AC"/>
    <w:rsid w:val="00DD4742"/>
    <w:rsid w:val="00DD4B03"/>
    <w:rsid w:val="00DD5B74"/>
    <w:rsid w:val="00DD6DA8"/>
    <w:rsid w:val="00DD7F54"/>
    <w:rsid w:val="00DE192C"/>
    <w:rsid w:val="00DE1B0C"/>
    <w:rsid w:val="00DE290C"/>
    <w:rsid w:val="00DE2CB9"/>
    <w:rsid w:val="00DE37CE"/>
    <w:rsid w:val="00DE3EEF"/>
    <w:rsid w:val="00DE5F76"/>
    <w:rsid w:val="00DE628E"/>
    <w:rsid w:val="00DF1DC8"/>
    <w:rsid w:val="00DF1DFF"/>
    <w:rsid w:val="00DF469E"/>
    <w:rsid w:val="00DF554F"/>
    <w:rsid w:val="00DF6BB3"/>
    <w:rsid w:val="00DF74DE"/>
    <w:rsid w:val="00DF7A83"/>
    <w:rsid w:val="00E005EE"/>
    <w:rsid w:val="00E03091"/>
    <w:rsid w:val="00E115C4"/>
    <w:rsid w:val="00E14938"/>
    <w:rsid w:val="00E15FA4"/>
    <w:rsid w:val="00E16269"/>
    <w:rsid w:val="00E17B6C"/>
    <w:rsid w:val="00E17DC1"/>
    <w:rsid w:val="00E20212"/>
    <w:rsid w:val="00E206B3"/>
    <w:rsid w:val="00E20EC9"/>
    <w:rsid w:val="00E2186D"/>
    <w:rsid w:val="00E21B18"/>
    <w:rsid w:val="00E26209"/>
    <w:rsid w:val="00E266FA"/>
    <w:rsid w:val="00E31502"/>
    <w:rsid w:val="00E35824"/>
    <w:rsid w:val="00E36E63"/>
    <w:rsid w:val="00E3712E"/>
    <w:rsid w:val="00E42580"/>
    <w:rsid w:val="00E429D8"/>
    <w:rsid w:val="00E46889"/>
    <w:rsid w:val="00E50E4E"/>
    <w:rsid w:val="00E53A79"/>
    <w:rsid w:val="00E569EE"/>
    <w:rsid w:val="00E62215"/>
    <w:rsid w:val="00E63195"/>
    <w:rsid w:val="00E636E8"/>
    <w:rsid w:val="00E72D02"/>
    <w:rsid w:val="00E748C9"/>
    <w:rsid w:val="00E74C4F"/>
    <w:rsid w:val="00E853F6"/>
    <w:rsid w:val="00E87E50"/>
    <w:rsid w:val="00E9083F"/>
    <w:rsid w:val="00E91259"/>
    <w:rsid w:val="00E91412"/>
    <w:rsid w:val="00E91D90"/>
    <w:rsid w:val="00E946E8"/>
    <w:rsid w:val="00EA52C1"/>
    <w:rsid w:val="00EA55EC"/>
    <w:rsid w:val="00EA5DD5"/>
    <w:rsid w:val="00EB2647"/>
    <w:rsid w:val="00EC0415"/>
    <w:rsid w:val="00EC1B29"/>
    <w:rsid w:val="00EC2823"/>
    <w:rsid w:val="00EC2AB9"/>
    <w:rsid w:val="00EC4440"/>
    <w:rsid w:val="00EC6930"/>
    <w:rsid w:val="00ED51FE"/>
    <w:rsid w:val="00ED54C4"/>
    <w:rsid w:val="00ED674E"/>
    <w:rsid w:val="00EE4E1A"/>
    <w:rsid w:val="00EE7521"/>
    <w:rsid w:val="00EE75A8"/>
    <w:rsid w:val="00EF6576"/>
    <w:rsid w:val="00EF7284"/>
    <w:rsid w:val="00F001C6"/>
    <w:rsid w:val="00F01567"/>
    <w:rsid w:val="00F0594B"/>
    <w:rsid w:val="00F13853"/>
    <w:rsid w:val="00F145E3"/>
    <w:rsid w:val="00F1470E"/>
    <w:rsid w:val="00F16D5F"/>
    <w:rsid w:val="00F216C9"/>
    <w:rsid w:val="00F23C50"/>
    <w:rsid w:val="00F26C9D"/>
    <w:rsid w:val="00F27E6E"/>
    <w:rsid w:val="00F3078F"/>
    <w:rsid w:val="00F33F86"/>
    <w:rsid w:val="00F3773B"/>
    <w:rsid w:val="00F424BB"/>
    <w:rsid w:val="00F45B22"/>
    <w:rsid w:val="00F53009"/>
    <w:rsid w:val="00F54839"/>
    <w:rsid w:val="00F56F29"/>
    <w:rsid w:val="00F57DD2"/>
    <w:rsid w:val="00F57E5B"/>
    <w:rsid w:val="00F63981"/>
    <w:rsid w:val="00F63ADE"/>
    <w:rsid w:val="00F72D21"/>
    <w:rsid w:val="00F74B68"/>
    <w:rsid w:val="00F750FA"/>
    <w:rsid w:val="00F75563"/>
    <w:rsid w:val="00F7599D"/>
    <w:rsid w:val="00F83D5B"/>
    <w:rsid w:val="00F83E62"/>
    <w:rsid w:val="00F846E7"/>
    <w:rsid w:val="00F86D4E"/>
    <w:rsid w:val="00F912E0"/>
    <w:rsid w:val="00F91C0E"/>
    <w:rsid w:val="00F9514C"/>
    <w:rsid w:val="00F966DB"/>
    <w:rsid w:val="00FA2473"/>
    <w:rsid w:val="00FA248E"/>
    <w:rsid w:val="00FA40BE"/>
    <w:rsid w:val="00FA5C63"/>
    <w:rsid w:val="00FA65F7"/>
    <w:rsid w:val="00FB0636"/>
    <w:rsid w:val="00FB16BB"/>
    <w:rsid w:val="00FB2FF8"/>
    <w:rsid w:val="00FB3952"/>
    <w:rsid w:val="00FB7D8B"/>
    <w:rsid w:val="00FC2CE3"/>
    <w:rsid w:val="00FC606A"/>
    <w:rsid w:val="00FD041A"/>
    <w:rsid w:val="00FD090A"/>
    <w:rsid w:val="00FD4B61"/>
    <w:rsid w:val="00FD66E7"/>
    <w:rsid w:val="00FE442F"/>
    <w:rsid w:val="00FE63B1"/>
    <w:rsid w:val="00FE73AF"/>
    <w:rsid w:val="00FF17C2"/>
    <w:rsid w:val="00FF53F9"/>
    <w:rsid w:val="00FF69DC"/>
    <w:rsid w:val="00FF76E2"/>
    <w:rsid w:val="00FF7F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FI" w:eastAsia="sv-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sv-SE" w:eastAsia="sv-SE"/>
    </w:rPr>
  </w:style>
  <w:style w:type="paragraph" w:styleId="Rubrik1">
    <w:name w:val="heading 1"/>
    <w:basedOn w:val="Normal"/>
    <w:next w:val="Normal"/>
    <w:link w:val="Rubrik1Char"/>
    <w:uiPriority w:val="9"/>
    <w:qFormat/>
    <w:rsid w:val="00C10758"/>
    <w:pPr>
      <w:keepNext/>
      <w:spacing w:before="240" w:after="60"/>
      <w:outlineLvl w:val="0"/>
    </w:pPr>
    <w:rPr>
      <w:rFonts w:ascii="Cambria" w:hAnsi="Cambria"/>
      <w:b/>
      <w:bCs/>
      <w:kern w:val="32"/>
      <w:sz w:val="32"/>
      <w:szCs w:val="32"/>
    </w:rPr>
  </w:style>
  <w:style w:type="paragraph" w:styleId="Rubrik2">
    <w:name w:val="heading 2"/>
    <w:basedOn w:val="Normal"/>
    <w:next w:val="Normal"/>
    <w:link w:val="Rubrik2Char"/>
    <w:uiPriority w:val="9"/>
    <w:unhideWhenUsed/>
    <w:qFormat/>
    <w:rsid w:val="00C10758"/>
    <w:pPr>
      <w:keepNext/>
      <w:spacing w:before="240" w:after="60"/>
      <w:outlineLvl w:val="1"/>
    </w:pPr>
    <w:rPr>
      <w:rFonts w:ascii="Cambria" w:hAnsi="Cambria"/>
      <w:b/>
      <w:bCs/>
      <w:i/>
      <w:iCs/>
      <w:sz w:val="28"/>
      <w:szCs w:val="28"/>
    </w:rPr>
  </w:style>
  <w:style w:type="paragraph" w:styleId="Rubrik3">
    <w:name w:val="heading 3"/>
    <w:basedOn w:val="Normal"/>
    <w:next w:val="Normal"/>
    <w:qFormat/>
    <w:rsid w:val="003A1E86"/>
    <w:pPr>
      <w:keepNext/>
      <w:ind w:right="-18"/>
      <w:outlineLvl w:val="2"/>
    </w:pPr>
    <w:rPr>
      <w:rFonts w:ascii="Cambria" w:hAnsi="Cambria"/>
      <w:b/>
      <w:sz w:val="22"/>
      <w:szCs w:val="20"/>
      <w:lang w:val="en-GB"/>
    </w:rPr>
  </w:style>
  <w:style w:type="paragraph" w:styleId="Rubrik4">
    <w:name w:val="heading 4"/>
    <w:basedOn w:val="Normal"/>
    <w:next w:val="Normal"/>
    <w:link w:val="Rubrik4Char"/>
    <w:uiPriority w:val="9"/>
    <w:unhideWhenUsed/>
    <w:qFormat/>
    <w:rsid w:val="00C85BC7"/>
    <w:pPr>
      <w:keepNext/>
      <w:spacing w:before="240" w:after="60"/>
      <w:outlineLvl w:val="3"/>
    </w:pPr>
    <w:rPr>
      <w:rFonts w:ascii="Calibri" w:hAnsi="Calibri"/>
      <w:b/>
      <w:bCs/>
      <w:sz w:val="28"/>
      <w:szCs w:val="28"/>
    </w:rPr>
  </w:style>
  <w:style w:type="paragraph" w:styleId="Rubrik5">
    <w:name w:val="heading 5"/>
    <w:basedOn w:val="Normal"/>
    <w:next w:val="Normal"/>
    <w:link w:val="Rubrik5Char"/>
    <w:uiPriority w:val="9"/>
    <w:semiHidden/>
    <w:unhideWhenUsed/>
    <w:qFormat/>
    <w:rsid w:val="00B334A3"/>
    <w:pPr>
      <w:spacing w:before="240" w:after="60"/>
      <w:outlineLvl w:val="4"/>
    </w:pPr>
    <w:rPr>
      <w:rFonts w:ascii="Calibri" w:hAnsi="Calibr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536"/>
        <w:tab w:val="right" w:pos="9072"/>
      </w:tabs>
    </w:pPr>
    <w:rPr>
      <w:sz w:val="20"/>
      <w:szCs w:val="20"/>
      <w:lang w:val="en-GB"/>
    </w:rPr>
  </w:style>
  <w:style w:type="character" w:styleId="Sidnummer">
    <w:name w:val="page number"/>
    <w:basedOn w:val="Standardstycketeckensnitt"/>
    <w:semiHidden/>
  </w:style>
  <w:style w:type="paragraph" w:styleId="Sidfot">
    <w:name w:val="footer"/>
    <w:basedOn w:val="Normal"/>
    <w:link w:val="SidfotChar"/>
    <w:uiPriority w:val="99"/>
    <w:pPr>
      <w:tabs>
        <w:tab w:val="center" w:pos="4536"/>
        <w:tab w:val="right" w:pos="9072"/>
      </w:tabs>
    </w:pPr>
    <w:rPr>
      <w:sz w:val="20"/>
      <w:szCs w:val="20"/>
      <w:lang w:val="en-GB"/>
    </w:rPr>
  </w:style>
  <w:style w:type="paragraph" w:customStyle="1" w:styleId="Vnster">
    <w:name w:val="Vänster"/>
    <w:basedOn w:val="Normal"/>
    <w:pPr>
      <w:tabs>
        <w:tab w:val="left" w:pos="1418"/>
        <w:tab w:val="left" w:pos="2552"/>
        <w:tab w:val="left" w:pos="5670"/>
      </w:tabs>
      <w:ind w:left="2552" w:hanging="2552"/>
    </w:pPr>
    <w:rPr>
      <w:szCs w:val="20"/>
    </w:rPr>
  </w:style>
  <w:style w:type="paragraph" w:styleId="Indragetstycke">
    <w:name w:val="Block Text"/>
    <w:basedOn w:val="Normal"/>
    <w:semiHidden/>
    <w:pPr>
      <w:tabs>
        <w:tab w:val="left" w:pos="5670"/>
      </w:tabs>
      <w:ind w:left="360" w:right="-18"/>
    </w:pPr>
  </w:style>
  <w:style w:type="character" w:styleId="Hyperlnk">
    <w:name w:val="Hyperlink"/>
    <w:uiPriority w:val="99"/>
    <w:rPr>
      <w:color w:val="0000FF"/>
      <w:u w:val="single"/>
    </w:rPr>
  </w:style>
  <w:style w:type="paragraph" w:styleId="Brdtext">
    <w:name w:val="Body Text"/>
    <w:basedOn w:val="Normal"/>
    <w:semiHidden/>
    <w:pPr>
      <w:tabs>
        <w:tab w:val="left" w:pos="2552"/>
      </w:tabs>
      <w:ind w:right="-18"/>
    </w:pPr>
  </w:style>
  <w:style w:type="character" w:styleId="AnvndHyperlnk">
    <w:name w:val="FollowedHyperlink"/>
    <w:semiHidden/>
    <w:rPr>
      <w:color w:val="800080"/>
      <w:u w:val="single"/>
    </w:rPr>
  </w:style>
  <w:style w:type="paragraph" w:styleId="Brdtextmedindrag">
    <w:name w:val="Body Text Indent"/>
    <w:basedOn w:val="Normal"/>
    <w:link w:val="BrdtextmedindragChar"/>
    <w:uiPriority w:val="99"/>
    <w:semiHidden/>
    <w:unhideWhenUsed/>
    <w:rsid w:val="00CC7CA1"/>
    <w:pPr>
      <w:spacing w:after="120"/>
      <w:ind w:left="283"/>
    </w:pPr>
  </w:style>
  <w:style w:type="character" w:customStyle="1" w:styleId="BrdtextmedindragChar">
    <w:name w:val="Brödtext med indrag Char"/>
    <w:link w:val="Brdtextmedindrag"/>
    <w:uiPriority w:val="99"/>
    <w:semiHidden/>
    <w:rsid w:val="00CC7CA1"/>
    <w:rPr>
      <w:sz w:val="24"/>
      <w:szCs w:val="24"/>
      <w:lang w:val="sv-SE" w:eastAsia="sv-SE"/>
    </w:rPr>
  </w:style>
  <w:style w:type="character" w:customStyle="1" w:styleId="Rubrik1Char">
    <w:name w:val="Rubrik 1 Char"/>
    <w:link w:val="Rubrik1"/>
    <w:uiPriority w:val="9"/>
    <w:rsid w:val="00C10758"/>
    <w:rPr>
      <w:rFonts w:ascii="Cambria" w:eastAsia="Times New Roman" w:hAnsi="Cambria" w:cs="Times New Roman"/>
      <w:b/>
      <w:bCs/>
      <w:kern w:val="32"/>
      <w:sz w:val="32"/>
      <w:szCs w:val="32"/>
      <w:lang w:val="sv-SE" w:eastAsia="sv-SE"/>
    </w:rPr>
  </w:style>
  <w:style w:type="character" w:customStyle="1" w:styleId="Rubrik2Char">
    <w:name w:val="Rubrik 2 Char"/>
    <w:link w:val="Rubrik2"/>
    <w:uiPriority w:val="9"/>
    <w:rsid w:val="00C10758"/>
    <w:rPr>
      <w:rFonts w:ascii="Cambria" w:eastAsia="Times New Roman" w:hAnsi="Cambria" w:cs="Times New Roman"/>
      <w:b/>
      <w:bCs/>
      <w:i/>
      <w:iCs/>
      <w:sz w:val="28"/>
      <w:szCs w:val="28"/>
      <w:lang w:val="sv-SE" w:eastAsia="sv-SE"/>
    </w:rPr>
  </w:style>
  <w:style w:type="paragraph" w:styleId="Ingetavstnd">
    <w:name w:val="No Spacing"/>
    <w:uiPriority w:val="1"/>
    <w:qFormat/>
    <w:rsid w:val="00AA36FC"/>
    <w:rPr>
      <w:sz w:val="24"/>
      <w:szCs w:val="24"/>
      <w:lang w:val="sv-SE" w:eastAsia="sv-SE"/>
    </w:rPr>
  </w:style>
  <w:style w:type="paragraph" w:styleId="Innehll3">
    <w:name w:val="toc 3"/>
    <w:basedOn w:val="Normal"/>
    <w:next w:val="Normal"/>
    <w:autoRedefine/>
    <w:uiPriority w:val="39"/>
    <w:unhideWhenUsed/>
    <w:qFormat/>
    <w:rsid w:val="003533FC"/>
    <w:pPr>
      <w:ind w:left="480"/>
    </w:pPr>
  </w:style>
  <w:style w:type="paragraph" w:styleId="Innehll1">
    <w:name w:val="toc 1"/>
    <w:basedOn w:val="Normal"/>
    <w:next w:val="Normal"/>
    <w:autoRedefine/>
    <w:uiPriority w:val="39"/>
    <w:unhideWhenUsed/>
    <w:qFormat/>
    <w:rsid w:val="00F001C6"/>
    <w:pPr>
      <w:tabs>
        <w:tab w:val="left" w:pos="567"/>
        <w:tab w:val="left" w:pos="1985"/>
        <w:tab w:val="right" w:leader="dot" w:pos="8789"/>
      </w:tabs>
      <w:ind w:left="1749" w:right="281" w:hanging="615"/>
    </w:pPr>
  </w:style>
  <w:style w:type="paragraph" w:styleId="Innehll2">
    <w:name w:val="toc 2"/>
    <w:basedOn w:val="Normal"/>
    <w:next w:val="Normal"/>
    <w:autoRedefine/>
    <w:uiPriority w:val="39"/>
    <w:unhideWhenUsed/>
    <w:qFormat/>
    <w:rsid w:val="003533FC"/>
    <w:pPr>
      <w:ind w:left="240"/>
    </w:pPr>
  </w:style>
  <w:style w:type="table" w:styleId="Tabellrutnt">
    <w:name w:val="Table Grid"/>
    <w:basedOn w:val="Normaltabell"/>
    <w:uiPriority w:val="59"/>
    <w:rsid w:val="00375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5Char">
    <w:name w:val="Rubrik 5 Char"/>
    <w:link w:val="Rubrik5"/>
    <w:rsid w:val="00B334A3"/>
    <w:rPr>
      <w:rFonts w:ascii="Calibri" w:eastAsia="Times New Roman" w:hAnsi="Calibri" w:cs="Times New Roman"/>
      <w:b/>
      <w:bCs/>
      <w:i/>
      <w:iCs/>
      <w:sz w:val="26"/>
      <w:szCs w:val="26"/>
      <w:lang w:val="sv-SE" w:eastAsia="sv-SE"/>
    </w:rPr>
  </w:style>
  <w:style w:type="paragraph" w:styleId="Ballongtext">
    <w:name w:val="Balloon Text"/>
    <w:basedOn w:val="Normal"/>
    <w:link w:val="BallongtextChar"/>
    <w:uiPriority w:val="99"/>
    <w:semiHidden/>
    <w:unhideWhenUsed/>
    <w:rsid w:val="005457C6"/>
    <w:rPr>
      <w:rFonts w:ascii="Tahoma" w:hAnsi="Tahoma" w:cs="Tahoma"/>
      <w:sz w:val="16"/>
      <w:szCs w:val="16"/>
    </w:rPr>
  </w:style>
  <w:style w:type="character" w:customStyle="1" w:styleId="BallongtextChar">
    <w:name w:val="Ballongtext Char"/>
    <w:link w:val="Ballongtext"/>
    <w:uiPriority w:val="99"/>
    <w:semiHidden/>
    <w:rsid w:val="005457C6"/>
    <w:rPr>
      <w:rFonts w:ascii="Tahoma" w:hAnsi="Tahoma" w:cs="Tahoma"/>
      <w:sz w:val="16"/>
      <w:szCs w:val="16"/>
      <w:lang w:val="sv-SE" w:eastAsia="sv-SE"/>
    </w:rPr>
  </w:style>
  <w:style w:type="paragraph" w:styleId="Liststycke">
    <w:name w:val="List Paragraph"/>
    <w:basedOn w:val="Normal"/>
    <w:uiPriority w:val="34"/>
    <w:qFormat/>
    <w:rsid w:val="008336C5"/>
    <w:pPr>
      <w:spacing w:after="200" w:line="276" w:lineRule="auto"/>
      <w:ind w:left="720"/>
      <w:contextualSpacing/>
    </w:pPr>
    <w:rPr>
      <w:rFonts w:ascii="Calibri" w:eastAsia="Calibri" w:hAnsi="Calibri"/>
      <w:sz w:val="22"/>
      <w:szCs w:val="22"/>
      <w:lang w:val="sv-FI" w:eastAsia="en-US"/>
    </w:rPr>
  </w:style>
  <w:style w:type="character" w:styleId="Betoning">
    <w:name w:val="Emphasis"/>
    <w:uiPriority w:val="20"/>
    <w:qFormat/>
    <w:rsid w:val="00077F8F"/>
    <w:rPr>
      <w:i/>
      <w:iCs/>
    </w:rPr>
  </w:style>
  <w:style w:type="paragraph" w:styleId="Normalwebb">
    <w:name w:val="Normal (Web)"/>
    <w:basedOn w:val="Normal"/>
    <w:uiPriority w:val="99"/>
    <w:unhideWhenUsed/>
    <w:rsid w:val="00077F8F"/>
    <w:pPr>
      <w:spacing w:after="225"/>
    </w:pPr>
    <w:rPr>
      <w:color w:val="333333"/>
      <w:sz w:val="21"/>
      <w:szCs w:val="21"/>
      <w:lang w:val="sv-FI" w:eastAsia="sv-FI"/>
    </w:rPr>
  </w:style>
  <w:style w:type="character" w:customStyle="1" w:styleId="Rubrik4Char">
    <w:name w:val="Rubrik 4 Char"/>
    <w:link w:val="Rubrik4"/>
    <w:uiPriority w:val="9"/>
    <w:rsid w:val="00C85BC7"/>
    <w:rPr>
      <w:rFonts w:ascii="Calibri" w:eastAsia="Times New Roman" w:hAnsi="Calibri" w:cs="Times New Roman"/>
      <w:b/>
      <w:bCs/>
      <w:sz w:val="28"/>
      <w:szCs w:val="28"/>
      <w:lang w:val="sv-SE" w:eastAsia="sv-SE"/>
    </w:rPr>
  </w:style>
  <w:style w:type="paragraph" w:customStyle="1" w:styleId="BBudgettext">
    <w:name w:val="B Budgettext"/>
    <w:rsid w:val="00883A42"/>
    <w:pPr>
      <w:widowControl w:val="0"/>
      <w:ind w:left="1259" w:right="1321"/>
      <w:jc w:val="both"/>
    </w:pPr>
    <w:rPr>
      <w:sz w:val="22"/>
      <w:lang w:val="sv-SE" w:eastAsia="sv-SE"/>
    </w:rPr>
  </w:style>
  <w:style w:type="paragraph" w:styleId="Innehllsfrteckningsrubrik">
    <w:name w:val="TOC Heading"/>
    <w:basedOn w:val="Rubrik1"/>
    <w:next w:val="Normal"/>
    <w:uiPriority w:val="39"/>
    <w:semiHidden/>
    <w:unhideWhenUsed/>
    <w:qFormat/>
    <w:rsid w:val="002E3CFB"/>
    <w:pPr>
      <w:keepLines/>
      <w:spacing w:before="480" w:after="0" w:line="276" w:lineRule="auto"/>
      <w:outlineLvl w:val="9"/>
    </w:pPr>
    <w:rPr>
      <w:color w:val="365F91"/>
      <w:kern w:val="0"/>
      <w:sz w:val="28"/>
      <w:szCs w:val="28"/>
      <w:lang w:val="sv-FI" w:eastAsia="sv-FI"/>
    </w:rPr>
  </w:style>
  <w:style w:type="character" w:customStyle="1" w:styleId="SidfotChar">
    <w:name w:val="Sidfot Char"/>
    <w:link w:val="Sidfot"/>
    <w:uiPriority w:val="99"/>
    <w:rsid w:val="00373EC1"/>
    <w:rPr>
      <w:lang w:val="en-GB"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FI" w:eastAsia="sv-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9910">
      <w:bodyDiv w:val="1"/>
      <w:marLeft w:val="0"/>
      <w:marRight w:val="0"/>
      <w:marTop w:val="0"/>
      <w:marBottom w:val="0"/>
      <w:divBdr>
        <w:top w:val="none" w:sz="0" w:space="0" w:color="auto"/>
        <w:left w:val="none" w:sz="0" w:space="0" w:color="auto"/>
        <w:bottom w:val="none" w:sz="0" w:space="0" w:color="auto"/>
        <w:right w:val="none" w:sz="0" w:space="0" w:color="auto"/>
      </w:divBdr>
      <w:divsChild>
        <w:div w:id="528953165">
          <w:marLeft w:val="0"/>
          <w:marRight w:val="0"/>
          <w:marTop w:val="150"/>
          <w:marBottom w:val="0"/>
          <w:divBdr>
            <w:top w:val="none" w:sz="0" w:space="0" w:color="auto"/>
            <w:left w:val="none" w:sz="0" w:space="0" w:color="auto"/>
            <w:bottom w:val="none" w:sz="0" w:space="0" w:color="auto"/>
            <w:right w:val="none" w:sz="0" w:space="0" w:color="auto"/>
          </w:divBdr>
          <w:divsChild>
            <w:div w:id="1961917703">
              <w:marLeft w:val="0"/>
              <w:marRight w:val="0"/>
              <w:marTop w:val="0"/>
              <w:marBottom w:val="0"/>
              <w:divBdr>
                <w:top w:val="none" w:sz="0" w:space="0" w:color="auto"/>
                <w:left w:val="none" w:sz="0" w:space="0" w:color="auto"/>
                <w:bottom w:val="none" w:sz="0" w:space="0" w:color="auto"/>
                <w:right w:val="none" w:sz="0" w:space="0" w:color="auto"/>
              </w:divBdr>
              <w:divsChild>
                <w:div w:id="1989479861">
                  <w:marLeft w:val="0"/>
                  <w:marRight w:val="0"/>
                  <w:marTop w:val="0"/>
                  <w:marBottom w:val="0"/>
                  <w:divBdr>
                    <w:top w:val="none" w:sz="0" w:space="0" w:color="auto"/>
                    <w:left w:val="none" w:sz="0" w:space="0" w:color="auto"/>
                    <w:bottom w:val="none" w:sz="0" w:space="0" w:color="auto"/>
                    <w:right w:val="none" w:sz="0" w:space="0" w:color="auto"/>
                  </w:divBdr>
                  <w:divsChild>
                    <w:div w:id="1741366074">
                      <w:marLeft w:val="0"/>
                      <w:marRight w:val="0"/>
                      <w:marTop w:val="0"/>
                      <w:marBottom w:val="0"/>
                      <w:divBdr>
                        <w:top w:val="none" w:sz="0" w:space="0" w:color="auto"/>
                        <w:left w:val="none" w:sz="0" w:space="0" w:color="auto"/>
                        <w:bottom w:val="none" w:sz="0" w:space="0" w:color="auto"/>
                        <w:right w:val="none" w:sz="0" w:space="0" w:color="auto"/>
                      </w:divBdr>
                      <w:divsChild>
                        <w:div w:id="367028381">
                          <w:marLeft w:val="0"/>
                          <w:marRight w:val="0"/>
                          <w:marTop w:val="0"/>
                          <w:marBottom w:val="0"/>
                          <w:divBdr>
                            <w:top w:val="none" w:sz="0" w:space="0" w:color="auto"/>
                            <w:left w:val="none" w:sz="0" w:space="0" w:color="auto"/>
                            <w:bottom w:val="none" w:sz="0" w:space="0" w:color="auto"/>
                            <w:right w:val="none" w:sz="0" w:space="0" w:color="auto"/>
                          </w:divBdr>
                          <w:divsChild>
                            <w:div w:id="1514608555">
                              <w:marLeft w:val="0"/>
                              <w:marRight w:val="0"/>
                              <w:marTop w:val="0"/>
                              <w:marBottom w:val="0"/>
                              <w:divBdr>
                                <w:top w:val="none" w:sz="0" w:space="0" w:color="auto"/>
                                <w:left w:val="none" w:sz="0" w:space="0" w:color="auto"/>
                                <w:bottom w:val="none" w:sz="0" w:space="0" w:color="auto"/>
                                <w:right w:val="none" w:sz="0" w:space="0" w:color="auto"/>
                              </w:divBdr>
                              <w:divsChild>
                                <w:div w:id="1560903167">
                                  <w:marLeft w:val="0"/>
                                  <w:marRight w:val="0"/>
                                  <w:marTop w:val="0"/>
                                  <w:marBottom w:val="0"/>
                                  <w:divBdr>
                                    <w:top w:val="none" w:sz="0" w:space="0" w:color="auto"/>
                                    <w:left w:val="none" w:sz="0" w:space="0" w:color="auto"/>
                                    <w:bottom w:val="none" w:sz="0" w:space="0" w:color="auto"/>
                                    <w:right w:val="none" w:sz="0" w:space="0" w:color="auto"/>
                                  </w:divBdr>
                                  <w:divsChild>
                                    <w:div w:id="60179483">
                                      <w:marLeft w:val="0"/>
                                      <w:marRight w:val="0"/>
                                      <w:marTop w:val="0"/>
                                      <w:marBottom w:val="0"/>
                                      <w:divBdr>
                                        <w:top w:val="none" w:sz="0" w:space="0" w:color="auto"/>
                                        <w:left w:val="none" w:sz="0" w:space="0" w:color="auto"/>
                                        <w:bottom w:val="none" w:sz="0" w:space="0" w:color="auto"/>
                                        <w:right w:val="none" w:sz="0" w:space="0" w:color="auto"/>
                                      </w:divBdr>
                                      <w:divsChild>
                                        <w:div w:id="1607344277">
                                          <w:marLeft w:val="0"/>
                                          <w:marRight w:val="0"/>
                                          <w:marTop w:val="0"/>
                                          <w:marBottom w:val="0"/>
                                          <w:divBdr>
                                            <w:top w:val="none" w:sz="0" w:space="0" w:color="auto"/>
                                            <w:left w:val="none" w:sz="0" w:space="0" w:color="auto"/>
                                            <w:bottom w:val="none" w:sz="0" w:space="0" w:color="auto"/>
                                            <w:right w:val="none" w:sz="0" w:space="0" w:color="auto"/>
                                          </w:divBdr>
                                          <w:divsChild>
                                            <w:div w:id="666440794">
                                              <w:marLeft w:val="0"/>
                                              <w:marRight w:val="0"/>
                                              <w:marTop w:val="0"/>
                                              <w:marBottom w:val="0"/>
                                              <w:divBdr>
                                                <w:top w:val="none" w:sz="0" w:space="0" w:color="auto"/>
                                                <w:left w:val="none" w:sz="0" w:space="0" w:color="auto"/>
                                                <w:bottom w:val="none" w:sz="0" w:space="0" w:color="auto"/>
                                                <w:right w:val="none" w:sz="0" w:space="0" w:color="auto"/>
                                              </w:divBdr>
                                              <w:divsChild>
                                                <w:div w:id="101804587">
                                                  <w:marLeft w:val="0"/>
                                                  <w:marRight w:val="0"/>
                                                  <w:marTop w:val="0"/>
                                                  <w:marBottom w:val="0"/>
                                                  <w:divBdr>
                                                    <w:top w:val="none" w:sz="0" w:space="0" w:color="auto"/>
                                                    <w:left w:val="none" w:sz="0" w:space="0" w:color="auto"/>
                                                    <w:bottom w:val="none" w:sz="0" w:space="0" w:color="auto"/>
                                                    <w:right w:val="none" w:sz="0" w:space="0" w:color="auto"/>
                                                  </w:divBdr>
                                                  <w:divsChild>
                                                    <w:div w:id="2076000868">
                                                      <w:marLeft w:val="0"/>
                                                      <w:marRight w:val="0"/>
                                                      <w:marTop w:val="0"/>
                                                      <w:marBottom w:val="0"/>
                                                      <w:divBdr>
                                                        <w:top w:val="none" w:sz="0" w:space="0" w:color="auto"/>
                                                        <w:left w:val="none" w:sz="0" w:space="0" w:color="auto"/>
                                                        <w:bottom w:val="none" w:sz="0" w:space="0" w:color="auto"/>
                                                        <w:right w:val="none" w:sz="0" w:space="0" w:color="auto"/>
                                                      </w:divBdr>
                                                      <w:divsChild>
                                                        <w:div w:id="766076531">
                                                          <w:marLeft w:val="0"/>
                                                          <w:marRight w:val="0"/>
                                                          <w:marTop w:val="0"/>
                                                          <w:marBottom w:val="0"/>
                                                          <w:divBdr>
                                                            <w:top w:val="none" w:sz="0" w:space="0" w:color="auto"/>
                                                            <w:left w:val="none" w:sz="0" w:space="0" w:color="auto"/>
                                                            <w:bottom w:val="none" w:sz="0" w:space="0" w:color="auto"/>
                                                            <w:right w:val="none" w:sz="0" w:space="0" w:color="auto"/>
                                                          </w:divBdr>
                                                          <w:divsChild>
                                                            <w:div w:id="3472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986263">
      <w:bodyDiv w:val="1"/>
      <w:marLeft w:val="0"/>
      <w:marRight w:val="0"/>
      <w:marTop w:val="0"/>
      <w:marBottom w:val="0"/>
      <w:divBdr>
        <w:top w:val="none" w:sz="0" w:space="0" w:color="auto"/>
        <w:left w:val="none" w:sz="0" w:space="0" w:color="auto"/>
        <w:bottom w:val="none" w:sz="0" w:space="0" w:color="auto"/>
        <w:right w:val="none" w:sz="0" w:space="0" w:color="auto"/>
      </w:divBdr>
    </w:div>
    <w:div w:id="1446002689">
      <w:bodyDiv w:val="1"/>
      <w:marLeft w:val="0"/>
      <w:marRight w:val="0"/>
      <w:marTop w:val="0"/>
      <w:marBottom w:val="0"/>
      <w:divBdr>
        <w:top w:val="none" w:sz="0" w:space="0" w:color="auto"/>
        <w:left w:val="none" w:sz="0" w:space="0" w:color="auto"/>
        <w:bottom w:val="none" w:sz="0" w:space="0" w:color="auto"/>
        <w:right w:val="none" w:sz="0" w:space="0" w:color="auto"/>
      </w:divBdr>
      <w:divsChild>
        <w:div w:id="55596237">
          <w:marLeft w:val="0"/>
          <w:marRight w:val="0"/>
          <w:marTop w:val="150"/>
          <w:marBottom w:val="0"/>
          <w:divBdr>
            <w:top w:val="none" w:sz="0" w:space="0" w:color="auto"/>
            <w:left w:val="none" w:sz="0" w:space="0" w:color="auto"/>
            <w:bottom w:val="none" w:sz="0" w:space="0" w:color="auto"/>
            <w:right w:val="none" w:sz="0" w:space="0" w:color="auto"/>
          </w:divBdr>
          <w:divsChild>
            <w:div w:id="1896627264">
              <w:marLeft w:val="0"/>
              <w:marRight w:val="0"/>
              <w:marTop w:val="0"/>
              <w:marBottom w:val="0"/>
              <w:divBdr>
                <w:top w:val="none" w:sz="0" w:space="0" w:color="auto"/>
                <w:left w:val="none" w:sz="0" w:space="0" w:color="auto"/>
                <w:bottom w:val="none" w:sz="0" w:space="0" w:color="auto"/>
                <w:right w:val="none" w:sz="0" w:space="0" w:color="auto"/>
              </w:divBdr>
              <w:divsChild>
                <w:div w:id="88358162">
                  <w:marLeft w:val="0"/>
                  <w:marRight w:val="0"/>
                  <w:marTop w:val="0"/>
                  <w:marBottom w:val="0"/>
                  <w:divBdr>
                    <w:top w:val="none" w:sz="0" w:space="0" w:color="auto"/>
                    <w:left w:val="none" w:sz="0" w:space="0" w:color="auto"/>
                    <w:bottom w:val="none" w:sz="0" w:space="0" w:color="auto"/>
                    <w:right w:val="none" w:sz="0" w:space="0" w:color="auto"/>
                  </w:divBdr>
                  <w:divsChild>
                    <w:div w:id="1042022510">
                      <w:marLeft w:val="0"/>
                      <w:marRight w:val="0"/>
                      <w:marTop w:val="0"/>
                      <w:marBottom w:val="0"/>
                      <w:divBdr>
                        <w:top w:val="none" w:sz="0" w:space="0" w:color="auto"/>
                        <w:left w:val="none" w:sz="0" w:space="0" w:color="auto"/>
                        <w:bottom w:val="none" w:sz="0" w:space="0" w:color="auto"/>
                        <w:right w:val="none" w:sz="0" w:space="0" w:color="auto"/>
                      </w:divBdr>
                      <w:divsChild>
                        <w:div w:id="1606225866">
                          <w:marLeft w:val="0"/>
                          <w:marRight w:val="0"/>
                          <w:marTop w:val="0"/>
                          <w:marBottom w:val="0"/>
                          <w:divBdr>
                            <w:top w:val="none" w:sz="0" w:space="0" w:color="auto"/>
                            <w:left w:val="none" w:sz="0" w:space="0" w:color="auto"/>
                            <w:bottom w:val="none" w:sz="0" w:space="0" w:color="auto"/>
                            <w:right w:val="none" w:sz="0" w:space="0" w:color="auto"/>
                          </w:divBdr>
                          <w:divsChild>
                            <w:div w:id="1347708931">
                              <w:marLeft w:val="0"/>
                              <w:marRight w:val="0"/>
                              <w:marTop w:val="0"/>
                              <w:marBottom w:val="0"/>
                              <w:divBdr>
                                <w:top w:val="none" w:sz="0" w:space="0" w:color="auto"/>
                                <w:left w:val="none" w:sz="0" w:space="0" w:color="auto"/>
                                <w:bottom w:val="none" w:sz="0" w:space="0" w:color="auto"/>
                                <w:right w:val="none" w:sz="0" w:space="0" w:color="auto"/>
                              </w:divBdr>
                              <w:divsChild>
                                <w:div w:id="240798253">
                                  <w:marLeft w:val="0"/>
                                  <w:marRight w:val="0"/>
                                  <w:marTop w:val="0"/>
                                  <w:marBottom w:val="0"/>
                                  <w:divBdr>
                                    <w:top w:val="none" w:sz="0" w:space="0" w:color="auto"/>
                                    <w:left w:val="none" w:sz="0" w:space="0" w:color="auto"/>
                                    <w:bottom w:val="none" w:sz="0" w:space="0" w:color="auto"/>
                                    <w:right w:val="none" w:sz="0" w:space="0" w:color="auto"/>
                                  </w:divBdr>
                                  <w:divsChild>
                                    <w:div w:id="455418602">
                                      <w:marLeft w:val="0"/>
                                      <w:marRight w:val="0"/>
                                      <w:marTop w:val="0"/>
                                      <w:marBottom w:val="0"/>
                                      <w:divBdr>
                                        <w:top w:val="none" w:sz="0" w:space="0" w:color="auto"/>
                                        <w:left w:val="none" w:sz="0" w:space="0" w:color="auto"/>
                                        <w:bottom w:val="none" w:sz="0" w:space="0" w:color="auto"/>
                                        <w:right w:val="none" w:sz="0" w:space="0" w:color="auto"/>
                                      </w:divBdr>
                                      <w:divsChild>
                                        <w:div w:id="1575314586">
                                          <w:marLeft w:val="0"/>
                                          <w:marRight w:val="0"/>
                                          <w:marTop w:val="0"/>
                                          <w:marBottom w:val="0"/>
                                          <w:divBdr>
                                            <w:top w:val="none" w:sz="0" w:space="0" w:color="auto"/>
                                            <w:left w:val="none" w:sz="0" w:space="0" w:color="auto"/>
                                            <w:bottom w:val="none" w:sz="0" w:space="0" w:color="auto"/>
                                            <w:right w:val="none" w:sz="0" w:space="0" w:color="auto"/>
                                          </w:divBdr>
                                          <w:divsChild>
                                            <w:div w:id="2034187260">
                                              <w:marLeft w:val="0"/>
                                              <w:marRight w:val="0"/>
                                              <w:marTop w:val="0"/>
                                              <w:marBottom w:val="0"/>
                                              <w:divBdr>
                                                <w:top w:val="none" w:sz="0" w:space="0" w:color="auto"/>
                                                <w:left w:val="none" w:sz="0" w:space="0" w:color="auto"/>
                                                <w:bottom w:val="none" w:sz="0" w:space="0" w:color="auto"/>
                                                <w:right w:val="none" w:sz="0" w:space="0" w:color="auto"/>
                                              </w:divBdr>
                                              <w:divsChild>
                                                <w:div w:id="1069496614">
                                                  <w:marLeft w:val="0"/>
                                                  <w:marRight w:val="0"/>
                                                  <w:marTop w:val="0"/>
                                                  <w:marBottom w:val="0"/>
                                                  <w:divBdr>
                                                    <w:top w:val="none" w:sz="0" w:space="0" w:color="auto"/>
                                                    <w:left w:val="none" w:sz="0" w:space="0" w:color="auto"/>
                                                    <w:bottom w:val="none" w:sz="0" w:space="0" w:color="auto"/>
                                                    <w:right w:val="none" w:sz="0" w:space="0" w:color="auto"/>
                                                  </w:divBdr>
                                                  <w:divsChild>
                                                    <w:div w:id="595401091">
                                                      <w:marLeft w:val="0"/>
                                                      <w:marRight w:val="0"/>
                                                      <w:marTop w:val="0"/>
                                                      <w:marBottom w:val="0"/>
                                                      <w:divBdr>
                                                        <w:top w:val="none" w:sz="0" w:space="0" w:color="auto"/>
                                                        <w:left w:val="none" w:sz="0" w:space="0" w:color="auto"/>
                                                        <w:bottom w:val="none" w:sz="0" w:space="0" w:color="auto"/>
                                                        <w:right w:val="none" w:sz="0" w:space="0" w:color="auto"/>
                                                      </w:divBdr>
                                                      <w:divsChild>
                                                        <w:div w:id="264656626">
                                                          <w:marLeft w:val="0"/>
                                                          <w:marRight w:val="0"/>
                                                          <w:marTop w:val="0"/>
                                                          <w:marBottom w:val="0"/>
                                                          <w:divBdr>
                                                            <w:top w:val="none" w:sz="0" w:space="0" w:color="auto"/>
                                                            <w:left w:val="none" w:sz="0" w:space="0" w:color="auto"/>
                                                            <w:bottom w:val="none" w:sz="0" w:space="0" w:color="auto"/>
                                                            <w:right w:val="none" w:sz="0" w:space="0" w:color="auto"/>
                                                          </w:divBdr>
                                                          <w:divsChild>
                                                            <w:div w:id="3289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visionen.ax"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5242-C25F-483D-B1E7-9E94A295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2660</Words>
  <Characters>14103</Characters>
  <Application>Microsoft Office Word</Application>
  <DocSecurity>4</DocSecurity>
  <Lines>117</Lines>
  <Paragraphs>33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Ålands landskapsregering</Company>
  <LinksUpToDate>false</LinksUpToDate>
  <CharactersWithSpaces>16730</CharactersWithSpaces>
  <SharedDoc>false</SharedDoc>
  <HLinks>
    <vt:vector size="6" baseType="variant">
      <vt:variant>
        <vt:i4>15335487</vt:i4>
      </vt:variant>
      <vt:variant>
        <vt:i4>-1</vt:i4>
      </vt:variant>
      <vt:variant>
        <vt:i4>1026</vt:i4>
      </vt:variant>
      <vt:variant>
        <vt:i4>1</vt:i4>
      </vt:variant>
      <vt:variant>
        <vt:lpwstr>C:\Documents and Settings\Administratör\Mina dokument\Logon\regeringen_svartvit.tif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LR</cp:lastModifiedBy>
  <cp:revision>2</cp:revision>
  <cp:lastPrinted>2016-02-18T11:57:00Z</cp:lastPrinted>
  <dcterms:created xsi:type="dcterms:W3CDTF">2016-02-18T12:40:00Z</dcterms:created>
  <dcterms:modified xsi:type="dcterms:W3CDTF">2016-02-18T12:40:00Z</dcterms:modified>
</cp:coreProperties>
</file>