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605"/>
        <w:gridCol w:w="3095"/>
        <w:gridCol w:w="1204"/>
        <w:gridCol w:w="1786"/>
      </w:tblGrid>
      <w:tr w:rsidR="004406DE">
        <w:trPr>
          <w:cantSplit/>
          <w:trHeight w:val="20"/>
        </w:trPr>
        <w:tc>
          <w:tcPr>
            <w:tcW w:w="861" w:type="dxa"/>
            <w:vMerge w:val="restart"/>
          </w:tcPr>
          <w:p w:rsidR="004406DE" w:rsidRDefault="004855BC">
            <w:pPr>
              <w:pStyle w:val="xLedtext"/>
              <w:keepNext/>
              <w:rPr>
                <w:noProof/>
              </w:rPr>
            </w:pPr>
            <w:bookmarkStart w:id="0" w:name="_GoBack"/>
            <w:bookmarkEnd w:id="0"/>
            <w:r>
              <w:rPr>
                <w:noProof/>
                <w:lang w:val="sv-FI" w:eastAsia="sv-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5pt;margin-top:2.9pt;width:162.9pt;height:42.2pt;z-index:251658240">
                  <v:imagedata r:id="rId9" o:title="regeringen_svartvit"/>
                </v:shape>
              </w:pict>
            </w:r>
          </w:p>
        </w:tc>
        <w:tc>
          <w:tcPr>
            <w:tcW w:w="8736" w:type="dxa"/>
            <w:gridSpan w:val="3"/>
            <w:vAlign w:val="bottom"/>
          </w:tcPr>
          <w:p w:rsidR="004406DE" w:rsidRDefault="004855BC">
            <w:pPr>
              <w:pStyle w:val="xMellanrum"/>
            </w:pPr>
            <w:r>
              <w:pict>
                <v:shape id="_x0000_i1025" type="#_x0000_t75" style="width:3.75pt;height:3.75pt">
                  <v:imagedata r:id="rId10" o:title="5x5px"/>
                </v:shape>
              </w:pict>
            </w:r>
          </w:p>
        </w:tc>
      </w:tr>
      <w:tr w:rsidR="004406DE">
        <w:trPr>
          <w:cantSplit/>
          <w:trHeight w:val="299"/>
        </w:trPr>
        <w:tc>
          <w:tcPr>
            <w:tcW w:w="861" w:type="dxa"/>
            <w:vMerge/>
          </w:tcPr>
          <w:p w:rsidR="004406DE" w:rsidRDefault="004406DE">
            <w:pPr>
              <w:pStyle w:val="xLedtext"/>
            </w:pPr>
          </w:p>
        </w:tc>
        <w:tc>
          <w:tcPr>
            <w:tcW w:w="4448" w:type="dxa"/>
            <w:vAlign w:val="bottom"/>
          </w:tcPr>
          <w:p w:rsidR="004406DE" w:rsidRDefault="004406DE" w:rsidP="004F1967">
            <w:pPr>
              <w:pStyle w:val="xAvsandare1"/>
            </w:pPr>
          </w:p>
        </w:tc>
        <w:tc>
          <w:tcPr>
            <w:tcW w:w="4288" w:type="dxa"/>
            <w:gridSpan w:val="2"/>
            <w:vAlign w:val="bottom"/>
          </w:tcPr>
          <w:p w:rsidR="004406DE" w:rsidRDefault="004406DE" w:rsidP="006C66FF">
            <w:pPr>
              <w:pStyle w:val="xDokTypNr"/>
            </w:pPr>
            <w:r w:rsidRPr="00F54997">
              <w:t xml:space="preserve">MEDDELANDE nr </w:t>
            </w:r>
            <w:r w:rsidR="00F54997" w:rsidRPr="00F54997">
              <w:t>1</w:t>
            </w:r>
            <w:r w:rsidRPr="00F54997">
              <w:t>/20</w:t>
            </w:r>
            <w:r w:rsidR="00B0002C" w:rsidRPr="00F54997">
              <w:t>1</w:t>
            </w:r>
            <w:r w:rsidR="006C66FF" w:rsidRPr="00F54997">
              <w:t>4</w:t>
            </w:r>
            <w:r w:rsidR="00B0002C" w:rsidRPr="006C66FF">
              <w:t>-20</w:t>
            </w:r>
            <w:r w:rsidRPr="006C66FF">
              <w:t>1</w:t>
            </w:r>
            <w:r w:rsidR="006C66FF" w:rsidRPr="006C66FF">
              <w:t>5</w:t>
            </w:r>
          </w:p>
        </w:tc>
      </w:tr>
      <w:tr w:rsidR="004406DE">
        <w:trPr>
          <w:cantSplit/>
          <w:trHeight w:val="238"/>
        </w:trPr>
        <w:tc>
          <w:tcPr>
            <w:tcW w:w="861" w:type="dxa"/>
            <w:vMerge/>
          </w:tcPr>
          <w:p w:rsidR="004406DE" w:rsidRDefault="004406DE">
            <w:pPr>
              <w:pStyle w:val="xLedtext"/>
            </w:pPr>
          </w:p>
        </w:tc>
        <w:tc>
          <w:tcPr>
            <w:tcW w:w="4448" w:type="dxa"/>
            <w:vAlign w:val="bottom"/>
          </w:tcPr>
          <w:p w:rsidR="004406DE" w:rsidRDefault="004406DE">
            <w:pPr>
              <w:pStyle w:val="xLedtext"/>
            </w:pPr>
          </w:p>
        </w:tc>
        <w:tc>
          <w:tcPr>
            <w:tcW w:w="1725" w:type="dxa"/>
            <w:vAlign w:val="bottom"/>
          </w:tcPr>
          <w:p w:rsidR="004406DE" w:rsidRDefault="004406DE">
            <w:pPr>
              <w:pStyle w:val="xLedtext"/>
            </w:pPr>
            <w:r>
              <w:t>Datum</w:t>
            </w:r>
          </w:p>
        </w:tc>
        <w:tc>
          <w:tcPr>
            <w:tcW w:w="2563" w:type="dxa"/>
            <w:vAlign w:val="bottom"/>
          </w:tcPr>
          <w:p w:rsidR="004406DE" w:rsidRDefault="004406DE">
            <w:pPr>
              <w:pStyle w:val="xLedtext"/>
            </w:pPr>
          </w:p>
        </w:tc>
      </w:tr>
      <w:tr w:rsidR="004406DE">
        <w:trPr>
          <w:cantSplit/>
          <w:trHeight w:val="238"/>
        </w:trPr>
        <w:tc>
          <w:tcPr>
            <w:tcW w:w="861" w:type="dxa"/>
            <w:vMerge/>
          </w:tcPr>
          <w:p w:rsidR="004406DE" w:rsidRDefault="004406DE">
            <w:pPr>
              <w:pStyle w:val="xAvsandare2"/>
            </w:pPr>
          </w:p>
        </w:tc>
        <w:tc>
          <w:tcPr>
            <w:tcW w:w="4448" w:type="dxa"/>
            <w:vAlign w:val="center"/>
          </w:tcPr>
          <w:p w:rsidR="004406DE" w:rsidRDefault="004406DE">
            <w:pPr>
              <w:pStyle w:val="xAvsandare2"/>
            </w:pPr>
          </w:p>
        </w:tc>
        <w:tc>
          <w:tcPr>
            <w:tcW w:w="1725" w:type="dxa"/>
            <w:vAlign w:val="center"/>
          </w:tcPr>
          <w:p w:rsidR="004406DE" w:rsidRPr="007F4388" w:rsidRDefault="004406DE" w:rsidP="00D527C3">
            <w:pPr>
              <w:pStyle w:val="xDatum1"/>
            </w:pPr>
            <w:r w:rsidRPr="007F4388">
              <w:t>20</w:t>
            </w:r>
            <w:r w:rsidR="00B0002C" w:rsidRPr="007F4388">
              <w:t>15</w:t>
            </w:r>
            <w:r w:rsidRPr="007F4388">
              <w:t>-0</w:t>
            </w:r>
            <w:r w:rsidR="00D527C3" w:rsidRPr="007F4388">
              <w:t>2</w:t>
            </w:r>
            <w:r w:rsidRPr="007F4388">
              <w:t>-</w:t>
            </w:r>
            <w:r w:rsidR="00D527C3" w:rsidRPr="007F4388">
              <w:t>26</w:t>
            </w:r>
          </w:p>
        </w:tc>
        <w:tc>
          <w:tcPr>
            <w:tcW w:w="2563" w:type="dxa"/>
            <w:vAlign w:val="center"/>
          </w:tcPr>
          <w:p w:rsidR="004406DE" w:rsidRDefault="004406DE">
            <w:pPr>
              <w:pStyle w:val="xBeteckning1"/>
            </w:pPr>
          </w:p>
        </w:tc>
      </w:tr>
      <w:tr w:rsidR="004406DE">
        <w:trPr>
          <w:cantSplit/>
          <w:trHeight w:val="238"/>
        </w:trPr>
        <w:tc>
          <w:tcPr>
            <w:tcW w:w="861" w:type="dxa"/>
            <w:vMerge/>
          </w:tcPr>
          <w:p w:rsidR="004406DE" w:rsidRDefault="004406DE">
            <w:pPr>
              <w:pStyle w:val="xLedtext"/>
            </w:pPr>
          </w:p>
        </w:tc>
        <w:tc>
          <w:tcPr>
            <w:tcW w:w="4448" w:type="dxa"/>
            <w:vAlign w:val="bottom"/>
          </w:tcPr>
          <w:p w:rsidR="004406DE" w:rsidRDefault="004406DE">
            <w:pPr>
              <w:pStyle w:val="xLedtext"/>
            </w:pPr>
          </w:p>
        </w:tc>
        <w:tc>
          <w:tcPr>
            <w:tcW w:w="1725" w:type="dxa"/>
            <w:vAlign w:val="bottom"/>
          </w:tcPr>
          <w:p w:rsidR="004406DE" w:rsidRDefault="004406DE">
            <w:pPr>
              <w:pStyle w:val="xLedtext"/>
            </w:pPr>
          </w:p>
        </w:tc>
        <w:tc>
          <w:tcPr>
            <w:tcW w:w="2563" w:type="dxa"/>
            <w:vAlign w:val="bottom"/>
          </w:tcPr>
          <w:p w:rsidR="004406DE" w:rsidRDefault="004406DE">
            <w:pPr>
              <w:pStyle w:val="xLedtext"/>
            </w:pPr>
          </w:p>
        </w:tc>
      </w:tr>
      <w:tr w:rsidR="004406DE">
        <w:trPr>
          <w:cantSplit/>
          <w:trHeight w:val="238"/>
        </w:trPr>
        <w:tc>
          <w:tcPr>
            <w:tcW w:w="861" w:type="dxa"/>
            <w:vMerge/>
            <w:tcBorders>
              <w:bottom w:val="single" w:sz="4" w:space="0" w:color="auto"/>
            </w:tcBorders>
          </w:tcPr>
          <w:p w:rsidR="004406DE" w:rsidRDefault="004406DE">
            <w:pPr>
              <w:pStyle w:val="xAvsandare3"/>
            </w:pPr>
          </w:p>
        </w:tc>
        <w:tc>
          <w:tcPr>
            <w:tcW w:w="4448" w:type="dxa"/>
            <w:tcBorders>
              <w:bottom w:val="single" w:sz="4" w:space="0" w:color="auto"/>
            </w:tcBorders>
            <w:vAlign w:val="center"/>
          </w:tcPr>
          <w:p w:rsidR="004406DE" w:rsidRDefault="004406DE">
            <w:pPr>
              <w:pStyle w:val="xAvsandare3"/>
            </w:pPr>
          </w:p>
        </w:tc>
        <w:tc>
          <w:tcPr>
            <w:tcW w:w="1725" w:type="dxa"/>
            <w:tcBorders>
              <w:bottom w:val="single" w:sz="4" w:space="0" w:color="auto"/>
            </w:tcBorders>
            <w:vAlign w:val="center"/>
          </w:tcPr>
          <w:p w:rsidR="004406DE" w:rsidRDefault="004406DE">
            <w:pPr>
              <w:pStyle w:val="xDatum2"/>
            </w:pPr>
          </w:p>
        </w:tc>
        <w:tc>
          <w:tcPr>
            <w:tcW w:w="2563" w:type="dxa"/>
            <w:tcBorders>
              <w:bottom w:val="single" w:sz="4" w:space="0" w:color="auto"/>
            </w:tcBorders>
            <w:vAlign w:val="center"/>
          </w:tcPr>
          <w:p w:rsidR="004406DE" w:rsidRDefault="004406DE">
            <w:pPr>
              <w:pStyle w:val="xBeteckning2"/>
            </w:pPr>
          </w:p>
        </w:tc>
      </w:tr>
      <w:tr w:rsidR="004406DE">
        <w:trPr>
          <w:cantSplit/>
          <w:trHeight w:val="238"/>
        </w:trPr>
        <w:tc>
          <w:tcPr>
            <w:tcW w:w="861" w:type="dxa"/>
            <w:tcBorders>
              <w:top w:val="single" w:sz="4" w:space="0" w:color="auto"/>
            </w:tcBorders>
            <w:vAlign w:val="bottom"/>
          </w:tcPr>
          <w:p w:rsidR="004406DE" w:rsidRDefault="004406DE">
            <w:pPr>
              <w:pStyle w:val="xLedtext"/>
            </w:pPr>
          </w:p>
        </w:tc>
        <w:tc>
          <w:tcPr>
            <w:tcW w:w="4448" w:type="dxa"/>
            <w:tcBorders>
              <w:top w:val="single" w:sz="4" w:space="0" w:color="auto"/>
            </w:tcBorders>
            <w:vAlign w:val="bottom"/>
          </w:tcPr>
          <w:p w:rsidR="004406DE" w:rsidRDefault="004406DE">
            <w:pPr>
              <w:pStyle w:val="xLedtext"/>
            </w:pPr>
          </w:p>
        </w:tc>
        <w:tc>
          <w:tcPr>
            <w:tcW w:w="4288" w:type="dxa"/>
            <w:gridSpan w:val="2"/>
            <w:tcBorders>
              <w:top w:val="single" w:sz="4" w:space="0" w:color="auto"/>
            </w:tcBorders>
            <w:vAlign w:val="bottom"/>
          </w:tcPr>
          <w:p w:rsidR="004406DE" w:rsidRDefault="004406DE">
            <w:pPr>
              <w:pStyle w:val="xLedtext"/>
            </w:pPr>
          </w:p>
        </w:tc>
      </w:tr>
      <w:tr w:rsidR="004406DE">
        <w:trPr>
          <w:cantSplit/>
          <w:trHeight w:val="238"/>
        </w:trPr>
        <w:tc>
          <w:tcPr>
            <w:tcW w:w="861" w:type="dxa"/>
          </w:tcPr>
          <w:p w:rsidR="004406DE" w:rsidRDefault="004406DE">
            <w:pPr>
              <w:pStyle w:val="xCelltext"/>
            </w:pPr>
          </w:p>
        </w:tc>
        <w:tc>
          <w:tcPr>
            <w:tcW w:w="4448" w:type="dxa"/>
            <w:vMerge w:val="restart"/>
          </w:tcPr>
          <w:p w:rsidR="004406DE" w:rsidRDefault="004406DE">
            <w:pPr>
              <w:pStyle w:val="xMottagare1"/>
            </w:pPr>
            <w:r>
              <w:t>Till Ålands lagting</w:t>
            </w:r>
          </w:p>
        </w:tc>
        <w:tc>
          <w:tcPr>
            <w:tcW w:w="4288" w:type="dxa"/>
            <w:gridSpan w:val="2"/>
            <w:vMerge w:val="restart"/>
          </w:tcPr>
          <w:p w:rsidR="004406DE" w:rsidRDefault="004406DE">
            <w:pPr>
              <w:pStyle w:val="xMottagare1"/>
              <w:tabs>
                <w:tab w:val="left" w:pos="2349"/>
              </w:tabs>
            </w:pPr>
          </w:p>
        </w:tc>
      </w:tr>
      <w:tr w:rsidR="004406DE">
        <w:trPr>
          <w:cantSplit/>
          <w:trHeight w:val="238"/>
        </w:trPr>
        <w:tc>
          <w:tcPr>
            <w:tcW w:w="861" w:type="dxa"/>
          </w:tcPr>
          <w:p w:rsidR="004406DE" w:rsidRDefault="004406DE">
            <w:pPr>
              <w:pStyle w:val="xCelltext"/>
            </w:pPr>
          </w:p>
        </w:tc>
        <w:tc>
          <w:tcPr>
            <w:tcW w:w="4448" w:type="dxa"/>
            <w:vMerge/>
            <w:vAlign w:val="center"/>
          </w:tcPr>
          <w:p w:rsidR="004406DE" w:rsidRDefault="004406DE">
            <w:pPr>
              <w:pStyle w:val="xCelltext"/>
            </w:pPr>
          </w:p>
        </w:tc>
        <w:tc>
          <w:tcPr>
            <w:tcW w:w="4288" w:type="dxa"/>
            <w:gridSpan w:val="2"/>
            <w:vMerge/>
            <w:vAlign w:val="center"/>
          </w:tcPr>
          <w:p w:rsidR="004406DE" w:rsidRDefault="004406DE">
            <w:pPr>
              <w:pStyle w:val="xCelltext"/>
            </w:pPr>
          </w:p>
        </w:tc>
      </w:tr>
      <w:tr w:rsidR="004406DE">
        <w:trPr>
          <w:cantSplit/>
          <w:trHeight w:val="238"/>
        </w:trPr>
        <w:tc>
          <w:tcPr>
            <w:tcW w:w="861" w:type="dxa"/>
          </w:tcPr>
          <w:p w:rsidR="004406DE" w:rsidRDefault="004406DE">
            <w:pPr>
              <w:pStyle w:val="xCelltext"/>
            </w:pPr>
          </w:p>
        </w:tc>
        <w:tc>
          <w:tcPr>
            <w:tcW w:w="4448" w:type="dxa"/>
            <w:vMerge/>
            <w:vAlign w:val="center"/>
          </w:tcPr>
          <w:p w:rsidR="004406DE" w:rsidRDefault="004406DE">
            <w:pPr>
              <w:pStyle w:val="xCelltext"/>
            </w:pPr>
          </w:p>
        </w:tc>
        <w:tc>
          <w:tcPr>
            <w:tcW w:w="4288" w:type="dxa"/>
            <w:gridSpan w:val="2"/>
            <w:vMerge/>
            <w:vAlign w:val="center"/>
          </w:tcPr>
          <w:p w:rsidR="004406DE" w:rsidRDefault="004406DE">
            <w:pPr>
              <w:pStyle w:val="xCelltext"/>
            </w:pPr>
          </w:p>
        </w:tc>
      </w:tr>
      <w:tr w:rsidR="004406DE">
        <w:trPr>
          <w:cantSplit/>
          <w:trHeight w:val="238"/>
        </w:trPr>
        <w:tc>
          <w:tcPr>
            <w:tcW w:w="861" w:type="dxa"/>
          </w:tcPr>
          <w:p w:rsidR="004406DE" w:rsidRDefault="004406DE">
            <w:pPr>
              <w:pStyle w:val="xCelltext"/>
            </w:pPr>
          </w:p>
        </w:tc>
        <w:tc>
          <w:tcPr>
            <w:tcW w:w="4448" w:type="dxa"/>
            <w:vMerge/>
            <w:vAlign w:val="center"/>
          </w:tcPr>
          <w:p w:rsidR="004406DE" w:rsidRDefault="004406DE">
            <w:pPr>
              <w:pStyle w:val="xCelltext"/>
            </w:pPr>
          </w:p>
        </w:tc>
        <w:tc>
          <w:tcPr>
            <w:tcW w:w="4288" w:type="dxa"/>
            <w:gridSpan w:val="2"/>
            <w:vMerge/>
            <w:vAlign w:val="center"/>
          </w:tcPr>
          <w:p w:rsidR="004406DE" w:rsidRDefault="004406DE">
            <w:pPr>
              <w:pStyle w:val="xCelltext"/>
            </w:pPr>
          </w:p>
        </w:tc>
      </w:tr>
      <w:tr w:rsidR="004406DE">
        <w:trPr>
          <w:cantSplit/>
          <w:trHeight w:val="238"/>
        </w:trPr>
        <w:tc>
          <w:tcPr>
            <w:tcW w:w="861" w:type="dxa"/>
          </w:tcPr>
          <w:p w:rsidR="004406DE" w:rsidRDefault="004406DE">
            <w:pPr>
              <w:pStyle w:val="xCelltext"/>
            </w:pPr>
          </w:p>
        </w:tc>
        <w:tc>
          <w:tcPr>
            <w:tcW w:w="4448" w:type="dxa"/>
            <w:vMerge/>
            <w:vAlign w:val="center"/>
          </w:tcPr>
          <w:p w:rsidR="004406DE" w:rsidRDefault="004406DE">
            <w:pPr>
              <w:pStyle w:val="xCelltext"/>
            </w:pPr>
          </w:p>
        </w:tc>
        <w:tc>
          <w:tcPr>
            <w:tcW w:w="4288" w:type="dxa"/>
            <w:gridSpan w:val="2"/>
            <w:vMerge/>
            <w:vAlign w:val="center"/>
          </w:tcPr>
          <w:p w:rsidR="004406DE" w:rsidRDefault="004406DE">
            <w:pPr>
              <w:pStyle w:val="xCelltext"/>
            </w:pPr>
          </w:p>
        </w:tc>
      </w:tr>
    </w:tbl>
    <w:p w:rsidR="004406DE" w:rsidRPr="00335F43" w:rsidRDefault="00CA6C2B" w:rsidP="004571B3">
      <w:pPr>
        <w:pStyle w:val="ArendeRubrik"/>
      </w:pPr>
      <w:r>
        <w:t>L</w:t>
      </w:r>
      <w:r w:rsidR="004571B3">
        <w:t>andskapsregeringens externpolitik</w:t>
      </w:r>
    </w:p>
    <w:p w:rsidR="004406DE" w:rsidRPr="00335F43" w:rsidRDefault="004406DE">
      <w:pPr>
        <w:pStyle w:val="ANormal"/>
        <w:rPr>
          <w:noProof/>
        </w:rPr>
      </w:pPr>
    </w:p>
    <w:p w:rsidR="004406DE" w:rsidRPr="00335F43" w:rsidRDefault="004406DE">
      <w:pPr>
        <w:pStyle w:val="ANormal"/>
      </w:pPr>
    </w:p>
    <w:p w:rsidR="004406DE" w:rsidRPr="00335F43" w:rsidRDefault="00335F43" w:rsidP="00FE0307">
      <w:pPr>
        <w:autoSpaceDE w:val="0"/>
        <w:autoSpaceDN w:val="0"/>
        <w:adjustRightInd w:val="0"/>
        <w:rPr>
          <w:rFonts w:ascii="Times-Roman" w:hAnsi="Times-Roman" w:cs="Times-Roman"/>
          <w:szCs w:val="22"/>
          <w:lang w:val="sv-FI" w:eastAsia="sv-FI"/>
        </w:rPr>
      </w:pPr>
      <w:bookmarkStart w:id="1" w:name="_Toc530915171"/>
      <w:r w:rsidRPr="00335F43">
        <w:rPr>
          <w:szCs w:val="22"/>
        </w:rPr>
        <w:t>Meddelandet innehåller en heltäckande redogörelse av landskapsregerin</w:t>
      </w:r>
      <w:r w:rsidRPr="00335F43">
        <w:rPr>
          <w:szCs w:val="22"/>
        </w:rPr>
        <w:t>g</w:t>
      </w:r>
      <w:r w:rsidRPr="00335F43">
        <w:rPr>
          <w:szCs w:val="22"/>
        </w:rPr>
        <w:t xml:space="preserve">ens externpolitiska prioriteringar inför år 2015. </w:t>
      </w:r>
      <w:r w:rsidR="00B0002C" w:rsidRPr="00335F43">
        <w:rPr>
          <w:rFonts w:ascii="Times-Roman" w:hAnsi="Times-Roman" w:cs="Times-Roman"/>
          <w:szCs w:val="22"/>
          <w:lang w:val="sv-FI" w:eastAsia="sv-FI"/>
        </w:rPr>
        <w:t>I meddelandet redog</w:t>
      </w:r>
      <w:r w:rsidR="0057375E" w:rsidRPr="00335F43">
        <w:rPr>
          <w:rFonts w:ascii="Times-Roman" w:hAnsi="Times-Roman" w:cs="Times-Roman"/>
          <w:szCs w:val="22"/>
          <w:lang w:val="sv-FI" w:eastAsia="sv-FI"/>
        </w:rPr>
        <w:t xml:space="preserve">ör landskapsregeringen för sina </w:t>
      </w:r>
      <w:r w:rsidR="00B0002C" w:rsidRPr="00335F43">
        <w:rPr>
          <w:rFonts w:ascii="Times-Roman" w:hAnsi="Times-Roman" w:cs="Times-Roman"/>
          <w:szCs w:val="22"/>
          <w:lang w:val="sv-FI" w:eastAsia="sv-FI"/>
        </w:rPr>
        <w:t>prioriteringar</w:t>
      </w:r>
      <w:r w:rsidR="00FE0307" w:rsidRPr="00335F43">
        <w:rPr>
          <w:rFonts w:ascii="Times-Roman" w:hAnsi="Times-Roman" w:cs="Times-Roman"/>
          <w:szCs w:val="22"/>
          <w:lang w:val="sv-FI" w:eastAsia="sv-FI"/>
        </w:rPr>
        <w:t xml:space="preserve"> i förhålla</w:t>
      </w:r>
      <w:r w:rsidR="0057375E" w:rsidRPr="00335F43">
        <w:rPr>
          <w:rFonts w:ascii="Times-Roman" w:hAnsi="Times-Roman" w:cs="Times-Roman"/>
          <w:szCs w:val="22"/>
          <w:lang w:val="sv-FI" w:eastAsia="sv-FI"/>
        </w:rPr>
        <w:t>nde till Nordiska m</w:t>
      </w:r>
      <w:r w:rsidR="0057375E" w:rsidRPr="00335F43">
        <w:rPr>
          <w:rFonts w:ascii="Times-Roman" w:hAnsi="Times-Roman" w:cs="Times-Roman"/>
          <w:szCs w:val="22"/>
          <w:lang w:val="sv-FI" w:eastAsia="sv-FI"/>
        </w:rPr>
        <w:t>i</w:t>
      </w:r>
      <w:r w:rsidR="0057375E" w:rsidRPr="00335F43">
        <w:rPr>
          <w:rFonts w:ascii="Times-Roman" w:hAnsi="Times-Roman" w:cs="Times-Roman"/>
          <w:szCs w:val="22"/>
          <w:lang w:val="sv-FI" w:eastAsia="sv-FI"/>
        </w:rPr>
        <w:t xml:space="preserve">nisterrådet, </w:t>
      </w:r>
      <w:r w:rsidR="00FE0307" w:rsidRPr="00335F43">
        <w:rPr>
          <w:rFonts w:ascii="Times-Roman" w:hAnsi="Times-Roman" w:cs="Times-Roman"/>
          <w:szCs w:val="22"/>
          <w:lang w:val="sv-FI" w:eastAsia="sv-FI"/>
        </w:rPr>
        <w:t>till dagordningen inom Europeiska unionen år 2015</w:t>
      </w:r>
      <w:r w:rsidR="0057375E" w:rsidRPr="00335F43">
        <w:rPr>
          <w:rFonts w:ascii="Times-Roman" w:hAnsi="Times-Roman" w:cs="Times-Roman"/>
          <w:szCs w:val="22"/>
          <w:lang w:val="sv-FI" w:eastAsia="sv-FI"/>
        </w:rPr>
        <w:t xml:space="preserve"> samt till övriga externa samarbeten</w:t>
      </w:r>
      <w:r w:rsidR="00FE0307" w:rsidRPr="00335F43">
        <w:rPr>
          <w:rFonts w:ascii="Times-Roman" w:hAnsi="Times-Roman" w:cs="Times-Roman"/>
          <w:szCs w:val="22"/>
          <w:lang w:val="sv-FI" w:eastAsia="sv-FI"/>
        </w:rPr>
        <w:t>. Dessutom innehåller meddelandet en redog</w:t>
      </w:r>
      <w:r w:rsidR="00FE0307" w:rsidRPr="00335F43">
        <w:rPr>
          <w:rFonts w:ascii="Times-Roman" w:hAnsi="Times-Roman" w:cs="Times-Roman"/>
          <w:szCs w:val="22"/>
          <w:lang w:val="sv-FI" w:eastAsia="sv-FI"/>
        </w:rPr>
        <w:t>ö</w:t>
      </w:r>
      <w:r w:rsidR="00FE0307" w:rsidRPr="00335F43">
        <w:rPr>
          <w:rFonts w:ascii="Times-Roman" w:hAnsi="Times-Roman" w:cs="Times-Roman"/>
          <w:szCs w:val="22"/>
          <w:lang w:val="sv-FI" w:eastAsia="sv-FI"/>
        </w:rPr>
        <w:t>relse för verksamheten beträffande EU-ärenden under år 2014.</w:t>
      </w:r>
    </w:p>
    <w:p w:rsidR="00FE0307" w:rsidRPr="00335F43" w:rsidRDefault="00FE0307" w:rsidP="00FE0307">
      <w:pPr>
        <w:autoSpaceDE w:val="0"/>
        <w:autoSpaceDN w:val="0"/>
        <w:adjustRightInd w:val="0"/>
      </w:pPr>
      <w:r w:rsidRPr="00335F43">
        <w:rPr>
          <w:rFonts w:ascii="Times-Roman" w:hAnsi="Times-Roman" w:cs="Times-Roman"/>
          <w:szCs w:val="22"/>
          <w:lang w:val="sv-FI" w:eastAsia="sv-FI"/>
        </w:rPr>
        <w:t xml:space="preserve">Som bilaga </w:t>
      </w:r>
      <w:r w:rsidR="00335F43" w:rsidRPr="00335F43">
        <w:rPr>
          <w:rFonts w:ascii="Times-Roman" w:hAnsi="Times-Roman" w:cs="Times-Roman"/>
          <w:szCs w:val="22"/>
          <w:lang w:val="sv-FI" w:eastAsia="sv-FI"/>
        </w:rPr>
        <w:t>föreligger</w:t>
      </w:r>
      <w:r w:rsidRPr="00335F43">
        <w:rPr>
          <w:rFonts w:ascii="Times-Roman" w:hAnsi="Times-Roman" w:cs="Times-Roman"/>
          <w:szCs w:val="22"/>
          <w:lang w:val="sv-FI" w:eastAsia="sv-FI"/>
        </w:rPr>
        <w:t xml:space="preserve"> en årsberättelse över landskapsregeringens aktiviteter i Nordiska ministerrådet 2014.</w:t>
      </w:r>
    </w:p>
    <w:tbl>
      <w:tblPr>
        <w:tblW w:w="7825" w:type="dxa"/>
        <w:tblCellMar>
          <w:left w:w="0" w:type="dxa"/>
          <w:right w:w="0" w:type="dxa"/>
        </w:tblCellMar>
        <w:tblLook w:val="0000" w:firstRow="0" w:lastRow="0" w:firstColumn="0" w:lastColumn="0" w:noHBand="0" w:noVBand="0"/>
      </w:tblPr>
      <w:tblGrid>
        <w:gridCol w:w="3914"/>
        <w:gridCol w:w="3911"/>
      </w:tblGrid>
      <w:tr w:rsidR="004406DE">
        <w:tc>
          <w:tcPr>
            <w:tcW w:w="3914" w:type="dxa"/>
          </w:tcPr>
          <w:p w:rsidR="00B0002C" w:rsidRDefault="00B0002C" w:rsidP="002A1D84">
            <w:pPr>
              <w:pStyle w:val="ANormal"/>
              <w:keepNext/>
            </w:pPr>
          </w:p>
          <w:p w:rsidR="00B0002C" w:rsidRDefault="00B0002C" w:rsidP="002A1D84">
            <w:pPr>
              <w:pStyle w:val="ANormal"/>
              <w:keepNext/>
            </w:pPr>
          </w:p>
          <w:p w:rsidR="00B0002C" w:rsidRDefault="00B0002C" w:rsidP="002A1D84">
            <w:pPr>
              <w:pStyle w:val="ANormal"/>
              <w:keepNext/>
            </w:pPr>
          </w:p>
          <w:p w:rsidR="004406DE" w:rsidRDefault="002A1D84" w:rsidP="006C66FF">
            <w:pPr>
              <w:pStyle w:val="ANormal"/>
              <w:keepNext/>
            </w:pPr>
            <w:r>
              <w:t xml:space="preserve">Mariehamn </w:t>
            </w:r>
            <w:r w:rsidRPr="007F4388">
              <w:t xml:space="preserve">den </w:t>
            </w:r>
            <w:r w:rsidR="006C66FF" w:rsidRPr="007F4388">
              <w:t>26</w:t>
            </w:r>
            <w:r w:rsidR="004406DE" w:rsidRPr="007F4388">
              <w:t xml:space="preserve"> </w:t>
            </w:r>
            <w:r w:rsidR="006C66FF" w:rsidRPr="007F4388">
              <w:t xml:space="preserve">februari </w:t>
            </w:r>
            <w:r w:rsidR="004406DE" w:rsidRPr="007F4388">
              <w:t>20</w:t>
            </w:r>
            <w:r w:rsidRPr="007F4388">
              <w:t>15</w:t>
            </w:r>
          </w:p>
        </w:tc>
        <w:tc>
          <w:tcPr>
            <w:tcW w:w="3912" w:type="dxa"/>
          </w:tcPr>
          <w:p w:rsidR="004406DE" w:rsidRDefault="004406DE">
            <w:pPr>
              <w:pStyle w:val="ANormal"/>
              <w:keepNext/>
            </w:pPr>
          </w:p>
        </w:tc>
      </w:tr>
      <w:tr w:rsidR="004406DE">
        <w:tc>
          <w:tcPr>
            <w:tcW w:w="3914" w:type="dxa"/>
            <w:vAlign w:val="bottom"/>
          </w:tcPr>
          <w:p w:rsidR="004406DE" w:rsidRDefault="004406DE">
            <w:pPr>
              <w:pStyle w:val="ANormal"/>
              <w:keepNext/>
            </w:pPr>
          </w:p>
          <w:p w:rsidR="004406DE" w:rsidRDefault="004406DE">
            <w:pPr>
              <w:pStyle w:val="ANormal"/>
              <w:keepNext/>
            </w:pPr>
          </w:p>
          <w:p w:rsidR="00B0002C" w:rsidRDefault="00B0002C">
            <w:pPr>
              <w:pStyle w:val="ANormal"/>
              <w:keepNext/>
            </w:pPr>
          </w:p>
          <w:p w:rsidR="004406DE" w:rsidRDefault="004406DE">
            <w:pPr>
              <w:pStyle w:val="ANormal"/>
              <w:keepNext/>
            </w:pPr>
            <w:r>
              <w:t>L a n t r å d</w:t>
            </w:r>
          </w:p>
        </w:tc>
        <w:tc>
          <w:tcPr>
            <w:tcW w:w="3912" w:type="dxa"/>
            <w:vAlign w:val="bottom"/>
          </w:tcPr>
          <w:p w:rsidR="004406DE" w:rsidRDefault="002A1D84">
            <w:pPr>
              <w:pStyle w:val="ANormal"/>
              <w:keepNext/>
            </w:pPr>
            <w:r>
              <w:t>Camilla Gunell</w:t>
            </w:r>
          </w:p>
        </w:tc>
      </w:tr>
      <w:tr w:rsidR="004406DE">
        <w:tc>
          <w:tcPr>
            <w:tcW w:w="3914" w:type="dxa"/>
            <w:vAlign w:val="bottom"/>
          </w:tcPr>
          <w:p w:rsidR="004406DE" w:rsidRDefault="004406DE">
            <w:pPr>
              <w:pStyle w:val="ANormal"/>
              <w:keepNext/>
            </w:pPr>
          </w:p>
          <w:p w:rsidR="004406DE" w:rsidRDefault="004406DE">
            <w:pPr>
              <w:pStyle w:val="ANormal"/>
              <w:keepNext/>
            </w:pPr>
          </w:p>
          <w:p w:rsidR="00B0002C" w:rsidRDefault="00B0002C">
            <w:pPr>
              <w:pStyle w:val="ANormal"/>
              <w:keepNext/>
            </w:pPr>
          </w:p>
          <w:p w:rsidR="00B0002C" w:rsidRDefault="00B0002C">
            <w:pPr>
              <w:pStyle w:val="ANormal"/>
              <w:keepNext/>
            </w:pPr>
          </w:p>
          <w:p w:rsidR="004406DE" w:rsidRDefault="002A1D84">
            <w:pPr>
              <w:pStyle w:val="ANormal"/>
              <w:keepNext/>
            </w:pPr>
            <w:r>
              <w:t>Minister</w:t>
            </w:r>
          </w:p>
        </w:tc>
        <w:tc>
          <w:tcPr>
            <w:tcW w:w="3912" w:type="dxa"/>
            <w:vAlign w:val="bottom"/>
          </w:tcPr>
          <w:p w:rsidR="004406DE" w:rsidRDefault="002A1D84">
            <w:pPr>
              <w:pStyle w:val="ANormal"/>
              <w:keepNext/>
            </w:pPr>
            <w:r>
              <w:t>Wille Valve</w:t>
            </w:r>
          </w:p>
        </w:tc>
      </w:tr>
    </w:tbl>
    <w:p w:rsidR="004406DE" w:rsidRDefault="004406DE">
      <w:pPr>
        <w:pStyle w:val="ANormal"/>
      </w:pPr>
    </w:p>
    <w:p w:rsidR="0040709D" w:rsidRDefault="004406DE" w:rsidP="004406DE">
      <w:pPr>
        <w:pStyle w:val="RubrikA"/>
      </w:pPr>
      <w:r>
        <w:br w:type="page"/>
      </w:r>
    </w:p>
    <w:p w:rsidR="0040709D" w:rsidRPr="007F4388" w:rsidRDefault="0040709D">
      <w:pPr>
        <w:pStyle w:val="Innehllsfrteckningsrubrik"/>
        <w:rPr>
          <w:color w:val="auto"/>
        </w:rPr>
      </w:pPr>
      <w:r w:rsidRPr="007F4388">
        <w:rPr>
          <w:color w:val="auto"/>
          <w:lang w:val="sv-SE"/>
        </w:rPr>
        <w:t>Innehåll</w:t>
      </w:r>
    </w:p>
    <w:p w:rsidR="00115132" w:rsidRDefault="0040709D">
      <w:pPr>
        <w:pStyle w:val="Innehll1"/>
        <w:rPr>
          <w:rFonts w:asciiTheme="minorHAnsi" w:eastAsiaTheme="minorEastAsia" w:hAnsiTheme="minorHAnsi" w:cstheme="minorBidi"/>
          <w:sz w:val="22"/>
          <w:szCs w:val="22"/>
          <w:lang w:val="sv-FI" w:eastAsia="sv-FI"/>
        </w:rPr>
      </w:pPr>
      <w:r>
        <w:fldChar w:fldCharType="begin"/>
      </w:r>
      <w:r>
        <w:instrText xml:space="preserve"> TOC \o "1-3" \h \z \u </w:instrText>
      </w:r>
      <w:r>
        <w:fldChar w:fldCharType="separate"/>
      </w:r>
      <w:hyperlink w:anchor="_Toc412712649" w:history="1">
        <w:r w:rsidR="00115132" w:rsidRPr="00845928">
          <w:rPr>
            <w:rStyle w:val="Hyperlnk"/>
          </w:rPr>
          <w:t>1. Inledning</w:t>
        </w:r>
        <w:r w:rsidR="00115132">
          <w:rPr>
            <w:webHidden/>
          </w:rPr>
          <w:tab/>
        </w:r>
        <w:r w:rsidR="00115132">
          <w:rPr>
            <w:webHidden/>
          </w:rPr>
          <w:fldChar w:fldCharType="begin"/>
        </w:r>
        <w:r w:rsidR="00115132">
          <w:rPr>
            <w:webHidden/>
          </w:rPr>
          <w:instrText xml:space="preserve"> PAGEREF _Toc412712649 \h </w:instrText>
        </w:r>
        <w:r w:rsidR="00115132">
          <w:rPr>
            <w:webHidden/>
          </w:rPr>
        </w:r>
        <w:r w:rsidR="00115132">
          <w:rPr>
            <w:webHidden/>
          </w:rPr>
          <w:fldChar w:fldCharType="separate"/>
        </w:r>
        <w:r w:rsidR="0052115E">
          <w:rPr>
            <w:webHidden/>
          </w:rPr>
          <w:t>3</w:t>
        </w:r>
        <w:r w:rsidR="00115132">
          <w:rPr>
            <w:webHidden/>
          </w:rPr>
          <w:fldChar w:fldCharType="end"/>
        </w:r>
      </w:hyperlink>
    </w:p>
    <w:p w:rsidR="00115132" w:rsidRDefault="004855BC">
      <w:pPr>
        <w:pStyle w:val="Innehll1"/>
        <w:rPr>
          <w:rFonts w:asciiTheme="minorHAnsi" w:eastAsiaTheme="minorEastAsia" w:hAnsiTheme="minorHAnsi" w:cstheme="minorBidi"/>
          <w:sz w:val="22"/>
          <w:szCs w:val="22"/>
          <w:lang w:val="sv-FI" w:eastAsia="sv-FI"/>
        </w:rPr>
      </w:pPr>
      <w:hyperlink w:anchor="_Toc412712650" w:history="1">
        <w:r w:rsidR="00115132" w:rsidRPr="00845928">
          <w:rPr>
            <w:rStyle w:val="Hyperlnk"/>
          </w:rPr>
          <w:t>2. Nordiska ministerrådet</w:t>
        </w:r>
        <w:r w:rsidR="00115132">
          <w:rPr>
            <w:webHidden/>
          </w:rPr>
          <w:tab/>
        </w:r>
        <w:r w:rsidR="00115132">
          <w:rPr>
            <w:webHidden/>
          </w:rPr>
          <w:fldChar w:fldCharType="begin"/>
        </w:r>
        <w:r w:rsidR="00115132">
          <w:rPr>
            <w:webHidden/>
          </w:rPr>
          <w:instrText xml:space="preserve"> PAGEREF _Toc412712650 \h </w:instrText>
        </w:r>
        <w:r w:rsidR="00115132">
          <w:rPr>
            <w:webHidden/>
          </w:rPr>
        </w:r>
        <w:r w:rsidR="00115132">
          <w:rPr>
            <w:webHidden/>
          </w:rPr>
          <w:fldChar w:fldCharType="separate"/>
        </w:r>
        <w:r w:rsidR="0052115E">
          <w:rPr>
            <w:webHidden/>
          </w:rPr>
          <w:t>3</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51" w:history="1">
        <w:r w:rsidR="00115132" w:rsidRPr="00845928">
          <w:rPr>
            <w:rStyle w:val="Hyperlnk"/>
          </w:rPr>
          <w:t>2.1 Ålands möjlighet att påverka i det nordiska samarbetet</w:t>
        </w:r>
        <w:r w:rsidR="00115132">
          <w:rPr>
            <w:webHidden/>
          </w:rPr>
          <w:tab/>
        </w:r>
        <w:r w:rsidR="00115132">
          <w:rPr>
            <w:webHidden/>
          </w:rPr>
          <w:fldChar w:fldCharType="begin"/>
        </w:r>
        <w:r w:rsidR="00115132">
          <w:rPr>
            <w:webHidden/>
          </w:rPr>
          <w:instrText xml:space="preserve"> PAGEREF _Toc412712651 \h </w:instrText>
        </w:r>
        <w:r w:rsidR="00115132">
          <w:rPr>
            <w:webHidden/>
          </w:rPr>
        </w:r>
        <w:r w:rsidR="00115132">
          <w:rPr>
            <w:webHidden/>
          </w:rPr>
          <w:fldChar w:fldCharType="separate"/>
        </w:r>
        <w:r w:rsidR="0052115E">
          <w:rPr>
            <w:webHidden/>
          </w:rPr>
          <w:t>4</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52" w:history="1">
        <w:r w:rsidR="00115132" w:rsidRPr="00845928">
          <w:rPr>
            <w:rStyle w:val="Hyperlnk"/>
          </w:rPr>
          <w:t>2.2 Kommande ordförandeskap</w:t>
        </w:r>
        <w:r w:rsidR="00115132">
          <w:rPr>
            <w:webHidden/>
          </w:rPr>
          <w:tab/>
        </w:r>
        <w:r w:rsidR="00115132">
          <w:rPr>
            <w:webHidden/>
          </w:rPr>
          <w:fldChar w:fldCharType="begin"/>
        </w:r>
        <w:r w:rsidR="00115132">
          <w:rPr>
            <w:webHidden/>
          </w:rPr>
          <w:instrText xml:space="preserve"> PAGEREF _Toc412712652 \h </w:instrText>
        </w:r>
        <w:r w:rsidR="00115132">
          <w:rPr>
            <w:webHidden/>
          </w:rPr>
        </w:r>
        <w:r w:rsidR="00115132">
          <w:rPr>
            <w:webHidden/>
          </w:rPr>
          <w:fldChar w:fldCharType="separate"/>
        </w:r>
        <w:r w:rsidR="0052115E">
          <w:rPr>
            <w:webHidden/>
          </w:rPr>
          <w:t>4</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53" w:history="1">
        <w:r w:rsidR="00115132" w:rsidRPr="00845928">
          <w:rPr>
            <w:rStyle w:val="Hyperlnk"/>
          </w:rPr>
          <w:t>2.3 Övergripande prioriteringar</w:t>
        </w:r>
        <w:r w:rsidR="00115132">
          <w:rPr>
            <w:webHidden/>
          </w:rPr>
          <w:tab/>
        </w:r>
        <w:r w:rsidR="00115132">
          <w:rPr>
            <w:webHidden/>
          </w:rPr>
          <w:fldChar w:fldCharType="begin"/>
        </w:r>
        <w:r w:rsidR="00115132">
          <w:rPr>
            <w:webHidden/>
          </w:rPr>
          <w:instrText xml:space="preserve"> PAGEREF _Toc412712653 \h </w:instrText>
        </w:r>
        <w:r w:rsidR="00115132">
          <w:rPr>
            <w:webHidden/>
          </w:rPr>
        </w:r>
        <w:r w:rsidR="00115132">
          <w:rPr>
            <w:webHidden/>
          </w:rPr>
          <w:fldChar w:fldCharType="separate"/>
        </w:r>
        <w:r w:rsidR="0052115E">
          <w:rPr>
            <w:webHidden/>
          </w:rPr>
          <w:t>4</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54" w:history="1">
        <w:r w:rsidR="00115132" w:rsidRPr="00845928">
          <w:rPr>
            <w:rStyle w:val="Hyperlnk"/>
          </w:rPr>
          <w:t>2.3.1 Språket</w:t>
        </w:r>
        <w:r w:rsidR="00115132">
          <w:rPr>
            <w:webHidden/>
          </w:rPr>
          <w:tab/>
        </w:r>
        <w:r w:rsidR="00115132">
          <w:rPr>
            <w:webHidden/>
          </w:rPr>
          <w:fldChar w:fldCharType="begin"/>
        </w:r>
        <w:r w:rsidR="00115132">
          <w:rPr>
            <w:webHidden/>
          </w:rPr>
          <w:instrText xml:space="preserve"> PAGEREF _Toc412712654 \h </w:instrText>
        </w:r>
        <w:r w:rsidR="00115132">
          <w:rPr>
            <w:webHidden/>
          </w:rPr>
        </w:r>
        <w:r w:rsidR="00115132">
          <w:rPr>
            <w:webHidden/>
          </w:rPr>
          <w:fldChar w:fldCharType="separate"/>
        </w:r>
        <w:r w:rsidR="0052115E">
          <w:rPr>
            <w:webHidden/>
          </w:rPr>
          <w:t>4</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55" w:history="1">
        <w:r w:rsidR="00115132" w:rsidRPr="00845928">
          <w:rPr>
            <w:rStyle w:val="Hyperlnk"/>
          </w:rPr>
          <w:t>2.3.2 Ålands, Färöarnas och Grönlands ställning i det nordiska samarbetet</w:t>
        </w:r>
        <w:r w:rsidR="00115132">
          <w:rPr>
            <w:webHidden/>
          </w:rPr>
          <w:tab/>
        </w:r>
        <w:r w:rsidR="00115132">
          <w:rPr>
            <w:webHidden/>
          </w:rPr>
          <w:fldChar w:fldCharType="begin"/>
        </w:r>
        <w:r w:rsidR="00115132">
          <w:rPr>
            <w:webHidden/>
          </w:rPr>
          <w:instrText xml:space="preserve"> PAGEREF _Toc412712655 \h </w:instrText>
        </w:r>
        <w:r w:rsidR="00115132">
          <w:rPr>
            <w:webHidden/>
          </w:rPr>
        </w:r>
        <w:r w:rsidR="00115132">
          <w:rPr>
            <w:webHidden/>
          </w:rPr>
          <w:fldChar w:fldCharType="separate"/>
        </w:r>
        <w:r w:rsidR="0052115E">
          <w:rPr>
            <w:webHidden/>
          </w:rPr>
          <w:t>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56" w:history="1">
        <w:r w:rsidR="00115132" w:rsidRPr="00845928">
          <w:rPr>
            <w:rStyle w:val="Hyperlnk"/>
          </w:rPr>
          <w:t>2.3.3 Gränshinderarbetet</w:t>
        </w:r>
        <w:r w:rsidR="00115132">
          <w:rPr>
            <w:webHidden/>
          </w:rPr>
          <w:tab/>
        </w:r>
        <w:r w:rsidR="00115132">
          <w:rPr>
            <w:webHidden/>
          </w:rPr>
          <w:fldChar w:fldCharType="begin"/>
        </w:r>
        <w:r w:rsidR="00115132">
          <w:rPr>
            <w:webHidden/>
          </w:rPr>
          <w:instrText xml:space="preserve"> PAGEREF _Toc412712656 \h </w:instrText>
        </w:r>
        <w:r w:rsidR="00115132">
          <w:rPr>
            <w:webHidden/>
          </w:rPr>
        </w:r>
        <w:r w:rsidR="00115132">
          <w:rPr>
            <w:webHidden/>
          </w:rPr>
          <w:fldChar w:fldCharType="separate"/>
        </w:r>
        <w:r w:rsidR="0052115E">
          <w:rPr>
            <w:webHidden/>
          </w:rPr>
          <w:t>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57" w:history="1">
        <w:r w:rsidR="00115132" w:rsidRPr="00845928">
          <w:rPr>
            <w:rStyle w:val="Hyperlnk"/>
          </w:rPr>
          <w:t>2.3.4 Näringsliv och arbetsmarknad</w:t>
        </w:r>
        <w:r w:rsidR="00115132">
          <w:rPr>
            <w:webHidden/>
          </w:rPr>
          <w:tab/>
        </w:r>
        <w:r w:rsidR="00115132">
          <w:rPr>
            <w:webHidden/>
          </w:rPr>
          <w:fldChar w:fldCharType="begin"/>
        </w:r>
        <w:r w:rsidR="00115132">
          <w:rPr>
            <w:webHidden/>
          </w:rPr>
          <w:instrText xml:space="preserve"> PAGEREF _Toc412712657 \h </w:instrText>
        </w:r>
        <w:r w:rsidR="00115132">
          <w:rPr>
            <w:webHidden/>
          </w:rPr>
        </w:r>
        <w:r w:rsidR="00115132">
          <w:rPr>
            <w:webHidden/>
          </w:rPr>
          <w:fldChar w:fldCharType="separate"/>
        </w:r>
        <w:r w:rsidR="0052115E">
          <w:rPr>
            <w:webHidden/>
          </w:rPr>
          <w:t>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58" w:history="1">
        <w:r w:rsidR="00115132" w:rsidRPr="00845928">
          <w:rPr>
            <w:rStyle w:val="Hyperlnk"/>
          </w:rPr>
          <w:t>2.3.5 Ny Nordisk Mat</w:t>
        </w:r>
        <w:r w:rsidR="00115132">
          <w:rPr>
            <w:webHidden/>
          </w:rPr>
          <w:tab/>
        </w:r>
        <w:r w:rsidR="00115132">
          <w:rPr>
            <w:webHidden/>
          </w:rPr>
          <w:fldChar w:fldCharType="begin"/>
        </w:r>
        <w:r w:rsidR="00115132">
          <w:rPr>
            <w:webHidden/>
          </w:rPr>
          <w:instrText xml:space="preserve"> PAGEREF _Toc412712658 \h </w:instrText>
        </w:r>
        <w:r w:rsidR="00115132">
          <w:rPr>
            <w:webHidden/>
          </w:rPr>
        </w:r>
        <w:r w:rsidR="00115132">
          <w:rPr>
            <w:webHidden/>
          </w:rPr>
          <w:fldChar w:fldCharType="separate"/>
        </w:r>
        <w:r w:rsidR="0052115E">
          <w:rPr>
            <w:webHidden/>
          </w:rPr>
          <w:t>6</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59" w:history="1">
        <w:r w:rsidR="00115132" w:rsidRPr="00845928">
          <w:rPr>
            <w:rStyle w:val="Hyperlnk"/>
          </w:rPr>
          <w:t>2.3.6 Kultur</w:t>
        </w:r>
        <w:r w:rsidR="00115132">
          <w:rPr>
            <w:webHidden/>
          </w:rPr>
          <w:tab/>
        </w:r>
        <w:r w:rsidR="00115132">
          <w:rPr>
            <w:webHidden/>
          </w:rPr>
          <w:fldChar w:fldCharType="begin"/>
        </w:r>
        <w:r w:rsidR="00115132">
          <w:rPr>
            <w:webHidden/>
          </w:rPr>
          <w:instrText xml:space="preserve"> PAGEREF _Toc412712659 \h </w:instrText>
        </w:r>
        <w:r w:rsidR="00115132">
          <w:rPr>
            <w:webHidden/>
          </w:rPr>
        </w:r>
        <w:r w:rsidR="00115132">
          <w:rPr>
            <w:webHidden/>
          </w:rPr>
          <w:fldChar w:fldCharType="separate"/>
        </w:r>
        <w:r w:rsidR="0052115E">
          <w:rPr>
            <w:webHidden/>
          </w:rPr>
          <w:t>6</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0" w:history="1">
        <w:r w:rsidR="00115132" w:rsidRPr="00845928">
          <w:rPr>
            <w:rStyle w:val="Hyperlnk"/>
          </w:rPr>
          <w:t>2.3.7 Utbildning</w:t>
        </w:r>
        <w:r w:rsidR="00115132">
          <w:rPr>
            <w:webHidden/>
          </w:rPr>
          <w:tab/>
        </w:r>
        <w:r w:rsidR="00115132">
          <w:rPr>
            <w:webHidden/>
          </w:rPr>
          <w:fldChar w:fldCharType="begin"/>
        </w:r>
        <w:r w:rsidR="00115132">
          <w:rPr>
            <w:webHidden/>
          </w:rPr>
          <w:instrText xml:space="preserve"> PAGEREF _Toc412712660 \h </w:instrText>
        </w:r>
        <w:r w:rsidR="00115132">
          <w:rPr>
            <w:webHidden/>
          </w:rPr>
        </w:r>
        <w:r w:rsidR="00115132">
          <w:rPr>
            <w:webHidden/>
          </w:rPr>
          <w:fldChar w:fldCharType="separate"/>
        </w:r>
        <w:r w:rsidR="0052115E">
          <w:rPr>
            <w:webHidden/>
          </w:rPr>
          <w:t>7</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1" w:history="1">
        <w:r w:rsidR="00115132" w:rsidRPr="00845928">
          <w:rPr>
            <w:rStyle w:val="Hyperlnk"/>
          </w:rPr>
          <w:t>2.3.8 Jämställdhet</w:t>
        </w:r>
        <w:r w:rsidR="00115132">
          <w:rPr>
            <w:webHidden/>
          </w:rPr>
          <w:tab/>
        </w:r>
        <w:r w:rsidR="00115132">
          <w:rPr>
            <w:webHidden/>
          </w:rPr>
          <w:fldChar w:fldCharType="begin"/>
        </w:r>
        <w:r w:rsidR="00115132">
          <w:rPr>
            <w:webHidden/>
          </w:rPr>
          <w:instrText xml:space="preserve"> PAGEREF _Toc412712661 \h </w:instrText>
        </w:r>
        <w:r w:rsidR="00115132">
          <w:rPr>
            <w:webHidden/>
          </w:rPr>
        </w:r>
        <w:r w:rsidR="00115132">
          <w:rPr>
            <w:webHidden/>
          </w:rPr>
          <w:fldChar w:fldCharType="separate"/>
        </w:r>
        <w:r w:rsidR="0052115E">
          <w:rPr>
            <w:webHidden/>
          </w:rPr>
          <w:t>8</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2" w:history="1">
        <w:r w:rsidR="00115132" w:rsidRPr="00845928">
          <w:rPr>
            <w:rStyle w:val="Hyperlnk"/>
          </w:rPr>
          <w:t>2.3.9 Finans</w:t>
        </w:r>
        <w:r w:rsidR="00115132">
          <w:rPr>
            <w:webHidden/>
          </w:rPr>
          <w:tab/>
        </w:r>
        <w:r w:rsidR="00115132">
          <w:rPr>
            <w:webHidden/>
          </w:rPr>
          <w:fldChar w:fldCharType="begin"/>
        </w:r>
        <w:r w:rsidR="00115132">
          <w:rPr>
            <w:webHidden/>
          </w:rPr>
          <w:instrText xml:space="preserve"> PAGEREF _Toc412712662 \h </w:instrText>
        </w:r>
        <w:r w:rsidR="00115132">
          <w:rPr>
            <w:webHidden/>
          </w:rPr>
        </w:r>
        <w:r w:rsidR="00115132">
          <w:rPr>
            <w:webHidden/>
          </w:rPr>
          <w:fldChar w:fldCharType="separate"/>
        </w:r>
        <w:r w:rsidR="0052115E">
          <w:rPr>
            <w:webHidden/>
          </w:rPr>
          <w:t>9</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3" w:history="1">
        <w:r w:rsidR="00115132" w:rsidRPr="00845928">
          <w:rPr>
            <w:rStyle w:val="Hyperlnk"/>
          </w:rPr>
          <w:t>2.3.10 Energi</w:t>
        </w:r>
        <w:r w:rsidR="00115132">
          <w:rPr>
            <w:webHidden/>
          </w:rPr>
          <w:tab/>
        </w:r>
        <w:r w:rsidR="00115132">
          <w:rPr>
            <w:webHidden/>
          </w:rPr>
          <w:fldChar w:fldCharType="begin"/>
        </w:r>
        <w:r w:rsidR="00115132">
          <w:rPr>
            <w:webHidden/>
          </w:rPr>
          <w:instrText xml:space="preserve"> PAGEREF _Toc412712663 \h </w:instrText>
        </w:r>
        <w:r w:rsidR="00115132">
          <w:rPr>
            <w:webHidden/>
          </w:rPr>
        </w:r>
        <w:r w:rsidR="00115132">
          <w:rPr>
            <w:webHidden/>
          </w:rPr>
          <w:fldChar w:fldCharType="separate"/>
        </w:r>
        <w:r w:rsidR="0052115E">
          <w:rPr>
            <w:webHidden/>
          </w:rPr>
          <w:t>9</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4" w:history="1">
        <w:r w:rsidR="00115132" w:rsidRPr="00845928">
          <w:rPr>
            <w:rStyle w:val="Hyperlnk"/>
          </w:rPr>
          <w:t>2.3.11 Miljö</w:t>
        </w:r>
        <w:r w:rsidR="00115132">
          <w:rPr>
            <w:webHidden/>
          </w:rPr>
          <w:tab/>
        </w:r>
        <w:r w:rsidR="00115132">
          <w:rPr>
            <w:webHidden/>
          </w:rPr>
          <w:fldChar w:fldCharType="begin"/>
        </w:r>
        <w:r w:rsidR="00115132">
          <w:rPr>
            <w:webHidden/>
          </w:rPr>
          <w:instrText xml:space="preserve"> PAGEREF _Toc412712664 \h </w:instrText>
        </w:r>
        <w:r w:rsidR="00115132">
          <w:rPr>
            <w:webHidden/>
          </w:rPr>
        </w:r>
        <w:r w:rsidR="00115132">
          <w:rPr>
            <w:webHidden/>
          </w:rPr>
          <w:fldChar w:fldCharType="separate"/>
        </w:r>
        <w:r w:rsidR="0052115E">
          <w:rPr>
            <w:webHidden/>
          </w:rPr>
          <w:t>10</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5" w:history="1">
        <w:r w:rsidR="00115132" w:rsidRPr="00845928">
          <w:rPr>
            <w:rStyle w:val="Hyperlnk"/>
          </w:rPr>
          <w:t>2.3.12 Informella nordiska ministermöten</w:t>
        </w:r>
        <w:r w:rsidR="00115132">
          <w:rPr>
            <w:webHidden/>
          </w:rPr>
          <w:tab/>
        </w:r>
        <w:r w:rsidR="00115132">
          <w:rPr>
            <w:webHidden/>
          </w:rPr>
          <w:fldChar w:fldCharType="begin"/>
        </w:r>
        <w:r w:rsidR="00115132">
          <w:rPr>
            <w:webHidden/>
          </w:rPr>
          <w:instrText xml:space="preserve"> PAGEREF _Toc412712665 \h </w:instrText>
        </w:r>
        <w:r w:rsidR="00115132">
          <w:rPr>
            <w:webHidden/>
          </w:rPr>
        </w:r>
        <w:r w:rsidR="00115132">
          <w:rPr>
            <w:webHidden/>
          </w:rPr>
          <w:fldChar w:fldCharType="separate"/>
        </w:r>
        <w:r w:rsidR="0052115E">
          <w:rPr>
            <w:webHidden/>
          </w:rPr>
          <w:t>10</w:t>
        </w:r>
        <w:r w:rsidR="00115132">
          <w:rPr>
            <w:webHidden/>
          </w:rPr>
          <w:fldChar w:fldCharType="end"/>
        </w:r>
      </w:hyperlink>
    </w:p>
    <w:p w:rsidR="00115132" w:rsidRDefault="004855BC">
      <w:pPr>
        <w:pStyle w:val="Innehll1"/>
        <w:rPr>
          <w:rFonts w:asciiTheme="minorHAnsi" w:eastAsiaTheme="minorEastAsia" w:hAnsiTheme="minorHAnsi" w:cstheme="minorBidi"/>
          <w:sz w:val="22"/>
          <w:szCs w:val="22"/>
          <w:lang w:val="sv-FI" w:eastAsia="sv-FI"/>
        </w:rPr>
      </w:pPr>
      <w:hyperlink w:anchor="_Toc412712666" w:history="1">
        <w:r w:rsidR="00115132" w:rsidRPr="00845928">
          <w:rPr>
            <w:rStyle w:val="Hyperlnk"/>
          </w:rPr>
          <w:t>3. EU</w:t>
        </w:r>
        <w:r w:rsidR="00115132">
          <w:rPr>
            <w:webHidden/>
          </w:rPr>
          <w:tab/>
        </w:r>
        <w:r w:rsidR="00115132">
          <w:rPr>
            <w:webHidden/>
          </w:rPr>
          <w:fldChar w:fldCharType="begin"/>
        </w:r>
        <w:r w:rsidR="00115132">
          <w:rPr>
            <w:webHidden/>
          </w:rPr>
          <w:instrText xml:space="preserve"> PAGEREF _Toc412712666 \h </w:instrText>
        </w:r>
        <w:r w:rsidR="00115132">
          <w:rPr>
            <w:webHidden/>
          </w:rPr>
        </w:r>
        <w:r w:rsidR="00115132">
          <w:rPr>
            <w:webHidden/>
          </w:rPr>
          <w:fldChar w:fldCharType="separate"/>
        </w:r>
        <w:r w:rsidR="0052115E">
          <w:rPr>
            <w:webHidden/>
          </w:rPr>
          <w:t>11</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67" w:history="1">
        <w:r w:rsidR="00115132" w:rsidRPr="00845928">
          <w:rPr>
            <w:rStyle w:val="Hyperlnk"/>
          </w:rPr>
          <w:t>3.1 Landskapets möjligheter till inflytande i EU-ärenden</w:t>
        </w:r>
        <w:r w:rsidR="00115132">
          <w:rPr>
            <w:webHidden/>
          </w:rPr>
          <w:tab/>
        </w:r>
        <w:r w:rsidR="00115132">
          <w:rPr>
            <w:webHidden/>
          </w:rPr>
          <w:fldChar w:fldCharType="begin"/>
        </w:r>
        <w:r w:rsidR="00115132">
          <w:rPr>
            <w:webHidden/>
          </w:rPr>
          <w:instrText xml:space="preserve"> PAGEREF _Toc412712667 \h </w:instrText>
        </w:r>
        <w:r w:rsidR="00115132">
          <w:rPr>
            <w:webHidden/>
          </w:rPr>
        </w:r>
        <w:r w:rsidR="00115132">
          <w:rPr>
            <w:webHidden/>
          </w:rPr>
          <w:fldChar w:fldCharType="separate"/>
        </w:r>
        <w:r w:rsidR="0052115E">
          <w:rPr>
            <w:webHidden/>
          </w:rPr>
          <w:t>12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8" w:history="1">
        <w:r w:rsidR="00115132" w:rsidRPr="00845928">
          <w:rPr>
            <w:rStyle w:val="Hyperlnk"/>
          </w:rPr>
          <w:t>3.1.1 Landskapsregeringens specialrådgivare i Bryssel</w:t>
        </w:r>
        <w:r w:rsidR="00115132">
          <w:rPr>
            <w:webHidden/>
          </w:rPr>
          <w:tab/>
        </w:r>
        <w:r w:rsidR="00115132">
          <w:rPr>
            <w:webHidden/>
          </w:rPr>
          <w:fldChar w:fldCharType="begin"/>
        </w:r>
        <w:r w:rsidR="00115132">
          <w:rPr>
            <w:webHidden/>
          </w:rPr>
          <w:instrText xml:space="preserve"> PAGEREF _Toc412712668 \h </w:instrText>
        </w:r>
        <w:r w:rsidR="00115132">
          <w:rPr>
            <w:webHidden/>
          </w:rPr>
        </w:r>
        <w:r w:rsidR="00115132">
          <w:rPr>
            <w:webHidden/>
          </w:rPr>
          <w:fldChar w:fldCharType="separate"/>
        </w:r>
        <w:r w:rsidR="0052115E">
          <w:rPr>
            <w:webHidden/>
          </w:rPr>
          <w:t>12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69" w:history="1">
        <w:r w:rsidR="00115132" w:rsidRPr="00845928">
          <w:rPr>
            <w:rStyle w:val="Hyperlnk"/>
          </w:rPr>
          <w:t>3.1.2 Nationell expert vid kommissionen</w:t>
        </w:r>
        <w:r w:rsidR="00115132">
          <w:rPr>
            <w:webHidden/>
          </w:rPr>
          <w:tab/>
        </w:r>
        <w:r w:rsidR="00115132">
          <w:rPr>
            <w:webHidden/>
          </w:rPr>
          <w:fldChar w:fldCharType="begin"/>
        </w:r>
        <w:r w:rsidR="00115132">
          <w:rPr>
            <w:webHidden/>
          </w:rPr>
          <w:instrText xml:space="preserve"> PAGEREF _Toc412712669 \h </w:instrText>
        </w:r>
        <w:r w:rsidR="00115132">
          <w:rPr>
            <w:webHidden/>
          </w:rPr>
        </w:r>
        <w:r w:rsidR="00115132">
          <w:rPr>
            <w:webHidden/>
          </w:rPr>
          <w:fldChar w:fldCharType="separate"/>
        </w:r>
        <w:r w:rsidR="0052115E">
          <w:rPr>
            <w:webHidden/>
          </w:rPr>
          <w:t>12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0" w:history="1">
        <w:r w:rsidR="00115132" w:rsidRPr="00845928">
          <w:rPr>
            <w:rStyle w:val="Hyperlnk"/>
          </w:rPr>
          <w:t>3.1.3 Samarbete med Europaparlamentariker</w:t>
        </w:r>
        <w:r w:rsidR="00115132">
          <w:rPr>
            <w:webHidden/>
          </w:rPr>
          <w:tab/>
        </w:r>
        <w:r w:rsidR="00115132">
          <w:rPr>
            <w:webHidden/>
          </w:rPr>
          <w:fldChar w:fldCharType="begin"/>
        </w:r>
        <w:r w:rsidR="00115132">
          <w:rPr>
            <w:webHidden/>
          </w:rPr>
          <w:instrText xml:space="preserve"> PAGEREF _Toc412712670 \h </w:instrText>
        </w:r>
        <w:r w:rsidR="00115132">
          <w:rPr>
            <w:webHidden/>
          </w:rPr>
        </w:r>
        <w:r w:rsidR="00115132">
          <w:rPr>
            <w:webHidden/>
          </w:rPr>
          <w:fldChar w:fldCharType="separate"/>
        </w:r>
        <w:r w:rsidR="0052115E">
          <w:rPr>
            <w:webHidden/>
          </w:rPr>
          <w:t>12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1" w:history="1">
        <w:r w:rsidR="00115132" w:rsidRPr="00845928">
          <w:rPr>
            <w:rStyle w:val="Hyperlnk"/>
          </w:rPr>
          <w:t>3.1.4 Regionkommittén</w:t>
        </w:r>
        <w:r w:rsidR="00115132">
          <w:rPr>
            <w:webHidden/>
          </w:rPr>
          <w:tab/>
        </w:r>
        <w:r w:rsidR="00115132">
          <w:rPr>
            <w:webHidden/>
          </w:rPr>
          <w:fldChar w:fldCharType="begin"/>
        </w:r>
        <w:r w:rsidR="00115132">
          <w:rPr>
            <w:webHidden/>
          </w:rPr>
          <w:instrText xml:space="preserve"> PAGEREF _Toc412712671 \h </w:instrText>
        </w:r>
        <w:r w:rsidR="00115132">
          <w:rPr>
            <w:webHidden/>
          </w:rPr>
        </w:r>
        <w:r w:rsidR="00115132">
          <w:rPr>
            <w:webHidden/>
          </w:rPr>
          <w:fldChar w:fldCharType="separate"/>
        </w:r>
        <w:r w:rsidR="0052115E">
          <w:rPr>
            <w:webHidden/>
          </w:rPr>
          <w:t>13</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2" w:history="1">
        <w:r w:rsidR="00115132" w:rsidRPr="00845928">
          <w:rPr>
            <w:rStyle w:val="Hyperlnk"/>
          </w:rPr>
          <w:t>3.1.5  Subsidiaritetsprincipen</w:t>
        </w:r>
        <w:r w:rsidR="00115132">
          <w:rPr>
            <w:webHidden/>
          </w:rPr>
          <w:tab/>
        </w:r>
        <w:r w:rsidR="00115132">
          <w:rPr>
            <w:webHidden/>
          </w:rPr>
          <w:fldChar w:fldCharType="begin"/>
        </w:r>
        <w:r w:rsidR="00115132">
          <w:rPr>
            <w:webHidden/>
          </w:rPr>
          <w:instrText xml:space="preserve"> PAGEREF _Toc412712672 \h </w:instrText>
        </w:r>
        <w:r w:rsidR="00115132">
          <w:rPr>
            <w:webHidden/>
          </w:rPr>
        </w:r>
        <w:r w:rsidR="00115132">
          <w:rPr>
            <w:webHidden/>
          </w:rPr>
          <w:fldChar w:fldCharType="separate"/>
        </w:r>
        <w:r w:rsidR="0052115E">
          <w:rPr>
            <w:webHidden/>
          </w:rPr>
          <w:t>13</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3" w:history="1">
        <w:r w:rsidR="00115132" w:rsidRPr="00845928">
          <w:rPr>
            <w:rStyle w:val="Hyperlnk"/>
          </w:rPr>
          <w:t>3.1.6 Deltagande i kommissionens konsultationer</w:t>
        </w:r>
        <w:r w:rsidR="00115132">
          <w:rPr>
            <w:webHidden/>
          </w:rPr>
          <w:tab/>
        </w:r>
        <w:r w:rsidR="00115132">
          <w:rPr>
            <w:webHidden/>
          </w:rPr>
          <w:fldChar w:fldCharType="begin"/>
        </w:r>
        <w:r w:rsidR="00115132">
          <w:rPr>
            <w:webHidden/>
          </w:rPr>
          <w:instrText xml:space="preserve"> PAGEREF _Toc412712673 \h </w:instrText>
        </w:r>
        <w:r w:rsidR="00115132">
          <w:rPr>
            <w:webHidden/>
          </w:rPr>
        </w:r>
        <w:r w:rsidR="00115132">
          <w:rPr>
            <w:webHidden/>
          </w:rPr>
          <w:fldChar w:fldCharType="separate"/>
        </w:r>
        <w:r w:rsidR="0052115E">
          <w:rPr>
            <w:webHidden/>
          </w:rPr>
          <w:t>13</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4" w:history="1">
        <w:r w:rsidR="00115132" w:rsidRPr="00845928">
          <w:rPr>
            <w:rStyle w:val="Hyperlnk"/>
          </w:rPr>
          <w:t>3.1.7 Landskapets deltagande i den nationella beredningen av EU-ärenden</w:t>
        </w:r>
        <w:r w:rsidR="00115132">
          <w:rPr>
            <w:webHidden/>
          </w:rPr>
          <w:tab/>
        </w:r>
        <w:r w:rsidR="00115132">
          <w:rPr>
            <w:webHidden/>
          </w:rPr>
          <w:fldChar w:fldCharType="begin"/>
        </w:r>
        <w:r w:rsidR="00115132">
          <w:rPr>
            <w:webHidden/>
          </w:rPr>
          <w:instrText xml:space="preserve"> PAGEREF _Toc412712674 \h </w:instrText>
        </w:r>
        <w:r w:rsidR="00115132">
          <w:rPr>
            <w:webHidden/>
          </w:rPr>
        </w:r>
        <w:r w:rsidR="00115132">
          <w:rPr>
            <w:webHidden/>
          </w:rPr>
          <w:fldChar w:fldCharType="separate"/>
        </w:r>
        <w:r w:rsidR="0052115E">
          <w:rPr>
            <w:webHidden/>
          </w:rPr>
          <w:t>14</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75" w:history="1">
        <w:r w:rsidR="00115132" w:rsidRPr="00845928">
          <w:rPr>
            <w:rStyle w:val="Hyperlnk"/>
          </w:rPr>
          <w:t>3.2 Landskapets prioriteringar</w:t>
        </w:r>
        <w:r w:rsidR="00115132">
          <w:rPr>
            <w:webHidden/>
          </w:rPr>
          <w:tab/>
        </w:r>
        <w:r w:rsidR="00115132">
          <w:rPr>
            <w:webHidden/>
          </w:rPr>
          <w:fldChar w:fldCharType="begin"/>
        </w:r>
        <w:r w:rsidR="00115132">
          <w:rPr>
            <w:webHidden/>
          </w:rPr>
          <w:instrText xml:space="preserve"> PAGEREF _Toc412712675 \h </w:instrText>
        </w:r>
        <w:r w:rsidR="00115132">
          <w:rPr>
            <w:webHidden/>
          </w:rPr>
        </w:r>
        <w:r w:rsidR="00115132">
          <w:rPr>
            <w:webHidden/>
          </w:rPr>
          <w:fldChar w:fldCharType="separate"/>
        </w:r>
        <w:r w:rsidR="0052115E">
          <w:rPr>
            <w:webHidden/>
          </w:rPr>
          <w:t>15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6" w:history="1">
        <w:r w:rsidR="00115132" w:rsidRPr="00845928">
          <w:rPr>
            <w:rStyle w:val="Hyperlnk"/>
          </w:rPr>
          <w:t>3.2.1 Åländsk representation i Europaparlamentet</w:t>
        </w:r>
        <w:r w:rsidR="00115132">
          <w:rPr>
            <w:webHidden/>
          </w:rPr>
          <w:tab/>
        </w:r>
        <w:r w:rsidR="00115132">
          <w:rPr>
            <w:webHidden/>
          </w:rPr>
          <w:fldChar w:fldCharType="begin"/>
        </w:r>
        <w:r w:rsidR="00115132">
          <w:rPr>
            <w:webHidden/>
          </w:rPr>
          <w:instrText xml:space="preserve"> PAGEREF _Toc412712676 \h </w:instrText>
        </w:r>
        <w:r w:rsidR="00115132">
          <w:rPr>
            <w:webHidden/>
          </w:rPr>
        </w:r>
        <w:r w:rsidR="00115132">
          <w:rPr>
            <w:webHidden/>
          </w:rPr>
          <w:fldChar w:fldCharType="separate"/>
        </w:r>
        <w:r w:rsidR="0052115E">
          <w:rPr>
            <w:webHidden/>
          </w:rPr>
          <w:t>15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7" w:history="1">
        <w:r w:rsidR="00115132" w:rsidRPr="00845928">
          <w:rPr>
            <w:rStyle w:val="Hyperlnk"/>
          </w:rPr>
          <w:t>3.2.2 Statligt stöd</w:t>
        </w:r>
        <w:r w:rsidR="00115132">
          <w:rPr>
            <w:webHidden/>
          </w:rPr>
          <w:tab/>
        </w:r>
        <w:r w:rsidR="00115132">
          <w:rPr>
            <w:webHidden/>
          </w:rPr>
          <w:fldChar w:fldCharType="begin"/>
        </w:r>
        <w:r w:rsidR="00115132">
          <w:rPr>
            <w:webHidden/>
          </w:rPr>
          <w:instrText xml:space="preserve"> PAGEREF _Toc412712677 \h </w:instrText>
        </w:r>
        <w:r w:rsidR="00115132">
          <w:rPr>
            <w:webHidden/>
          </w:rPr>
        </w:r>
        <w:r w:rsidR="00115132">
          <w:rPr>
            <w:webHidden/>
          </w:rPr>
          <w:fldChar w:fldCharType="separate"/>
        </w:r>
        <w:r w:rsidR="0052115E">
          <w:rPr>
            <w:webHidden/>
          </w:rPr>
          <w:t>15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8" w:history="1">
        <w:r w:rsidR="00115132" w:rsidRPr="00845928">
          <w:rPr>
            <w:rStyle w:val="Hyperlnk"/>
          </w:rPr>
          <w:t>3.2.3 EU 2020 ur ett utbildnings- och kulturperspektiv</w:t>
        </w:r>
        <w:r w:rsidR="00115132">
          <w:rPr>
            <w:webHidden/>
          </w:rPr>
          <w:tab/>
        </w:r>
        <w:r w:rsidR="00115132">
          <w:rPr>
            <w:webHidden/>
          </w:rPr>
          <w:fldChar w:fldCharType="begin"/>
        </w:r>
        <w:r w:rsidR="00115132">
          <w:rPr>
            <w:webHidden/>
          </w:rPr>
          <w:instrText xml:space="preserve"> PAGEREF _Toc412712678 \h </w:instrText>
        </w:r>
        <w:r w:rsidR="00115132">
          <w:rPr>
            <w:webHidden/>
          </w:rPr>
        </w:r>
        <w:r w:rsidR="00115132">
          <w:rPr>
            <w:webHidden/>
          </w:rPr>
          <w:fldChar w:fldCharType="separate"/>
        </w:r>
        <w:r w:rsidR="0052115E">
          <w:rPr>
            <w:webHidden/>
          </w:rPr>
          <w:t>16</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79" w:history="1">
        <w:r w:rsidR="00115132" w:rsidRPr="00845928">
          <w:rPr>
            <w:rStyle w:val="Hyperlnk"/>
          </w:rPr>
          <w:t>3.2.4 Upphovsrätt</w:t>
        </w:r>
        <w:r w:rsidR="00115132">
          <w:rPr>
            <w:webHidden/>
          </w:rPr>
          <w:tab/>
        </w:r>
        <w:r w:rsidR="00115132">
          <w:rPr>
            <w:webHidden/>
          </w:rPr>
          <w:fldChar w:fldCharType="begin"/>
        </w:r>
        <w:r w:rsidR="00115132">
          <w:rPr>
            <w:webHidden/>
          </w:rPr>
          <w:instrText xml:space="preserve"> PAGEREF _Toc412712679 \h </w:instrText>
        </w:r>
        <w:r w:rsidR="00115132">
          <w:rPr>
            <w:webHidden/>
          </w:rPr>
        </w:r>
        <w:r w:rsidR="00115132">
          <w:rPr>
            <w:webHidden/>
          </w:rPr>
          <w:fldChar w:fldCharType="separate"/>
        </w:r>
        <w:r w:rsidR="0052115E">
          <w:rPr>
            <w:webHidden/>
          </w:rPr>
          <w:t>18</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0" w:history="1">
        <w:r w:rsidR="00115132" w:rsidRPr="00845928">
          <w:rPr>
            <w:rStyle w:val="Hyperlnk"/>
          </w:rPr>
          <w:t>3.2.5 Konsoliderad bolagsskattebas</w:t>
        </w:r>
        <w:r w:rsidR="00115132">
          <w:rPr>
            <w:webHidden/>
          </w:rPr>
          <w:tab/>
        </w:r>
        <w:r w:rsidR="00115132">
          <w:rPr>
            <w:webHidden/>
          </w:rPr>
          <w:fldChar w:fldCharType="begin"/>
        </w:r>
        <w:r w:rsidR="00115132">
          <w:rPr>
            <w:webHidden/>
          </w:rPr>
          <w:instrText xml:space="preserve"> PAGEREF _Toc412712680 \h </w:instrText>
        </w:r>
        <w:r w:rsidR="00115132">
          <w:rPr>
            <w:webHidden/>
          </w:rPr>
        </w:r>
        <w:r w:rsidR="00115132">
          <w:rPr>
            <w:webHidden/>
          </w:rPr>
          <w:fldChar w:fldCharType="separate"/>
        </w:r>
        <w:r w:rsidR="0052115E">
          <w:rPr>
            <w:webHidden/>
          </w:rPr>
          <w:t>18</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1" w:history="1">
        <w:r w:rsidR="00115132" w:rsidRPr="00845928">
          <w:rPr>
            <w:rStyle w:val="Hyperlnk"/>
          </w:rPr>
          <w:t>3.2.6 Framtida mervärdesskattesystem</w:t>
        </w:r>
        <w:r w:rsidR="00115132">
          <w:rPr>
            <w:webHidden/>
          </w:rPr>
          <w:tab/>
        </w:r>
        <w:r w:rsidR="00115132">
          <w:rPr>
            <w:webHidden/>
          </w:rPr>
          <w:fldChar w:fldCharType="begin"/>
        </w:r>
        <w:r w:rsidR="00115132">
          <w:rPr>
            <w:webHidden/>
          </w:rPr>
          <w:instrText xml:space="preserve"> PAGEREF _Toc412712681 \h </w:instrText>
        </w:r>
        <w:r w:rsidR="00115132">
          <w:rPr>
            <w:webHidden/>
          </w:rPr>
        </w:r>
        <w:r w:rsidR="00115132">
          <w:rPr>
            <w:webHidden/>
          </w:rPr>
          <w:fldChar w:fldCharType="separate"/>
        </w:r>
        <w:r w:rsidR="0052115E">
          <w:rPr>
            <w:webHidden/>
          </w:rPr>
          <w:t>19</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2" w:history="1">
        <w:r w:rsidR="00115132" w:rsidRPr="00845928">
          <w:rPr>
            <w:rStyle w:val="Hyperlnk"/>
          </w:rPr>
          <w:t>3.2.7 EU-program 2014-2020</w:t>
        </w:r>
        <w:r w:rsidR="00115132">
          <w:rPr>
            <w:webHidden/>
          </w:rPr>
          <w:tab/>
        </w:r>
        <w:r w:rsidR="00115132">
          <w:rPr>
            <w:webHidden/>
          </w:rPr>
          <w:fldChar w:fldCharType="begin"/>
        </w:r>
        <w:r w:rsidR="00115132">
          <w:rPr>
            <w:webHidden/>
          </w:rPr>
          <w:instrText xml:space="preserve"> PAGEREF _Toc412712682 \h </w:instrText>
        </w:r>
        <w:r w:rsidR="00115132">
          <w:rPr>
            <w:webHidden/>
          </w:rPr>
        </w:r>
        <w:r w:rsidR="00115132">
          <w:rPr>
            <w:webHidden/>
          </w:rPr>
          <w:fldChar w:fldCharType="separate"/>
        </w:r>
        <w:r w:rsidR="0052115E">
          <w:rPr>
            <w:webHidden/>
          </w:rPr>
          <w:t>19</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3" w:history="1">
        <w:r w:rsidR="00115132" w:rsidRPr="00845928">
          <w:rPr>
            <w:rStyle w:val="Hyperlnk"/>
          </w:rPr>
          <w:t>3.2.8 Jordbruk</w:t>
        </w:r>
        <w:r w:rsidR="00115132">
          <w:rPr>
            <w:webHidden/>
          </w:rPr>
          <w:tab/>
        </w:r>
        <w:r w:rsidR="00115132">
          <w:rPr>
            <w:webHidden/>
          </w:rPr>
          <w:fldChar w:fldCharType="begin"/>
        </w:r>
        <w:r w:rsidR="00115132">
          <w:rPr>
            <w:webHidden/>
          </w:rPr>
          <w:instrText xml:space="preserve"> PAGEREF _Toc412712683 \h </w:instrText>
        </w:r>
        <w:r w:rsidR="00115132">
          <w:rPr>
            <w:webHidden/>
          </w:rPr>
        </w:r>
        <w:r w:rsidR="00115132">
          <w:rPr>
            <w:webHidden/>
          </w:rPr>
          <w:fldChar w:fldCharType="separate"/>
        </w:r>
        <w:r w:rsidR="0052115E">
          <w:rPr>
            <w:webHidden/>
          </w:rPr>
          <w:t>20</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4" w:history="1">
        <w:r w:rsidR="00115132" w:rsidRPr="00845928">
          <w:rPr>
            <w:rStyle w:val="Hyperlnk"/>
          </w:rPr>
          <w:t>3.2.9 Skog</w:t>
        </w:r>
        <w:r w:rsidR="00115132">
          <w:rPr>
            <w:webHidden/>
          </w:rPr>
          <w:tab/>
        </w:r>
        <w:r w:rsidR="00115132">
          <w:rPr>
            <w:webHidden/>
          </w:rPr>
          <w:fldChar w:fldCharType="begin"/>
        </w:r>
        <w:r w:rsidR="00115132">
          <w:rPr>
            <w:webHidden/>
          </w:rPr>
          <w:instrText xml:space="preserve"> PAGEREF _Toc412712684 \h </w:instrText>
        </w:r>
        <w:r w:rsidR="00115132">
          <w:rPr>
            <w:webHidden/>
          </w:rPr>
        </w:r>
        <w:r w:rsidR="00115132">
          <w:rPr>
            <w:webHidden/>
          </w:rPr>
          <w:fldChar w:fldCharType="separate"/>
        </w:r>
        <w:r w:rsidR="0052115E">
          <w:rPr>
            <w:webHidden/>
          </w:rPr>
          <w:t>21</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5" w:history="1">
        <w:r w:rsidR="00115132" w:rsidRPr="00845928">
          <w:rPr>
            <w:rStyle w:val="Hyperlnk"/>
          </w:rPr>
          <w:t>3.2.10 Fiske</w:t>
        </w:r>
        <w:r w:rsidR="00115132">
          <w:rPr>
            <w:webHidden/>
          </w:rPr>
          <w:tab/>
        </w:r>
        <w:r w:rsidR="00115132">
          <w:rPr>
            <w:webHidden/>
          </w:rPr>
          <w:fldChar w:fldCharType="begin"/>
        </w:r>
        <w:r w:rsidR="00115132">
          <w:rPr>
            <w:webHidden/>
          </w:rPr>
          <w:instrText xml:space="preserve"> PAGEREF _Toc412712685 \h </w:instrText>
        </w:r>
        <w:r w:rsidR="00115132">
          <w:rPr>
            <w:webHidden/>
          </w:rPr>
        </w:r>
        <w:r w:rsidR="00115132">
          <w:rPr>
            <w:webHidden/>
          </w:rPr>
          <w:fldChar w:fldCharType="separate"/>
        </w:r>
        <w:r w:rsidR="0052115E">
          <w:rPr>
            <w:webHidden/>
          </w:rPr>
          <w:t>21</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6" w:history="1">
        <w:r w:rsidR="00115132" w:rsidRPr="00845928">
          <w:rPr>
            <w:rStyle w:val="Hyperlnk"/>
          </w:rPr>
          <w:t>3.2.11 Sjöfart</w:t>
        </w:r>
        <w:r w:rsidR="00115132">
          <w:rPr>
            <w:webHidden/>
          </w:rPr>
          <w:tab/>
        </w:r>
        <w:r w:rsidR="00115132">
          <w:rPr>
            <w:webHidden/>
          </w:rPr>
          <w:fldChar w:fldCharType="begin"/>
        </w:r>
        <w:r w:rsidR="00115132">
          <w:rPr>
            <w:webHidden/>
          </w:rPr>
          <w:instrText xml:space="preserve"> PAGEREF _Toc412712686 \h </w:instrText>
        </w:r>
        <w:r w:rsidR="00115132">
          <w:rPr>
            <w:webHidden/>
          </w:rPr>
        </w:r>
        <w:r w:rsidR="00115132">
          <w:rPr>
            <w:webHidden/>
          </w:rPr>
          <w:fldChar w:fldCharType="separate"/>
        </w:r>
        <w:r w:rsidR="0052115E">
          <w:rPr>
            <w:webHidden/>
          </w:rPr>
          <w:t>21</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7" w:history="1">
        <w:r w:rsidR="00115132" w:rsidRPr="00845928">
          <w:rPr>
            <w:rStyle w:val="Hyperlnk"/>
          </w:rPr>
          <w:t>3.2.12 Miljö</w:t>
        </w:r>
        <w:r w:rsidR="00115132">
          <w:rPr>
            <w:webHidden/>
          </w:rPr>
          <w:tab/>
        </w:r>
        <w:r w:rsidR="00115132">
          <w:rPr>
            <w:webHidden/>
          </w:rPr>
          <w:fldChar w:fldCharType="begin"/>
        </w:r>
        <w:r w:rsidR="00115132">
          <w:rPr>
            <w:webHidden/>
          </w:rPr>
          <w:instrText xml:space="preserve"> PAGEREF _Toc412712687 \h </w:instrText>
        </w:r>
        <w:r w:rsidR="00115132">
          <w:rPr>
            <w:webHidden/>
          </w:rPr>
        </w:r>
        <w:r w:rsidR="00115132">
          <w:rPr>
            <w:webHidden/>
          </w:rPr>
          <w:fldChar w:fldCharType="separate"/>
        </w:r>
        <w:r w:rsidR="0052115E">
          <w:rPr>
            <w:webHidden/>
          </w:rPr>
          <w:t>22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8" w:history="1">
        <w:r w:rsidR="00115132" w:rsidRPr="00845928">
          <w:rPr>
            <w:rStyle w:val="Hyperlnk"/>
          </w:rPr>
          <w:t>3.2.13 Energi</w:t>
        </w:r>
        <w:r w:rsidR="00115132">
          <w:rPr>
            <w:webHidden/>
          </w:rPr>
          <w:tab/>
        </w:r>
        <w:r w:rsidR="00115132">
          <w:rPr>
            <w:webHidden/>
          </w:rPr>
          <w:fldChar w:fldCharType="begin"/>
        </w:r>
        <w:r w:rsidR="00115132">
          <w:rPr>
            <w:webHidden/>
          </w:rPr>
          <w:instrText xml:space="preserve"> PAGEREF _Toc412712688 \h </w:instrText>
        </w:r>
        <w:r w:rsidR="00115132">
          <w:rPr>
            <w:webHidden/>
          </w:rPr>
        </w:r>
        <w:r w:rsidR="00115132">
          <w:rPr>
            <w:webHidden/>
          </w:rPr>
          <w:fldChar w:fldCharType="separate"/>
        </w:r>
        <w:r w:rsidR="0052115E">
          <w:rPr>
            <w:webHidden/>
          </w:rPr>
          <w:t>23</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89" w:history="1">
        <w:r w:rsidR="00115132" w:rsidRPr="00845928">
          <w:rPr>
            <w:rStyle w:val="Hyperlnk"/>
          </w:rPr>
          <w:t>3.2.14 EU-strategin för Östersjöområdet</w:t>
        </w:r>
        <w:r w:rsidR="00115132">
          <w:rPr>
            <w:webHidden/>
          </w:rPr>
          <w:tab/>
        </w:r>
        <w:r w:rsidR="00115132">
          <w:rPr>
            <w:webHidden/>
          </w:rPr>
          <w:fldChar w:fldCharType="begin"/>
        </w:r>
        <w:r w:rsidR="00115132">
          <w:rPr>
            <w:webHidden/>
          </w:rPr>
          <w:instrText xml:space="preserve"> PAGEREF _Toc412712689 \h </w:instrText>
        </w:r>
        <w:r w:rsidR="00115132">
          <w:rPr>
            <w:webHidden/>
          </w:rPr>
        </w:r>
        <w:r w:rsidR="00115132">
          <w:rPr>
            <w:webHidden/>
          </w:rPr>
          <w:fldChar w:fldCharType="separate"/>
        </w:r>
        <w:r w:rsidR="0052115E">
          <w:rPr>
            <w:webHidden/>
          </w:rPr>
          <w:t>23</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0" w:history="1">
        <w:r w:rsidR="00115132" w:rsidRPr="00845928">
          <w:rPr>
            <w:rStyle w:val="Hyperlnk"/>
          </w:rPr>
          <w:t>3.2.15 Onlinespel</w:t>
        </w:r>
        <w:r w:rsidR="00115132">
          <w:rPr>
            <w:webHidden/>
          </w:rPr>
          <w:tab/>
        </w:r>
        <w:r w:rsidR="00115132">
          <w:rPr>
            <w:webHidden/>
          </w:rPr>
          <w:fldChar w:fldCharType="begin"/>
        </w:r>
        <w:r w:rsidR="00115132">
          <w:rPr>
            <w:webHidden/>
          </w:rPr>
          <w:instrText xml:space="preserve"> PAGEREF _Toc412712690 \h </w:instrText>
        </w:r>
        <w:r w:rsidR="00115132">
          <w:rPr>
            <w:webHidden/>
          </w:rPr>
        </w:r>
        <w:r w:rsidR="00115132">
          <w:rPr>
            <w:webHidden/>
          </w:rPr>
          <w:fldChar w:fldCharType="separate"/>
        </w:r>
        <w:r w:rsidR="0052115E">
          <w:rPr>
            <w:webHidden/>
          </w:rPr>
          <w:t>24</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1" w:history="1">
        <w:r w:rsidR="00115132" w:rsidRPr="00845928">
          <w:rPr>
            <w:rStyle w:val="Hyperlnk"/>
          </w:rPr>
          <w:t>3.2.16 Bryta det sociala arvet - investera i barnens framtid</w:t>
        </w:r>
        <w:r w:rsidR="00115132">
          <w:rPr>
            <w:webHidden/>
          </w:rPr>
          <w:tab/>
        </w:r>
        <w:r w:rsidR="00115132">
          <w:rPr>
            <w:webHidden/>
          </w:rPr>
          <w:fldChar w:fldCharType="begin"/>
        </w:r>
        <w:r w:rsidR="00115132">
          <w:rPr>
            <w:webHidden/>
          </w:rPr>
          <w:instrText xml:space="preserve"> PAGEREF _Toc412712691 \h </w:instrText>
        </w:r>
        <w:r w:rsidR="00115132">
          <w:rPr>
            <w:webHidden/>
          </w:rPr>
        </w:r>
        <w:r w:rsidR="00115132">
          <w:rPr>
            <w:webHidden/>
          </w:rPr>
          <w:fldChar w:fldCharType="separate"/>
        </w:r>
        <w:r w:rsidR="0052115E">
          <w:rPr>
            <w:webHidden/>
          </w:rPr>
          <w:t>25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2" w:history="1">
        <w:r w:rsidR="00115132" w:rsidRPr="00845928">
          <w:rPr>
            <w:rStyle w:val="Hyperlnk"/>
          </w:rPr>
          <w:t>3.2.17 Jämställdhet</w:t>
        </w:r>
        <w:r w:rsidR="00115132">
          <w:rPr>
            <w:webHidden/>
          </w:rPr>
          <w:tab/>
        </w:r>
        <w:r w:rsidR="00115132">
          <w:rPr>
            <w:webHidden/>
          </w:rPr>
          <w:fldChar w:fldCharType="begin"/>
        </w:r>
        <w:r w:rsidR="00115132">
          <w:rPr>
            <w:webHidden/>
          </w:rPr>
          <w:instrText xml:space="preserve"> PAGEREF _Toc412712692 \h </w:instrText>
        </w:r>
        <w:r w:rsidR="00115132">
          <w:rPr>
            <w:webHidden/>
          </w:rPr>
        </w:r>
        <w:r w:rsidR="00115132">
          <w:rPr>
            <w:webHidden/>
          </w:rPr>
          <w:fldChar w:fldCharType="separate"/>
        </w:r>
        <w:r w:rsidR="0052115E">
          <w:rPr>
            <w:webHidden/>
          </w:rPr>
          <w:t>25</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3" w:history="1">
        <w:r w:rsidR="00115132" w:rsidRPr="00845928">
          <w:rPr>
            <w:rStyle w:val="Hyperlnk"/>
          </w:rPr>
          <w:t>3.2.18 Fond för europeiskt bistånd för dem som har det sämst ställt</w:t>
        </w:r>
        <w:r w:rsidR="00115132">
          <w:rPr>
            <w:webHidden/>
          </w:rPr>
          <w:tab/>
        </w:r>
        <w:r w:rsidR="00115132">
          <w:rPr>
            <w:webHidden/>
          </w:rPr>
          <w:fldChar w:fldCharType="begin"/>
        </w:r>
        <w:r w:rsidR="00115132">
          <w:rPr>
            <w:webHidden/>
          </w:rPr>
          <w:instrText xml:space="preserve"> PAGEREF _Toc412712693 \h </w:instrText>
        </w:r>
        <w:r w:rsidR="00115132">
          <w:rPr>
            <w:webHidden/>
          </w:rPr>
        </w:r>
        <w:r w:rsidR="00115132">
          <w:rPr>
            <w:webHidden/>
          </w:rPr>
          <w:fldChar w:fldCharType="separate"/>
        </w:r>
        <w:r w:rsidR="0052115E">
          <w:rPr>
            <w:webHidden/>
          </w:rPr>
          <w:t>26</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94" w:history="1">
        <w:r w:rsidR="00115132" w:rsidRPr="00845928">
          <w:rPr>
            <w:rStyle w:val="Hyperlnk"/>
          </w:rPr>
          <w:t>3.3 Sammanfattning av landskapsregeringens nya prioriteringar i kommissionens arbetsprogram för 2015</w:t>
        </w:r>
        <w:r w:rsidR="00115132">
          <w:rPr>
            <w:webHidden/>
          </w:rPr>
          <w:tab/>
        </w:r>
        <w:r w:rsidR="00115132">
          <w:rPr>
            <w:webHidden/>
          </w:rPr>
          <w:fldChar w:fldCharType="begin"/>
        </w:r>
        <w:r w:rsidR="00115132">
          <w:rPr>
            <w:webHidden/>
          </w:rPr>
          <w:instrText xml:space="preserve"> PAGEREF _Toc412712694 \h </w:instrText>
        </w:r>
        <w:r w:rsidR="00115132">
          <w:rPr>
            <w:webHidden/>
          </w:rPr>
        </w:r>
        <w:r w:rsidR="00115132">
          <w:rPr>
            <w:webHidden/>
          </w:rPr>
          <w:fldChar w:fldCharType="separate"/>
        </w:r>
        <w:r w:rsidR="0052115E">
          <w:rPr>
            <w:webHidden/>
          </w:rPr>
          <w:t>26</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695" w:history="1">
        <w:r w:rsidR="00115132" w:rsidRPr="00845928">
          <w:rPr>
            <w:rStyle w:val="Hyperlnk"/>
          </w:rPr>
          <w:t>3.4 Lagstiftning som kommit under 2014</w:t>
        </w:r>
        <w:r w:rsidR="00115132">
          <w:rPr>
            <w:webHidden/>
          </w:rPr>
          <w:tab/>
        </w:r>
        <w:r w:rsidR="00115132">
          <w:rPr>
            <w:webHidden/>
          </w:rPr>
          <w:fldChar w:fldCharType="begin"/>
        </w:r>
        <w:r w:rsidR="00115132">
          <w:rPr>
            <w:webHidden/>
          </w:rPr>
          <w:instrText xml:space="preserve"> PAGEREF _Toc412712695 \h </w:instrText>
        </w:r>
        <w:r w:rsidR="00115132">
          <w:rPr>
            <w:webHidden/>
          </w:rPr>
        </w:r>
        <w:r w:rsidR="00115132">
          <w:rPr>
            <w:webHidden/>
          </w:rPr>
          <w:fldChar w:fldCharType="separate"/>
        </w:r>
        <w:r w:rsidR="0052115E">
          <w:rPr>
            <w:webHidden/>
          </w:rPr>
          <w:t>29</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6" w:history="1">
        <w:r w:rsidR="00115132" w:rsidRPr="00845928">
          <w:rPr>
            <w:rStyle w:val="Hyperlnk"/>
          </w:rPr>
          <w:t>3.4.1 Ändring av tobaksdirektivet</w:t>
        </w:r>
        <w:r w:rsidR="00115132">
          <w:rPr>
            <w:webHidden/>
          </w:rPr>
          <w:tab/>
        </w:r>
        <w:r w:rsidR="00115132">
          <w:rPr>
            <w:webHidden/>
          </w:rPr>
          <w:fldChar w:fldCharType="begin"/>
        </w:r>
        <w:r w:rsidR="00115132">
          <w:rPr>
            <w:webHidden/>
          </w:rPr>
          <w:instrText xml:space="preserve"> PAGEREF _Toc412712696 \h </w:instrText>
        </w:r>
        <w:r w:rsidR="00115132">
          <w:rPr>
            <w:webHidden/>
          </w:rPr>
        </w:r>
        <w:r w:rsidR="00115132">
          <w:rPr>
            <w:webHidden/>
          </w:rPr>
          <w:fldChar w:fldCharType="separate"/>
        </w:r>
        <w:r w:rsidR="0052115E">
          <w:rPr>
            <w:webHidden/>
          </w:rPr>
          <w:t>29</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7" w:history="1">
        <w:r w:rsidR="00115132" w:rsidRPr="00845928">
          <w:rPr>
            <w:rStyle w:val="Hyperlnk"/>
          </w:rPr>
          <w:t>3.4.2 Fysisk planering i kust- och havsområden</w:t>
        </w:r>
        <w:r w:rsidR="00115132">
          <w:rPr>
            <w:webHidden/>
          </w:rPr>
          <w:tab/>
        </w:r>
        <w:r w:rsidR="00115132">
          <w:rPr>
            <w:webHidden/>
          </w:rPr>
          <w:fldChar w:fldCharType="begin"/>
        </w:r>
        <w:r w:rsidR="00115132">
          <w:rPr>
            <w:webHidden/>
          </w:rPr>
          <w:instrText xml:space="preserve"> PAGEREF _Toc412712697 \h </w:instrText>
        </w:r>
        <w:r w:rsidR="00115132">
          <w:rPr>
            <w:webHidden/>
          </w:rPr>
        </w:r>
        <w:r w:rsidR="00115132">
          <w:rPr>
            <w:webHidden/>
          </w:rPr>
          <w:fldChar w:fldCharType="separate"/>
        </w:r>
        <w:r w:rsidR="0052115E">
          <w:rPr>
            <w:webHidden/>
          </w:rPr>
          <w:t>30</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8" w:history="1">
        <w:r w:rsidR="00115132" w:rsidRPr="00845928">
          <w:rPr>
            <w:rStyle w:val="Hyperlnk"/>
          </w:rPr>
          <w:t>3.4.3 Invasiva arter</w:t>
        </w:r>
        <w:r w:rsidR="00115132">
          <w:rPr>
            <w:webHidden/>
          </w:rPr>
          <w:tab/>
        </w:r>
        <w:r w:rsidR="00115132">
          <w:rPr>
            <w:webHidden/>
          </w:rPr>
          <w:fldChar w:fldCharType="begin"/>
        </w:r>
        <w:r w:rsidR="00115132">
          <w:rPr>
            <w:webHidden/>
          </w:rPr>
          <w:instrText xml:space="preserve"> PAGEREF _Toc412712698 \h </w:instrText>
        </w:r>
        <w:r w:rsidR="00115132">
          <w:rPr>
            <w:webHidden/>
          </w:rPr>
        </w:r>
        <w:r w:rsidR="00115132">
          <w:rPr>
            <w:webHidden/>
          </w:rPr>
          <w:fldChar w:fldCharType="separate"/>
        </w:r>
        <w:r w:rsidR="0052115E">
          <w:rPr>
            <w:webHidden/>
          </w:rPr>
          <w:t>30</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699" w:history="1">
        <w:r w:rsidR="00115132" w:rsidRPr="00845928">
          <w:rPr>
            <w:rStyle w:val="Hyperlnk"/>
          </w:rPr>
          <w:t>3.4.4 Trafiksäkerhetspaketet</w:t>
        </w:r>
        <w:r w:rsidR="00115132">
          <w:rPr>
            <w:webHidden/>
          </w:rPr>
          <w:tab/>
        </w:r>
        <w:r w:rsidR="00115132">
          <w:rPr>
            <w:webHidden/>
          </w:rPr>
          <w:fldChar w:fldCharType="begin"/>
        </w:r>
        <w:r w:rsidR="00115132">
          <w:rPr>
            <w:webHidden/>
          </w:rPr>
          <w:instrText xml:space="preserve"> PAGEREF _Toc412712699 \h </w:instrText>
        </w:r>
        <w:r w:rsidR="00115132">
          <w:rPr>
            <w:webHidden/>
          </w:rPr>
        </w:r>
        <w:r w:rsidR="00115132">
          <w:rPr>
            <w:webHidden/>
          </w:rPr>
          <w:fldChar w:fldCharType="separate"/>
        </w:r>
        <w:r w:rsidR="0052115E">
          <w:rPr>
            <w:webHidden/>
          </w:rPr>
          <w:t>31</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700" w:history="1">
        <w:r w:rsidR="00115132" w:rsidRPr="00845928">
          <w:rPr>
            <w:rStyle w:val="Hyperlnk"/>
          </w:rPr>
          <w:t>3.4.5 Upphandling</w:t>
        </w:r>
        <w:r w:rsidR="00115132">
          <w:rPr>
            <w:webHidden/>
          </w:rPr>
          <w:tab/>
        </w:r>
        <w:r w:rsidR="00115132">
          <w:rPr>
            <w:webHidden/>
          </w:rPr>
          <w:fldChar w:fldCharType="begin"/>
        </w:r>
        <w:r w:rsidR="00115132">
          <w:rPr>
            <w:webHidden/>
          </w:rPr>
          <w:instrText xml:space="preserve"> PAGEREF _Toc412712700 \h </w:instrText>
        </w:r>
        <w:r w:rsidR="00115132">
          <w:rPr>
            <w:webHidden/>
          </w:rPr>
        </w:r>
        <w:r w:rsidR="00115132">
          <w:rPr>
            <w:webHidden/>
          </w:rPr>
          <w:fldChar w:fldCharType="separate"/>
        </w:r>
        <w:r w:rsidR="0052115E">
          <w:rPr>
            <w:webHidden/>
          </w:rPr>
          <w:t>31</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701" w:history="1">
        <w:r w:rsidR="00115132" w:rsidRPr="00845928">
          <w:rPr>
            <w:rStyle w:val="Hyperlnk"/>
          </w:rPr>
          <w:t>3.4.6 Tullkodexen och skattegränsen</w:t>
        </w:r>
        <w:r w:rsidR="00115132">
          <w:rPr>
            <w:webHidden/>
          </w:rPr>
          <w:tab/>
        </w:r>
        <w:r w:rsidR="00115132">
          <w:rPr>
            <w:webHidden/>
          </w:rPr>
          <w:fldChar w:fldCharType="begin"/>
        </w:r>
        <w:r w:rsidR="00115132">
          <w:rPr>
            <w:webHidden/>
          </w:rPr>
          <w:instrText xml:space="preserve"> PAGEREF _Toc412712701 \h </w:instrText>
        </w:r>
        <w:r w:rsidR="00115132">
          <w:rPr>
            <w:webHidden/>
          </w:rPr>
        </w:r>
        <w:r w:rsidR="00115132">
          <w:rPr>
            <w:webHidden/>
          </w:rPr>
          <w:fldChar w:fldCharType="separate"/>
        </w:r>
        <w:r w:rsidR="0052115E">
          <w:rPr>
            <w:webHidden/>
          </w:rPr>
          <w:t>32</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02" w:history="1">
        <w:r w:rsidR="00115132" w:rsidRPr="00845928">
          <w:rPr>
            <w:rStyle w:val="Hyperlnk"/>
          </w:rPr>
          <w:t>3.5 Landskapets arbete med EU-ärenden år 2014</w:t>
        </w:r>
        <w:r w:rsidR="00115132">
          <w:rPr>
            <w:webHidden/>
          </w:rPr>
          <w:tab/>
        </w:r>
        <w:r w:rsidR="00115132">
          <w:rPr>
            <w:webHidden/>
          </w:rPr>
          <w:fldChar w:fldCharType="begin"/>
        </w:r>
        <w:r w:rsidR="00115132">
          <w:rPr>
            <w:webHidden/>
          </w:rPr>
          <w:instrText xml:space="preserve"> PAGEREF _Toc412712702 \h </w:instrText>
        </w:r>
        <w:r w:rsidR="00115132">
          <w:rPr>
            <w:webHidden/>
          </w:rPr>
        </w:r>
        <w:r w:rsidR="00115132">
          <w:rPr>
            <w:webHidden/>
          </w:rPr>
          <w:fldChar w:fldCharType="separate"/>
        </w:r>
        <w:r w:rsidR="0052115E">
          <w:rPr>
            <w:webHidden/>
          </w:rPr>
          <w:t>32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703" w:history="1">
        <w:r w:rsidR="00115132" w:rsidRPr="00845928">
          <w:rPr>
            <w:rStyle w:val="Hyperlnk"/>
          </w:rPr>
          <w:t>3.5.1 Beredningen av EU-lagstiftning inom landskapet</w:t>
        </w:r>
        <w:r w:rsidR="00115132">
          <w:rPr>
            <w:webHidden/>
          </w:rPr>
          <w:tab/>
        </w:r>
        <w:r w:rsidR="00115132">
          <w:rPr>
            <w:webHidden/>
          </w:rPr>
          <w:fldChar w:fldCharType="begin"/>
        </w:r>
        <w:r w:rsidR="00115132">
          <w:rPr>
            <w:webHidden/>
          </w:rPr>
          <w:instrText xml:space="preserve"> PAGEREF _Toc412712703 \h </w:instrText>
        </w:r>
        <w:r w:rsidR="00115132">
          <w:rPr>
            <w:webHidden/>
          </w:rPr>
        </w:r>
        <w:r w:rsidR="00115132">
          <w:rPr>
            <w:webHidden/>
          </w:rPr>
          <w:fldChar w:fldCharType="separate"/>
        </w:r>
        <w:r w:rsidR="0052115E">
          <w:rPr>
            <w:webHidden/>
          </w:rPr>
          <w:t>32</w:t>
        </w:r>
        <w:r w:rsidR="00115132">
          <w:rPr>
            <w:webHidden/>
          </w:rPr>
          <w:fldChar w:fldCharType="end"/>
        </w:r>
      </w:hyperlink>
    </w:p>
    <w:p w:rsidR="00115132" w:rsidRDefault="004855BC">
      <w:pPr>
        <w:pStyle w:val="Innehll3"/>
        <w:rPr>
          <w:rFonts w:asciiTheme="minorHAnsi" w:eastAsiaTheme="minorEastAsia" w:hAnsiTheme="minorHAnsi" w:cstheme="minorBidi"/>
          <w:sz w:val="22"/>
          <w:szCs w:val="22"/>
          <w:lang w:val="sv-FI" w:eastAsia="sv-FI"/>
        </w:rPr>
      </w:pPr>
      <w:hyperlink w:anchor="_Toc412712704" w:history="1">
        <w:r w:rsidR="00115132" w:rsidRPr="00845928">
          <w:rPr>
            <w:rStyle w:val="Hyperlnk"/>
          </w:rPr>
          <w:t>3.5.2 Genomförandet av EU-lagstiftning inom landskapet</w:t>
        </w:r>
        <w:r w:rsidR="00115132">
          <w:rPr>
            <w:webHidden/>
          </w:rPr>
          <w:tab/>
        </w:r>
        <w:r w:rsidR="00115132">
          <w:rPr>
            <w:webHidden/>
          </w:rPr>
          <w:fldChar w:fldCharType="begin"/>
        </w:r>
        <w:r w:rsidR="00115132">
          <w:rPr>
            <w:webHidden/>
          </w:rPr>
          <w:instrText xml:space="preserve"> PAGEREF _Toc412712704 \h </w:instrText>
        </w:r>
        <w:r w:rsidR="00115132">
          <w:rPr>
            <w:webHidden/>
          </w:rPr>
        </w:r>
        <w:r w:rsidR="00115132">
          <w:rPr>
            <w:webHidden/>
          </w:rPr>
          <w:fldChar w:fldCharType="separate"/>
        </w:r>
        <w:r w:rsidR="0052115E">
          <w:rPr>
            <w:webHidden/>
          </w:rPr>
          <w:t>34</w:t>
        </w:r>
        <w:r w:rsidR="00115132">
          <w:rPr>
            <w:webHidden/>
          </w:rPr>
          <w:fldChar w:fldCharType="end"/>
        </w:r>
      </w:hyperlink>
    </w:p>
    <w:p w:rsidR="00115132" w:rsidRDefault="004855BC">
      <w:pPr>
        <w:pStyle w:val="Innehll1"/>
        <w:rPr>
          <w:rFonts w:asciiTheme="minorHAnsi" w:eastAsiaTheme="minorEastAsia" w:hAnsiTheme="minorHAnsi" w:cstheme="minorBidi"/>
          <w:sz w:val="22"/>
          <w:szCs w:val="22"/>
          <w:lang w:val="sv-FI" w:eastAsia="sv-FI"/>
        </w:rPr>
      </w:pPr>
      <w:hyperlink w:anchor="_Toc412712705" w:history="1">
        <w:r w:rsidR="00115132" w:rsidRPr="00845928">
          <w:rPr>
            <w:rStyle w:val="Hyperlnk"/>
          </w:rPr>
          <w:t>4. Övriga externa samarbeten</w:t>
        </w:r>
        <w:r w:rsidR="00115132">
          <w:rPr>
            <w:webHidden/>
          </w:rPr>
          <w:tab/>
        </w:r>
        <w:r w:rsidR="00115132">
          <w:rPr>
            <w:webHidden/>
          </w:rPr>
          <w:fldChar w:fldCharType="begin"/>
        </w:r>
        <w:r w:rsidR="00115132">
          <w:rPr>
            <w:webHidden/>
          </w:rPr>
          <w:instrText xml:space="preserve"> PAGEREF _Toc412712705 \h </w:instrText>
        </w:r>
        <w:r w:rsidR="00115132">
          <w:rPr>
            <w:webHidden/>
          </w:rPr>
        </w:r>
        <w:r w:rsidR="00115132">
          <w:rPr>
            <w:webHidden/>
          </w:rPr>
          <w:fldChar w:fldCharType="separate"/>
        </w:r>
        <w:r w:rsidR="0052115E">
          <w:rPr>
            <w:webHidden/>
          </w:rPr>
          <w:t>39</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06" w:history="1">
        <w:r w:rsidR="00115132" w:rsidRPr="00845928">
          <w:rPr>
            <w:rStyle w:val="Hyperlnk"/>
          </w:rPr>
          <w:t>4.1 IMO</w:t>
        </w:r>
        <w:r w:rsidR="00115132">
          <w:rPr>
            <w:webHidden/>
          </w:rPr>
          <w:tab/>
        </w:r>
        <w:r w:rsidR="00115132">
          <w:rPr>
            <w:webHidden/>
          </w:rPr>
          <w:fldChar w:fldCharType="begin"/>
        </w:r>
        <w:r w:rsidR="00115132">
          <w:rPr>
            <w:webHidden/>
          </w:rPr>
          <w:instrText xml:space="preserve"> PAGEREF _Toc412712706 \h </w:instrText>
        </w:r>
        <w:r w:rsidR="00115132">
          <w:rPr>
            <w:webHidden/>
          </w:rPr>
        </w:r>
        <w:r w:rsidR="00115132">
          <w:rPr>
            <w:webHidden/>
          </w:rPr>
          <w:fldChar w:fldCharType="separate"/>
        </w:r>
        <w:r w:rsidR="0052115E">
          <w:rPr>
            <w:webHidden/>
          </w:rPr>
          <w:t>39</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07" w:history="1">
        <w:r w:rsidR="00115132" w:rsidRPr="00845928">
          <w:rPr>
            <w:rStyle w:val="Hyperlnk"/>
          </w:rPr>
          <w:t>4.2 Team Finland</w:t>
        </w:r>
        <w:r w:rsidR="00115132">
          <w:rPr>
            <w:webHidden/>
          </w:rPr>
          <w:tab/>
        </w:r>
        <w:r w:rsidR="00115132">
          <w:rPr>
            <w:webHidden/>
          </w:rPr>
          <w:fldChar w:fldCharType="begin"/>
        </w:r>
        <w:r w:rsidR="00115132">
          <w:rPr>
            <w:webHidden/>
          </w:rPr>
          <w:instrText xml:space="preserve"> PAGEREF _Toc412712707 \h </w:instrText>
        </w:r>
        <w:r w:rsidR="00115132">
          <w:rPr>
            <w:webHidden/>
          </w:rPr>
        </w:r>
        <w:r w:rsidR="00115132">
          <w:rPr>
            <w:webHidden/>
          </w:rPr>
          <w:fldChar w:fldCharType="separate"/>
        </w:r>
        <w:r w:rsidR="0052115E">
          <w:rPr>
            <w:webHidden/>
          </w:rPr>
          <w:t>39</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08" w:history="1">
        <w:r w:rsidR="00115132" w:rsidRPr="00845928">
          <w:rPr>
            <w:rStyle w:val="Hyperlnk"/>
            <w:lang w:val="sv-FI"/>
          </w:rPr>
          <w:t>4.3 RegLeg</w:t>
        </w:r>
        <w:r w:rsidR="00115132">
          <w:rPr>
            <w:webHidden/>
          </w:rPr>
          <w:tab/>
        </w:r>
        <w:r w:rsidR="00115132">
          <w:rPr>
            <w:webHidden/>
          </w:rPr>
          <w:fldChar w:fldCharType="begin"/>
        </w:r>
        <w:r w:rsidR="00115132">
          <w:rPr>
            <w:webHidden/>
          </w:rPr>
          <w:instrText xml:space="preserve"> PAGEREF _Toc412712708 \h </w:instrText>
        </w:r>
        <w:r w:rsidR="00115132">
          <w:rPr>
            <w:webHidden/>
          </w:rPr>
        </w:r>
        <w:r w:rsidR="00115132">
          <w:rPr>
            <w:webHidden/>
          </w:rPr>
          <w:fldChar w:fldCharType="separate"/>
        </w:r>
        <w:r w:rsidR="0052115E">
          <w:rPr>
            <w:webHidden/>
          </w:rPr>
          <w:t>39</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09" w:history="1">
        <w:r w:rsidR="00115132" w:rsidRPr="00845928">
          <w:rPr>
            <w:rStyle w:val="Hyperlnk"/>
            <w:lang w:val="sv-FI"/>
          </w:rPr>
          <w:t>4.4 Central Baltic</w:t>
        </w:r>
        <w:r w:rsidR="00115132">
          <w:rPr>
            <w:webHidden/>
          </w:rPr>
          <w:tab/>
        </w:r>
        <w:r w:rsidR="00115132">
          <w:rPr>
            <w:webHidden/>
          </w:rPr>
          <w:fldChar w:fldCharType="begin"/>
        </w:r>
        <w:r w:rsidR="00115132">
          <w:rPr>
            <w:webHidden/>
          </w:rPr>
          <w:instrText xml:space="preserve"> PAGEREF _Toc412712709 \h </w:instrText>
        </w:r>
        <w:r w:rsidR="00115132">
          <w:rPr>
            <w:webHidden/>
          </w:rPr>
        </w:r>
        <w:r w:rsidR="00115132">
          <w:rPr>
            <w:webHidden/>
          </w:rPr>
          <w:fldChar w:fldCharType="separate"/>
        </w:r>
        <w:r w:rsidR="0052115E">
          <w:rPr>
            <w:webHidden/>
          </w:rPr>
          <w:t>39</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10" w:history="1">
        <w:r w:rsidR="00115132" w:rsidRPr="00845928">
          <w:rPr>
            <w:rStyle w:val="Hyperlnk"/>
          </w:rPr>
          <w:t>4.5 B7</w:t>
        </w:r>
        <w:r w:rsidR="00115132">
          <w:rPr>
            <w:webHidden/>
          </w:rPr>
          <w:tab/>
        </w:r>
        <w:r w:rsidR="00115132">
          <w:rPr>
            <w:webHidden/>
          </w:rPr>
          <w:fldChar w:fldCharType="begin"/>
        </w:r>
        <w:r w:rsidR="00115132">
          <w:rPr>
            <w:webHidden/>
          </w:rPr>
          <w:instrText xml:space="preserve"> PAGEREF _Toc412712710 \h </w:instrText>
        </w:r>
        <w:r w:rsidR="00115132">
          <w:rPr>
            <w:webHidden/>
          </w:rPr>
        </w:r>
        <w:r w:rsidR="00115132">
          <w:rPr>
            <w:webHidden/>
          </w:rPr>
          <w:fldChar w:fldCharType="separate"/>
        </w:r>
        <w:r w:rsidR="0052115E">
          <w:rPr>
            <w:webHidden/>
          </w:rPr>
          <w:t>40</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11" w:history="1">
        <w:r w:rsidR="00115132" w:rsidRPr="00845928">
          <w:rPr>
            <w:rStyle w:val="Hyperlnk"/>
          </w:rPr>
          <w:t>4.6 Kultursamarbete med Sverige</w:t>
        </w:r>
        <w:r w:rsidR="00115132">
          <w:rPr>
            <w:webHidden/>
          </w:rPr>
          <w:tab/>
        </w:r>
        <w:r w:rsidR="00115132">
          <w:rPr>
            <w:webHidden/>
          </w:rPr>
          <w:fldChar w:fldCharType="begin"/>
        </w:r>
        <w:r w:rsidR="00115132">
          <w:rPr>
            <w:webHidden/>
          </w:rPr>
          <w:instrText xml:space="preserve"> PAGEREF _Toc412712711 \h </w:instrText>
        </w:r>
        <w:r w:rsidR="00115132">
          <w:rPr>
            <w:webHidden/>
          </w:rPr>
        </w:r>
        <w:r w:rsidR="00115132">
          <w:rPr>
            <w:webHidden/>
          </w:rPr>
          <w:fldChar w:fldCharType="separate"/>
        </w:r>
        <w:r w:rsidR="0052115E">
          <w:rPr>
            <w:webHidden/>
          </w:rPr>
          <w:t>40</w:t>
        </w:r>
        <w:r w:rsidR="00115132">
          <w:rPr>
            <w:webHidden/>
          </w:rPr>
          <w:fldChar w:fldCharType="end"/>
        </w:r>
      </w:hyperlink>
    </w:p>
    <w:p w:rsidR="00115132" w:rsidRDefault="004855BC">
      <w:pPr>
        <w:pStyle w:val="Innehll2"/>
        <w:rPr>
          <w:rFonts w:asciiTheme="minorHAnsi" w:eastAsiaTheme="minorEastAsia" w:hAnsiTheme="minorHAnsi" w:cstheme="minorBidi"/>
          <w:sz w:val="22"/>
          <w:szCs w:val="22"/>
          <w:lang w:val="sv-FI" w:eastAsia="sv-FI"/>
        </w:rPr>
      </w:pPr>
      <w:hyperlink w:anchor="_Toc412712712" w:history="1">
        <w:r w:rsidR="00115132" w:rsidRPr="00845928">
          <w:rPr>
            <w:rStyle w:val="Hyperlnk"/>
            <w:lang w:val="sv-FI"/>
          </w:rPr>
          <w:t>4.7 BSPC – den parlamentariska Östersjökonferensen</w:t>
        </w:r>
        <w:r w:rsidR="00115132">
          <w:rPr>
            <w:webHidden/>
          </w:rPr>
          <w:tab/>
        </w:r>
        <w:r w:rsidR="00115132">
          <w:rPr>
            <w:webHidden/>
          </w:rPr>
          <w:fldChar w:fldCharType="begin"/>
        </w:r>
        <w:r w:rsidR="00115132">
          <w:rPr>
            <w:webHidden/>
          </w:rPr>
          <w:instrText xml:space="preserve"> PAGEREF _Toc412712712 \h </w:instrText>
        </w:r>
        <w:r w:rsidR="00115132">
          <w:rPr>
            <w:webHidden/>
          </w:rPr>
        </w:r>
        <w:r w:rsidR="00115132">
          <w:rPr>
            <w:webHidden/>
          </w:rPr>
          <w:fldChar w:fldCharType="separate"/>
        </w:r>
        <w:r w:rsidR="0052115E">
          <w:rPr>
            <w:webHidden/>
          </w:rPr>
          <w:t>41</w:t>
        </w:r>
        <w:r w:rsidR="00115132">
          <w:rPr>
            <w:webHidden/>
          </w:rPr>
          <w:fldChar w:fldCharType="end"/>
        </w:r>
      </w:hyperlink>
    </w:p>
    <w:p w:rsidR="00115132" w:rsidRDefault="004855BC">
      <w:pPr>
        <w:pStyle w:val="Innehll1"/>
        <w:rPr>
          <w:rFonts w:asciiTheme="minorHAnsi" w:eastAsiaTheme="minorEastAsia" w:hAnsiTheme="minorHAnsi" w:cstheme="minorBidi"/>
          <w:sz w:val="22"/>
          <w:szCs w:val="22"/>
          <w:lang w:val="sv-FI" w:eastAsia="sv-FI"/>
        </w:rPr>
      </w:pPr>
      <w:hyperlink w:anchor="_Toc412712713" w:history="1">
        <w:r w:rsidR="00115132" w:rsidRPr="00845928">
          <w:rPr>
            <w:rStyle w:val="Hyperlnk"/>
          </w:rPr>
          <w:t>5. Bilaga, Årsberättelse för aktiviteter i Nordiska ministerrådet 2014</w:t>
        </w:r>
        <w:r w:rsidR="00115132">
          <w:rPr>
            <w:webHidden/>
          </w:rPr>
          <w:tab/>
        </w:r>
        <w:r w:rsidR="00115132">
          <w:rPr>
            <w:webHidden/>
          </w:rPr>
          <w:fldChar w:fldCharType="begin"/>
        </w:r>
        <w:r w:rsidR="00115132">
          <w:rPr>
            <w:webHidden/>
          </w:rPr>
          <w:instrText xml:space="preserve"> PAGEREF _Toc412712713 \h </w:instrText>
        </w:r>
        <w:r w:rsidR="00115132">
          <w:rPr>
            <w:webHidden/>
          </w:rPr>
        </w:r>
        <w:r w:rsidR="00115132">
          <w:rPr>
            <w:webHidden/>
          </w:rPr>
          <w:fldChar w:fldCharType="separate"/>
        </w:r>
        <w:r w:rsidR="0052115E">
          <w:rPr>
            <w:webHidden/>
          </w:rPr>
          <w:t>41</w:t>
        </w:r>
        <w:r w:rsidR="00115132">
          <w:rPr>
            <w:webHidden/>
          </w:rPr>
          <w:fldChar w:fldCharType="end"/>
        </w:r>
      </w:hyperlink>
    </w:p>
    <w:p w:rsidR="0040709D" w:rsidRDefault="0040709D">
      <w:r>
        <w:rPr>
          <w:b/>
          <w:bCs/>
        </w:rPr>
        <w:fldChar w:fldCharType="end"/>
      </w:r>
    </w:p>
    <w:p w:rsidR="004406DE" w:rsidRDefault="005C2C87" w:rsidP="005C2C87">
      <w:pPr>
        <w:pStyle w:val="Rubrik1"/>
        <w:numPr>
          <w:ilvl w:val="0"/>
          <w:numId w:val="0"/>
        </w:numPr>
      </w:pPr>
      <w:bookmarkStart w:id="2" w:name="_Toc410897632"/>
      <w:bookmarkStart w:id="3" w:name="_Toc412712649"/>
      <w:bookmarkEnd w:id="1"/>
      <w:r w:rsidRPr="005C2C87">
        <w:rPr>
          <w:bCs w:val="0"/>
        </w:rPr>
        <w:lastRenderedPageBreak/>
        <w:t>1.</w:t>
      </w:r>
      <w:r>
        <w:t xml:space="preserve"> </w:t>
      </w:r>
      <w:r w:rsidR="004406DE" w:rsidRPr="00386441">
        <w:t>Inledning</w:t>
      </w:r>
      <w:bookmarkEnd w:id="2"/>
      <w:bookmarkEnd w:id="3"/>
    </w:p>
    <w:p w:rsidR="004E54CE" w:rsidRDefault="004E54CE" w:rsidP="00335F43">
      <w:bookmarkStart w:id="4" w:name="_Toc410897633"/>
      <w:r w:rsidRPr="004E54CE">
        <w:t>Europa står i d</w:t>
      </w:r>
      <w:r>
        <w:rPr>
          <w:bCs/>
        </w:rPr>
        <w:t>ag inför en rad utmaningar. D</w:t>
      </w:r>
      <w:r w:rsidRPr="004E54CE">
        <w:t>å allt fler län</w:t>
      </w:r>
      <w:r>
        <w:rPr>
          <w:bCs/>
        </w:rPr>
        <w:t>der har ekon</w:t>
      </w:r>
      <w:r>
        <w:rPr>
          <w:bCs/>
        </w:rPr>
        <w:t>o</w:t>
      </w:r>
      <w:r>
        <w:rPr>
          <w:bCs/>
        </w:rPr>
        <w:t>miska problem och konkurrenskraften och tillväxten är svag</w:t>
      </w:r>
      <w:r w:rsidRPr="004E54CE">
        <w:t xml:space="preserve"> har </w:t>
      </w:r>
      <w:r>
        <w:rPr>
          <w:bCs/>
        </w:rPr>
        <w:t xml:space="preserve">det </w:t>
      </w:r>
      <w:r w:rsidRPr="004E54CE">
        <w:t>krävts mycket av EU-</w:t>
      </w:r>
      <w:r w:rsidR="008B3251">
        <w:t>medlemsstatern</w:t>
      </w:r>
      <w:r w:rsidRPr="004E54CE">
        <w:t xml:space="preserve">a för att hitta lösningar för att trygga Euro-samarbetets fortlevnad. Även i Finland är den ekonomiska utvecklingen svag och nedskärningar inom den offentliga sektorn är att vänta. </w:t>
      </w:r>
    </w:p>
    <w:p w:rsidR="004E54CE" w:rsidRDefault="004E54CE" w:rsidP="00222FA5">
      <w:pPr>
        <w:ind w:firstLine="284"/>
        <w:rPr>
          <w:bCs/>
        </w:rPr>
      </w:pPr>
      <w:r w:rsidRPr="004E54CE">
        <w:t>Åland är till stor del beroende av export och import, varför den ekon</w:t>
      </w:r>
      <w:r w:rsidRPr="004E54CE">
        <w:t>o</w:t>
      </w:r>
      <w:r w:rsidRPr="004E54CE">
        <w:t>miska situationen i EU-</w:t>
      </w:r>
      <w:r w:rsidR="008B3251">
        <w:t>medlemsstat</w:t>
      </w:r>
      <w:r w:rsidRPr="004E54CE">
        <w:t>erna och sanktionerna gentemot Rys</w:t>
      </w:r>
      <w:r w:rsidRPr="004E54CE">
        <w:t>s</w:t>
      </w:r>
      <w:r w:rsidRPr="004E54CE">
        <w:t>land får direkta konsekvenser också för den åländska ekonomin. Som e</w:t>
      </w:r>
      <w:r w:rsidRPr="004E54CE">
        <w:t>x</w:t>
      </w:r>
      <w:r w:rsidRPr="004E54CE">
        <w:t>empel kan nämnas situationen för jordbrukssektorn i dagsläget där exe</w:t>
      </w:r>
      <w:r w:rsidRPr="004E54CE">
        <w:t>m</w:t>
      </w:r>
      <w:r w:rsidRPr="004E54CE">
        <w:t>pelvis lantbrukare drabbats hårt av de ekonomis</w:t>
      </w:r>
      <w:r w:rsidR="00E61207">
        <w:t>ka sanktionerna mot Rys</w:t>
      </w:r>
      <w:r w:rsidR="00E61207">
        <w:t>s</w:t>
      </w:r>
      <w:r w:rsidR="00E61207">
        <w:t>land vilket</w:t>
      </w:r>
      <w:r w:rsidRPr="004E54CE">
        <w:t xml:space="preserve"> lett till ett överflöd av jordbruksprodukter på EU-ma</w:t>
      </w:r>
      <w:r>
        <w:rPr>
          <w:bCs/>
        </w:rPr>
        <w:t xml:space="preserve">rknaden med prisras som följd. </w:t>
      </w:r>
    </w:p>
    <w:p w:rsidR="004E54CE" w:rsidRDefault="004E54CE" w:rsidP="00AA7EE6">
      <w:pPr>
        <w:ind w:firstLine="284"/>
        <w:rPr>
          <w:bCs/>
        </w:rPr>
      </w:pPr>
      <w:r w:rsidRPr="004E54CE">
        <w:t>Den säkerhetspolitiska situationen i Europa har drastiskt förändrats bara under de senaste åren. Den ökade risken för terroristattacker har drabbat de flesta EU-</w:t>
      </w:r>
      <w:r w:rsidR="008B3251">
        <w:t>medlemsstat</w:t>
      </w:r>
      <w:r w:rsidRPr="004E54CE">
        <w:t>er och även flera av de nordiska länderna. Det säke</w:t>
      </w:r>
      <w:r w:rsidRPr="004E54CE">
        <w:t>r</w:t>
      </w:r>
      <w:r w:rsidRPr="004E54CE">
        <w:t>hetspolitiska läget i Östersjön förändrades i och med Ukrainakonflikten. Åland är i detta sammanhang i en speciell situation i och med sitt geogr</w:t>
      </w:r>
      <w:r w:rsidRPr="004E54CE">
        <w:t>a</w:t>
      </w:r>
      <w:r w:rsidRPr="004E54CE">
        <w:t>fiska läge samt demilitarise</w:t>
      </w:r>
      <w:r>
        <w:rPr>
          <w:bCs/>
        </w:rPr>
        <w:t>rade och neutraliserade status.</w:t>
      </w:r>
    </w:p>
    <w:p w:rsidR="004E54CE" w:rsidRDefault="00721AE0" w:rsidP="00222FA5">
      <w:pPr>
        <w:ind w:firstLine="284"/>
      </w:pPr>
      <w:r>
        <w:t>Ett exempel på den allt</w:t>
      </w:r>
      <w:r w:rsidR="004E54CE" w:rsidRPr="004E54CE">
        <w:t>mer oroliga säkerhetspolitiska situationen i Ö</w:t>
      </w:r>
      <w:r w:rsidR="004E54CE" w:rsidRPr="004E54CE">
        <w:t>s</w:t>
      </w:r>
      <w:r w:rsidR="004E54CE" w:rsidRPr="004E54CE">
        <w:t>tersjöområdet är de kontrollbesök som ryska åklagarmyndigheten har gjort vid Nordiska ministerrådets kontor i St Petersburg. Rysslands justitiemin</w:t>
      </w:r>
      <w:r w:rsidR="004E54CE" w:rsidRPr="004E54CE">
        <w:t>i</w:t>
      </w:r>
      <w:r w:rsidR="004E54CE" w:rsidRPr="004E54CE">
        <w:t>sterium har lagt till ministerrådets kontor på en lista över utländska agenter. Åtgärden kommer starkt begränsa verksamheten som till stora delar har ställts in.</w:t>
      </w:r>
    </w:p>
    <w:p w:rsidR="004E54CE" w:rsidRDefault="004E54CE" w:rsidP="00222FA5">
      <w:pPr>
        <w:ind w:firstLine="284"/>
      </w:pPr>
      <w:r w:rsidRPr="004E54CE">
        <w:t>Det är ett faktum att världen står inför betydande klimatföränd</w:t>
      </w:r>
      <w:r w:rsidR="00815F0E">
        <w:t>r</w:t>
      </w:r>
      <w:r w:rsidRPr="004E54CE">
        <w:t>ing</w:t>
      </w:r>
      <w:r w:rsidR="00815F0E">
        <w:t xml:space="preserve">ar </w:t>
      </w:r>
      <w:r w:rsidRPr="004E54CE">
        <w:t xml:space="preserve">vilket kommer att kräva omfattande åtgärder och påverka hela samhället. Åland är genom sitt läge mitt i Östersjön beroende av samarbete med grannregionerna för att lösa miljöproblemen i Östersjön. </w:t>
      </w:r>
    </w:p>
    <w:p w:rsidR="004E54CE" w:rsidRDefault="004E54CE" w:rsidP="00222FA5">
      <w:pPr>
        <w:ind w:firstLine="284"/>
      </w:pPr>
      <w:r w:rsidRPr="004E54CE">
        <w:t xml:space="preserve">Alla de ovan nämnda faktorerna påverkar Åland men lösningen på dessa problem kräver ett </w:t>
      </w:r>
      <w:r w:rsidR="00721AE0">
        <w:t xml:space="preserve">internationellt </w:t>
      </w:r>
      <w:r w:rsidRPr="004E54CE">
        <w:t>samarbete i syfte att uppnå ökad harmon</w:t>
      </w:r>
      <w:r w:rsidRPr="004E54CE">
        <w:t>i</w:t>
      </w:r>
      <w:r w:rsidRPr="004E54CE">
        <w:t>sering. Av den orsaken är Ålands deltagande i lagstiftningsarbetet inom EU samt arbetet inom det nordiska samarbetet av stor betydelse, men även de övriga externa samarbetena där Åland deltar är viktiga för att ge Åland en möjlighet till inflytande.</w:t>
      </w:r>
    </w:p>
    <w:p w:rsidR="004E54CE" w:rsidRPr="003D4791" w:rsidRDefault="003D4791" w:rsidP="003D4791">
      <w:pPr>
        <w:ind w:firstLine="284"/>
        <w:rPr>
          <w:lang w:val="sv-FI"/>
        </w:rPr>
      </w:pPr>
      <w:r w:rsidRPr="003D4791">
        <w:rPr>
          <w:lang w:val="sv-FI"/>
        </w:rPr>
        <w:t>Det externa samarbetet blir allt viktigare för Åland och behöver därför bedrivas på ett strukturerat sätt och samordnas för att man ska uppnå bästa resultat. I detta meddelande redogörs för landskapsregeringens externa samarbete, inklusive det nordiska samarbetet</w:t>
      </w:r>
      <w:r w:rsidR="00954E37">
        <w:rPr>
          <w:lang w:val="sv-FI"/>
        </w:rPr>
        <w:t xml:space="preserve"> (kapitel 2), EU-samarbetet (kapitel 3) </w:t>
      </w:r>
      <w:r w:rsidRPr="003D4791">
        <w:rPr>
          <w:lang w:val="sv-FI"/>
        </w:rPr>
        <w:t>samt för landskapsregeringens prioritering</w:t>
      </w:r>
      <w:r w:rsidR="00954E37">
        <w:rPr>
          <w:lang w:val="sv-FI"/>
        </w:rPr>
        <w:t>ar för övrigt externt</w:t>
      </w:r>
      <w:r>
        <w:rPr>
          <w:lang w:val="sv-FI"/>
        </w:rPr>
        <w:t xml:space="preserve"> samarbete</w:t>
      </w:r>
      <w:r w:rsidR="00954E37">
        <w:rPr>
          <w:lang w:val="sv-FI"/>
        </w:rPr>
        <w:t xml:space="preserve"> (kapitel 4)</w:t>
      </w:r>
      <w:r>
        <w:rPr>
          <w:lang w:val="sv-FI"/>
        </w:rPr>
        <w:t xml:space="preserve">. </w:t>
      </w:r>
    </w:p>
    <w:p w:rsidR="004406DE" w:rsidRPr="004406DE" w:rsidRDefault="004406DE" w:rsidP="004E54CE">
      <w:pPr>
        <w:pStyle w:val="Rubrik1"/>
        <w:numPr>
          <w:ilvl w:val="0"/>
          <w:numId w:val="0"/>
        </w:numPr>
      </w:pPr>
      <w:bookmarkStart w:id="5" w:name="_Toc412712650"/>
      <w:r w:rsidRPr="004406DE">
        <w:t xml:space="preserve">2. </w:t>
      </w:r>
      <w:r w:rsidRPr="00386441">
        <w:t>Nordiska</w:t>
      </w:r>
      <w:r w:rsidRPr="004406DE">
        <w:t xml:space="preserve"> </w:t>
      </w:r>
      <w:r w:rsidRPr="00386441">
        <w:t>ministerrådet</w:t>
      </w:r>
      <w:bookmarkEnd w:id="4"/>
      <w:bookmarkEnd w:id="5"/>
    </w:p>
    <w:p w:rsidR="004406DE" w:rsidRPr="004406DE" w:rsidRDefault="00537B61" w:rsidP="00222FA5">
      <w:r>
        <w:t xml:space="preserve">I det här kapitlet redogör landskapsregeringen </w:t>
      </w:r>
      <w:r w:rsidR="004406DE" w:rsidRPr="004406DE">
        <w:t>för sina prioriteringar i arb</w:t>
      </w:r>
      <w:r w:rsidR="004406DE" w:rsidRPr="004406DE">
        <w:t>e</w:t>
      </w:r>
      <w:r w:rsidR="004406DE" w:rsidRPr="004406DE">
        <w:t>tet i Nordiska ministerrådet. Prioriteringarna är till vissa delar av övergr</w:t>
      </w:r>
      <w:r w:rsidR="004406DE" w:rsidRPr="004406DE">
        <w:t>i</w:t>
      </w:r>
      <w:r w:rsidR="004406DE" w:rsidRPr="004406DE">
        <w:t>pande art och kan därför sträcka sig över en längre period än det kommande året. Nordiska ministerrådets arbete består till stor del av projektbeviljnin</w:t>
      </w:r>
      <w:r w:rsidR="004406DE" w:rsidRPr="004406DE">
        <w:t>g</w:t>
      </w:r>
      <w:r w:rsidR="004406DE" w:rsidRPr="004406DE">
        <w:t xml:space="preserve">ar och beslut om samarbetsprogram varför en konkret ärendeförteckning för </w:t>
      </w:r>
      <w:r w:rsidR="00150D02">
        <w:t>2015</w:t>
      </w:r>
      <w:r w:rsidR="004406DE" w:rsidRPr="004406DE">
        <w:t xml:space="preserve"> saknas. Nedanstående prioriteringar speglar ändå de strategiskt lån</w:t>
      </w:r>
      <w:r w:rsidR="004406DE" w:rsidRPr="004406DE">
        <w:t>g</w:t>
      </w:r>
      <w:r w:rsidR="004406DE" w:rsidRPr="004406DE">
        <w:t>siktiga visioner som respektive ministerråd planerar sitt arbete kring.</w:t>
      </w:r>
    </w:p>
    <w:p w:rsidR="004406DE" w:rsidRPr="004406DE" w:rsidRDefault="004406DE" w:rsidP="00023C6C">
      <w:pPr>
        <w:ind w:firstLine="284"/>
      </w:pPr>
      <w:r w:rsidRPr="004406DE">
        <w:t>Årsberättelsen för landskapsregeringens verksamhet i ministerrådet 2014 ligger som bilaga till detta meddelande.</w:t>
      </w:r>
    </w:p>
    <w:p w:rsidR="004406DE" w:rsidRPr="004406DE" w:rsidRDefault="004406DE" w:rsidP="00386441">
      <w:pPr>
        <w:pStyle w:val="Rubrik2"/>
      </w:pPr>
      <w:bookmarkStart w:id="6" w:name="_Toc410897634"/>
      <w:bookmarkStart w:id="7" w:name="_Toc412712651"/>
      <w:r w:rsidRPr="004406DE">
        <w:lastRenderedPageBreak/>
        <w:t xml:space="preserve">2.1 Ålands möjlighet att påverka </w:t>
      </w:r>
      <w:r w:rsidR="00E61207">
        <w:t>i det</w:t>
      </w:r>
      <w:r w:rsidRPr="004406DE">
        <w:t xml:space="preserve"> </w:t>
      </w:r>
      <w:r w:rsidRPr="00386441">
        <w:t>nordiska</w:t>
      </w:r>
      <w:r w:rsidRPr="004406DE">
        <w:t xml:space="preserve"> sama</w:t>
      </w:r>
      <w:r w:rsidRPr="004406DE">
        <w:t>r</w:t>
      </w:r>
      <w:r w:rsidRPr="004406DE">
        <w:t>betet</w:t>
      </w:r>
      <w:bookmarkEnd w:id="6"/>
      <w:bookmarkEnd w:id="7"/>
    </w:p>
    <w:p w:rsidR="005242BE" w:rsidRPr="005242BE" w:rsidRDefault="005242BE" w:rsidP="00222FA5">
      <w:r w:rsidRPr="005242BE">
        <w:t>Ålands landskapsregering deltar i det formella nordiska samarbetet genom Nordiska ministerrådet. I Nordiska ministerrådet deltar de fem nordiska länderna samt Färöarna, Grönland och Åland. Trots namnet finns det inte bara ett ministerråd utan tio fackministerråd och ett samordnande</w:t>
      </w:r>
      <w:r>
        <w:t xml:space="preserve"> ministe</w:t>
      </w:r>
      <w:r>
        <w:t>r</w:t>
      </w:r>
      <w:r>
        <w:t>råd</w:t>
      </w:r>
      <w:r w:rsidRPr="005242BE">
        <w:t>.</w:t>
      </w:r>
      <w:r w:rsidR="001707B5">
        <w:t xml:space="preserve"> Under var</w:t>
      </w:r>
      <w:r w:rsidR="009D4429">
        <w:t>j</w:t>
      </w:r>
      <w:r w:rsidR="001707B5">
        <w:t>e ministerråd finns</w:t>
      </w:r>
      <w:r w:rsidR="001707B5" w:rsidRPr="001707B5">
        <w:t xml:space="preserve"> ämbetsmannakommittéer</w:t>
      </w:r>
      <w:r w:rsidR="001707B5">
        <w:t xml:space="preserve">, i vilka </w:t>
      </w:r>
      <w:r w:rsidR="001707B5" w:rsidRPr="001707B5">
        <w:t>ingår tjänstemän från de fem nordiska länderna samt Färöarna, Grön</w:t>
      </w:r>
      <w:r w:rsidR="001707B5">
        <w:t xml:space="preserve">land och Åland. </w:t>
      </w:r>
      <w:proofErr w:type="gramStart"/>
      <w:r w:rsidR="00220475">
        <w:t>Ämbets</w:t>
      </w:r>
      <w:r w:rsidR="001707B5">
        <w:t xml:space="preserve">mannakommittéerna </w:t>
      </w:r>
      <w:r w:rsidR="001707B5" w:rsidRPr="001707B5">
        <w:t xml:space="preserve"> förbereder</w:t>
      </w:r>
      <w:proofErr w:type="gramEnd"/>
      <w:r w:rsidR="001707B5" w:rsidRPr="001707B5">
        <w:t xml:space="preserve"> och följer upp ministe</w:t>
      </w:r>
      <w:r w:rsidR="001707B5" w:rsidRPr="001707B5">
        <w:t>r</w:t>
      </w:r>
      <w:r w:rsidR="001707B5" w:rsidRPr="001707B5">
        <w:t>rådsmötena.</w:t>
      </w:r>
    </w:p>
    <w:p w:rsidR="004406DE" w:rsidRPr="004406DE" w:rsidRDefault="004406DE" w:rsidP="00023C6C">
      <w:pPr>
        <w:ind w:firstLine="284"/>
      </w:pPr>
      <w:r w:rsidRPr="004406DE">
        <w:t xml:space="preserve">Åland deltar i de </w:t>
      </w:r>
      <w:r w:rsidRPr="00C45D55">
        <w:t xml:space="preserve">elva </w:t>
      </w:r>
      <w:r w:rsidRPr="009D4429">
        <w:t>ministerråden och ämbetsmannakommittéerna</w:t>
      </w:r>
      <w:r w:rsidRPr="004406DE">
        <w:t xml:space="preserve"> med full yttranderätt. I de fall en eventuell omröstning äger rum har Åland tillsammans med Färöarna och Grönland ingen rösträtt. I praktik</w:t>
      </w:r>
      <w:r w:rsidR="00A42C83">
        <w:t>en sker aldrig omröstningar då</w:t>
      </w:r>
      <w:r w:rsidRPr="004406DE">
        <w:t xml:space="preserve"> en princip om konsensus råder. Landskapsregerin</w:t>
      </w:r>
      <w:r w:rsidRPr="004406DE">
        <w:t>g</w:t>
      </w:r>
      <w:r w:rsidRPr="004406DE">
        <w:t>en anser att Åland har goda möjligheter att påverka diskussioner av bet</w:t>
      </w:r>
      <w:r w:rsidRPr="004406DE">
        <w:t>y</w:t>
      </w:r>
      <w:r w:rsidRPr="004406DE">
        <w:t xml:space="preserve">delse för landskapet. </w:t>
      </w:r>
    </w:p>
    <w:p w:rsidR="004406DE" w:rsidRPr="00BD31C9" w:rsidRDefault="00AC0367" w:rsidP="00023C6C">
      <w:pPr>
        <w:ind w:firstLine="284"/>
      </w:pPr>
      <w:r w:rsidRPr="004406DE">
        <w:t xml:space="preserve">Landskapsregeringens </w:t>
      </w:r>
      <w:r w:rsidRPr="00BD31C9">
        <w:t xml:space="preserve">ministrar är medlemmar i Ålands delegation. </w:t>
      </w:r>
      <w:r w:rsidR="004406DE" w:rsidRPr="00BD31C9">
        <w:t xml:space="preserve">Landskapsregeringen har ett nära samarbete i nordiska frågor med Ålands lagting. Den samsyn som ofta finns i olika frågor är en unik styrka </w:t>
      </w:r>
      <w:r w:rsidRPr="00BD31C9">
        <w:t>och u</w:t>
      </w:r>
      <w:r w:rsidRPr="00BD31C9">
        <w:t>n</w:t>
      </w:r>
      <w:r w:rsidRPr="00BD31C9">
        <w:t xml:space="preserve">derlättar </w:t>
      </w:r>
      <w:r w:rsidR="004406DE" w:rsidRPr="00BD31C9">
        <w:t>Ålands möjligheter att göra sin röst hörd såväl i Nordiska m</w:t>
      </w:r>
      <w:r w:rsidR="004406DE" w:rsidRPr="00BD31C9">
        <w:t>i</w:t>
      </w:r>
      <w:r w:rsidR="004406DE" w:rsidRPr="00BD31C9">
        <w:t>nisterrådet s</w:t>
      </w:r>
      <w:r w:rsidR="00E61207" w:rsidRPr="00BD31C9">
        <w:t>om i Nordiska rådet. Det n</w:t>
      </w:r>
      <w:r w:rsidR="004406DE" w:rsidRPr="00BD31C9">
        <w:t>ordiska s</w:t>
      </w:r>
      <w:r w:rsidR="007F4388" w:rsidRPr="00BD31C9">
        <w:t>amarbetet utgör också Ålands viktigaste</w:t>
      </w:r>
      <w:r w:rsidR="004406DE" w:rsidRPr="00BD31C9">
        <w:t xml:space="preserve"> formella plattform för utrikesfrågor. </w:t>
      </w:r>
    </w:p>
    <w:p w:rsidR="004406DE" w:rsidRPr="00BD31C9" w:rsidRDefault="004406DE" w:rsidP="00386441">
      <w:pPr>
        <w:pStyle w:val="Rubrik2"/>
      </w:pPr>
      <w:bookmarkStart w:id="8" w:name="_Toc410897635"/>
      <w:bookmarkStart w:id="9" w:name="_Toc412712652"/>
      <w:r w:rsidRPr="00BD31C9">
        <w:t>2.2 Kommande ordförandeskap</w:t>
      </w:r>
      <w:bookmarkEnd w:id="8"/>
      <w:bookmarkEnd w:id="9"/>
    </w:p>
    <w:p w:rsidR="004406DE" w:rsidRPr="009B2778" w:rsidRDefault="004406DE" w:rsidP="00222FA5">
      <w:r w:rsidRPr="00BD31C9">
        <w:t>Under 2015 är det Danmark som i egenskap av ordförande leder arbetet i de elva fackministerråden. Danmark har inför sitt ordförandeskap lagt stor vikt vid att involvera Färöarna och Grönland i planeringen och genomförandet av ordförandeskapet, vars tema är</w:t>
      </w:r>
      <w:r w:rsidRPr="004406DE">
        <w:t xml:space="preserve"> ”Till</w:t>
      </w:r>
      <w:r w:rsidR="00ED104C">
        <w:t>växt, välfärd och värderingar”.</w:t>
      </w:r>
      <w:r w:rsidR="00E61207">
        <w:t xml:space="preserve"> </w:t>
      </w:r>
    </w:p>
    <w:p w:rsidR="004406DE" w:rsidRPr="00ED104C" w:rsidRDefault="00ED104C" w:rsidP="00023C6C">
      <w:pPr>
        <w:ind w:firstLine="284"/>
      </w:pPr>
      <w:r w:rsidRPr="009B2778">
        <w:t>Finland</w:t>
      </w:r>
      <w:r w:rsidR="00E61207">
        <w:t xml:space="preserve"> inn</w:t>
      </w:r>
      <w:r w:rsidR="007F4388">
        <w:t>e</w:t>
      </w:r>
      <w:r w:rsidR="00E61207">
        <w:t xml:space="preserve">har </w:t>
      </w:r>
      <w:r w:rsidRPr="009B2778">
        <w:t>ordförandeskapet</w:t>
      </w:r>
      <w:r w:rsidR="00E61207">
        <w:t xml:space="preserve"> 2016</w:t>
      </w:r>
      <w:r w:rsidRPr="009B2778">
        <w:t>, vilket innebär att planeringen</w:t>
      </w:r>
      <w:r w:rsidRPr="00ED104C">
        <w:t xml:space="preserve"> för </w:t>
      </w:r>
      <w:r w:rsidR="00E61207">
        <w:t>ordförandeskapet redan</w:t>
      </w:r>
      <w:r w:rsidRPr="00ED104C">
        <w:t xml:space="preserve"> inletts. </w:t>
      </w:r>
      <w:r w:rsidR="004406DE" w:rsidRPr="00ED104C">
        <w:t>Tjänstemän från utrikesministeriet har avlagt två besök på Åland</w:t>
      </w:r>
      <w:r w:rsidRPr="00ED104C">
        <w:t>, under vilka</w:t>
      </w:r>
      <w:r w:rsidR="004406DE" w:rsidRPr="00ED104C">
        <w:t xml:space="preserve"> Ålands roll och deltagande i plan</w:t>
      </w:r>
      <w:r w:rsidR="004406DE" w:rsidRPr="00ED104C">
        <w:t>e</w:t>
      </w:r>
      <w:r w:rsidR="004406DE" w:rsidRPr="00ED104C">
        <w:t>ring</w:t>
      </w:r>
      <w:r w:rsidRPr="00ED104C">
        <w:t>en</w:t>
      </w:r>
      <w:r w:rsidR="004406DE" w:rsidRPr="00ED104C">
        <w:t xml:space="preserve"> och genomförande</w:t>
      </w:r>
      <w:r w:rsidRPr="00ED104C">
        <w:t>t av ordförandeskapet</w:t>
      </w:r>
      <w:r w:rsidR="004406DE" w:rsidRPr="00ED104C">
        <w:t xml:space="preserve"> har stått på agendan. Mö</w:t>
      </w:r>
      <w:r w:rsidR="004406DE" w:rsidRPr="00ED104C">
        <w:t>j</w:t>
      </w:r>
      <w:r w:rsidR="004406DE" w:rsidRPr="00ED104C">
        <w:t>ligheterna för</w:t>
      </w:r>
      <w:r w:rsidRPr="00ED104C">
        <w:t xml:space="preserve"> att placera ministerråds</w:t>
      </w:r>
      <w:r w:rsidR="004406DE" w:rsidRPr="00ED104C">
        <w:t>möte</w:t>
      </w:r>
      <w:r w:rsidRPr="00ED104C">
        <w:t>n</w:t>
      </w:r>
      <w:r w:rsidR="004406DE" w:rsidRPr="00ED104C">
        <w:t xml:space="preserve"> på Åland har diskuterats och potentiella möteslokaler </w:t>
      </w:r>
      <w:r w:rsidRPr="00ED104C">
        <w:t xml:space="preserve">har </w:t>
      </w:r>
      <w:r w:rsidR="004406DE" w:rsidRPr="00ED104C">
        <w:t xml:space="preserve">besökts. Landskapsregeringen har </w:t>
      </w:r>
      <w:r w:rsidRPr="00ED104C">
        <w:t xml:space="preserve">även </w:t>
      </w:r>
      <w:r w:rsidR="004406DE" w:rsidRPr="00ED104C">
        <w:t>en r</w:t>
      </w:r>
      <w:r w:rsidR="004406DE" w:rsidRPr="00ED104C">
        <w:t>e</w:t>
      </w:r>
      <w:r w:rsidR="004406DE" w:rsidRPr="00ED104C">
        <w:t xml:space="preserve">presentant i utrikesministeriets planeringsgrupp i Helsingfors. </w:t>
      </w:r>
      <w:r w:rsidRPr="00ED104C">
        <w:t>De tjänst</w:t>
      </w:r>
      <w:r w:rsidRPr="00ED104C">
        <w:t>e</w:t>
      </w:r>
      <w:r w:rsidRPr="00ED104C">
        <w:t>män</w:t>
      </w:r>
      <w:r w:rsidR="004406DE" w:rsidRPr="00ED104C">
        <w:t xml:space="preserve"> som representerar landskapsregeringen </w:t>
      </w:r>
      <w:r w:rsidRPr="00ED104C">
        <w:t>i de olika ämbetsmannako</w:t>
      </w:r>
      <w:r w:rsidRPr="00ED104C">
        <w:t>m</w:t>
      </w:r>
      <w:r w:rsidRPr="00ED104C">
        <w:t>mitté</w:t>
      </w:r>
      <w:r w:rsidR="009B2778">
        <w:t>e</w:t>
      </w:r>
      <w:r w:rsidRPr="00ED104C">
        <w:t xml:space="preserve">rna </w:t>
      </w:r>
      <w:r w:rsidR="004406DE" w:rsidRPr="00ED104C">
        <w:t>har uppma</w:t>
      </w:r>
      <w:r w:rsidRPr="00ED104C">
        <w:t xml:space="preserve">nats </w:t>
      </w:r>
      <w:r w:rsidR="004406DE" w:rsidRPr="00ED104C">
        <w:t xml:space="preserve">arbeta för att möten </w:t>
      </w:r>
      <w:r w:rsidRPr="00ED104C">
        <w:t xml:space="preserve">ska </w:t>
      </w:r>
      <w:r w:rsidR="004406DE" w:rsidRPr="00ED104C">
        <w:t>förlägg</w:t>
      </w:r>
      <w:r w:rsidRPr="00ED104C">
        <w:t>a</w:t>
      </w:r>
      <w:r w:rsidR="004406DE" w:rsidRPr="00ED104C">
        <w:t xml:space="preserve">s till Åland </w:t>
      </w:r>
      <w:r w:rsidRPr="00ED104C">
        <w:t>samt för</w:t>
      </w:r>
      <w:r w:rsidR="004406DE" w:rsidRPr="00ED104C">
        <w:t xml:space="preserve"> att ge Åland synlighet i det kommande ordförandeprogrammet.</w:t>
      </w:r>
    </w:p>
    <w:p w:rsidR="00386441" w:rsidRDefault="004406DE" w:rsidP="00802A9F">
      <w:pPr>
        <w:pStyle w:val="Rubrik2"/>
      </w:pPr>
      <w:bookmarkStart w:id="10" w:name="_Toc410897636"/>
      <w:bookmarkStart w:id="11" w:name="_Toc412712653"/>
      <w:r w:rsidRPr="004406DE">
        <w:t>2.3 Övergripande prioriteringar</w:t>
      </w:r>
      <w:bookmarkEnd w:id="10"/>
      <w:bookmarkEnd w:id="11"/>
    </w:p>
    <w:p w:rsidR="004406DE" w:rsidRPr="004406DE" w:rsidRDefault="004406DE" w:rsidP="00386441">
      <w:pPr>
        <w:pStyle w:val="Rubrik3"/>
      </w:pPr>
      <w:bookmarkStart w:id="12" w:name="_Toc410897637"/>
      <w:bookmarkStart w:id="13" w:name="_Toc412712654"/>
      <w:r w:rsidRPr="004406DE">
        <w:t>2.3.1 Språket</w:t>
      </w:r>
      <w:bookmarkEnd w:id="12"/>
      <w:bookmarkEnd w:id="13"/>
    </w:p>
    <w:p w:rsidR="004406DE" w:rsidRPr="004406DE" w:rsidRDefault="004406DE" w:rsidP="00222FA5">
      <w:r w:rsidRPr="004406DE">
        <w:t xml:space="preserve">Åland har inom </w:t>
      </w:r>
      <w:r w:rsidRPr="00C45D55">
        <w:t>ramen för Expertgruppen Nordens språkråd (ENS) i likhet</w:t>
      </w:r>
      <w:r w:rsidRPr="004406DE">
        <w:t xml:space="preserve"> med övriga nordiska länder deltagit i arbetet med att revidera den nordiska språkkonventionen. Åland avser att även fortsättningsvis driva språkfrågan aktivt för att bland annat öka förståelsen av nordiska språk bland barn och unga.</w:t>
      </w:r>
    </w:p>
    <w:p w:rsidR="004406DE" w:rsidRDefault="004406DE" w:rsidP="00023C6C">
      <w:pPr>
        <w:ind w:firstLine="284"/>
      </w:pPr>
      <w:r w:rsidRPr="004406DE">
        <w:t>Då engelska utgör ett allt vanligare mötesspråk – särskilt i samband med möten med de baltiska staterna – ser landskapsregeringen det som en själ</w:t>
      </w:r>
      <w:r w:rsidRPr="004406DE">
        <w:t>v</w:t>
      </w:r>
      <w:r w:rsidRPr="004406DE">
        <w:t xml:space="preserve">klarhet att skandinaviska ska vara det ledande språket i umgänget med </w:t>
      </w:r>
      <w:r w:rsidR="00E61207">
        <w:t>ö</w:t>
      </w:r>
      <w:r w:rsidR="00E61207">
        <w:t>v</w:t>
      </w:r>
      <w:r w:rsidR="00E61207">
        <w:t>riga</w:t>
      </w:r>
      <w:r w:rsidRPr="004406DE">
        <w:t xml:space="preserve"> nordiska </w:t>
      </w:r>
      <w:r w:rsidR="00E61207">
        <w:t>länder</w:t>
      </w:r>
      <w:r w:rsidRPr="004406DE">
        <w:t>. Landskapsregeringen anser att språket inom Nordiska ministerrådet även fortsättningsvis skall vara skandinaviska med simulta</w:t>
      </w:r>
      <w:r w:rsidRPr="004406DE">
        <w:t>n</w:t>
      </w:r>
      <w:r w:rsidRPr="004406DE">
        <w:t>tolkning till andra språk vid behov.</w:t>
      </w:r>
    </w:p>
    <w:p w:rsidR="004406DE" w:rsidRPr="004406DE" w:rsidRDefault="004406DE" w:rsidP="00386441">
      <w:pPr>
        <w:pStyle w:val="Rubrik3"/>
      </w:pPr>
      <w:bookmarkStart w:id="14" w:name="_Toc410897639"/>
      <w:bookmarkStart w:id="15" w:name="_Toc412712655"/>
      <w:r w:rsidRPr="004406DE">
        <w:lastRenderedPageBreak/>
        <w:t>2.3.</w:t>
      </w:r>
      <w:r w:rsidR="0057375E">
        <w:t>2</w:t>
      </w:r>
      <w:r w:rsidRPr="004406DE">
        <w:t xml:space="preserve"> Ålands, Färöarnas och Grönlands ställning i det nordiska samarbetet</w:t>
      </w:r>
      <w:bookmarkEnd w:id="14"/>
      <w:bookmarkEnd w:id="15"/>
    </w:p>
    <w:p w:rsidR="005242BE" w:rsidRPr="00BD31C9" w:rsidRDefault="0048246E" w:rsidP="00222FA5">
      <w:pPr>
        <w:rPr>
          <w:szCs w:val="22"/>
        </w:rPr>
      </w:pPr>
      <w:r w:rsidRPr="0048246E">
        <w:t xml:space="preserve">Ålandsdokumentet antaget 2007 av de nordiska samarbetsministrarna lyfter fram Ålands, Färöarnas och Grönlands rättigheter att medverka i Nordiska </w:t>
      </w:r>
      <w:r w:rsidRPr="005242BE">
        <w:rPr>
          <w:szCs w:val="22"/>
        </w:rPr>
        <w:t xml:space="preserve">ministerrådets </w:t>
      </w:r>
      <w:r w:rsidRPr="00BD31C9">
        <w:rPr>
          <w:szCs w:val="22"/>
        </w:rPr>
        <w:t>arbete på samma villkor som övriga länder, i den utsträc</w:t>
      </w:r>
      <w:r w:rsidRPr="00BD31C9">
        <w:rPr>
          <w:szCs w:val="22"/>
        </w:rPr>
        <w:t>k</w:t>
      </w:r>
      <w:r w:rsidRPr="00BD31C9">
        <w:rPr>
          <w:szCs w:val="22"/>
        </w:rPr>
        <w:t xml:space="preserve">ning som Helsingfors-avtalet medger. </w:t>
      </w:r>
      <w:r w:rsidR="007F4388" w:rsidRPr="00BD31C9">
        <w:rPr>
          <w:szCs w:val="22"/>
        </w:rPr>
        <w:t>I oktober 2012 ingick de självst</w:t>
      </w:r>
      <w:r w:rsidR="007F4388" w:rsidRPr="00BD31C9">
        <w:rPr>
          <w:szCs w:val="22"/>
        </w:rPr>
        <w:t>y</w:t>
      </w:r>
      <w:r w:rsidR="007F4388" w:rsidRPr="00BD31C9">
        <w:rPr>
          <w:szCs w:val="22"/>
        </w:rPr>
        <w:t xml:space="preserve">rande områdena en </w:t>
      </w:r>
      <w:r w:rsidR="005242BE" w:rsidRPr="00BD31C9">
        <w:rPr>
          <w:szCs w:val="22"/>
        </w:rPr>
        <w:t>överenskommelse</w:t>
      </w:r>
      <w:r w:rsidR="00052BE1" w:rsidRPr="00BD31C9">
        <w:rPr>
          <w:szCs w:val="22"/>
        </w:rPr>
        <w:t xml:space="preserve">, i enlighet </w:t>
      </w:r>
      <w:r w:rsidR="005242BE" w:rsidRPr="00BD31C9">
        <w:rPr>
          <w:szCs w:val="22"/>
        </w:rPr>
        <w:t xml:space="preserve">med </w:t>
      </w:r>
      <w:r w:rsidR="00052BE1" w:rsidRPr="00BD31C9">
        <w:rPr>
          <w:szCs w:val="22"/>
        </w:rPr>
        <w:t>vilk</w:t>
      </w:r>
      <w:r w:rsidR="005242BE" w:rsidRPr="00BD31C9">
        <w:rPr>
          <w:szCs w:val="22"/>
        </w:rPr>
        <w:t>en arbetet för att bevaka Ålandsdokumentets intentioner samt att stärka samarbetet och k</w:t>
      </w:r>
      <w:r w:rsidR="005242BE" w:rsidRPr="00BD31C9">
        <w:rPr>
          <w:szCs w:val="22"/>
        </w:rPr>
        <w:t>o</w:t>
      </w:r>
      <w:r w:rsidR="005242BE" w:rsidRPr="00BD31C9">
        <w:rPr>
          <w:szCs w:val="22"/>
        </w:rPr>
        <w:t>ordineringen mellan Färöarna, Grönland och Åland</w:t>
      </w:r>
      <w:r w:rsidR="00052BE1" w:rsidRPr="00BD31C9">
        <w:rPr>
          <w:szCs w:val="22"/>
        </w:rPr>
        <w:t xml:space="preserve"> fortsätter</w:t>
      </w:r>
      <w:r w:rsidR="005242BE" w:rsidRPr="00BD31C9">
        <w:rPr>
          <w:szCs w:val="22"/>
        </w:rPr>
        <w:t xml:space="preserve">.  </w:t>
      </w:r>
    </w:p>
    <w:p w:rsidR="004406DE" w:rsidRPr="00BD31C9" w:rsidRDefault="004406DE" w:rsidP="00023C6C">
      <w:pPr>
        <w:ind w:firstLine="284"/>
      </w:pPr>
      <w:r w:rsidRPr="00BD31C9">
        <w:rPr>
          <w:szCs w:val="22"/>
        </w:rPr>
        <w:t xml:space="preserve">Under 2015 fortsätter </w:t>
      </w:r>
      <w:r w:rsidR="00C45D55" w:rsidRPr="00BD31C9">
        <w:rPr>
          <w:szCs w:val="22"/>
        </w:rPr>
        <w:t xml:space="preserve">Nordiska ministerrådets </w:t>
      </w:r>
      <w:r w:rsidRPr="00BD31C9">
        <w:rPr>
          <w:szCs w:val="22"/>
        </w:rPr>
        <w:t>moderniseringsarbete som leds av</w:t>
      </w:r>
      <w:r w:rsidRPr="00BD31C9">
        <w:t xml:space="preserve"> generalsekreteraren. Nya riktlinjer för institutionernas stadgar har godkänts. På initiativ </w:t>
      </w:r>
      <w:r w:rsidR="00E61207" w:rsidRPr="00BD31C9">
        <w:t>av</w:t>
      </w:r>
      <w:r w:rsidRPr="00BD31C9">
        <w:t xml:space="preserve"> Åland finns en skrivning som ålägger institu</w:t>
      </w:r>
      <w:r w:rsidRPr="00BD31C9">
        <w:t>t</w:t>
      </w:r>
      <w:r w:rsidRPr="00BD31C9">
        <w:t xml:space="preserve">ionerna att på eget initiativ ta kontakt med Färöarna, Grönland och Åland i frågor där </w:t>
      </w:r>
      <w:r w:rsidR="0048246E" w:rsidRPr="00BD31C9">
        <w:t>öarna berörs</w:t>
      </w:r>
      <w:r w:rsidRPr="00BD31C9">
        <w:t>. Detta in</w:t>
      </w:r>
      <w:r w:rsidR="0048246E" w:rsidRPr="00BD31C9">
        <w:t>begriper</w:t>
      </w:r>
      <w:r w:rsidRPr="00BD31C9">
        <w:t xml:space="preserve"> även tillsättandet av styrelseme</w:t>
      </w:r>
      <w:r w:rsidRPr="00BD31C9">
        <w:t>d</w:t>
      </w:r>
      <w:r w:rsidRPr="00BD31C9">
        <w:t xml:space="preserve">lemmar. </w:t>
      </w:r>
    </w:p>
    <w:p w:rsidR="004406DE" w:rsidRPr="00BD31C9" w:rsidRDefault="004406DE" w:rsidP="00386441">
      <w:pPr>
        <w:pStyle w:val="Rubrik3"/>
      </w:pPr>
      <w:bookmarkStart w:id="16" w:name="_Toc410897640"/>
      <w:bookmarkStart w:id="17" w:name="_Toc412712656"/>
      <w:r w:rsidRPr="00BD31C9">
        <w:t>2.3.</w:t>
      </w:r>
      <w:r w:rsidR="0057375E" w:rsidRPr="00BD31C9">
        <w:t>3</w:t>
      </w:r>
      <w:r w:rsidRPr="00BD31C9">
        <w:t xml:space="preserve"> Gränshinderarbetet</w:t>
      </w:r>
      <w:bookmarkEnd w:id="16"/>
      <w:bookmarkEnd w:id="17"/>
    </w:p>
    <w:p w:rsidR="000770FB" w:rsidRPr="000770FB" w:rsidRDefault="004406DE" w:rsidP="005242BE">
      <w:pPr>
        <w:rPr>
          <w:color w:val="FF0000"/>
        </w:rPr>
      </w:pPr>
      <w:r w:rsidRPr="00BD31C9">
        <w:t>Gränshinderrådet bes</w:t>
      </w:r>
      <w:r w:rsidRPr="004406DE">
        <w:t>tår av medlemmar från alla åtta ministerrådsmedle</w:t>
      </w:r>
      <w:r w:rsidRPr="004406DE">
        <w:t>m</w:t>
      </w:r>
      <w:r w:rsidRPr="004406DE">
        <w:t xml:space="preserve">mar – landskapsregeringen deltar </w:t>
      </w:r>
      <w:r w:rsidR="00E61207">
        <w:t xml:space="preserve">således </w:t>
      </w:r>
      <w:r w:rsidRPr="004406DE">
        <w:t xml:space="preserve">i arbetet på samma villkor som de fem nordiska länderna. I en referensgrupp </w:t>
      </w:r>
      <w:r w:rsidR="00E61207" w:rsidRPr="00C45D55">
        <w:t>bestående av</w:t>
      </w:r>
      <w:r w:rsidRPr="00C45D55">
        <w:t xml:space="preserve"> medlemmar</w:t>
      </w:r>
      <w:r w:rsidRPr="004406DE">
        <w:t xml:space="preserve"> från det åländska samhället identifieras hinder </w:t>
      </w:r>
      <w:r w:rsidR="003001A7">
        <w:t xml:space="preserve">som </w:t>
      </w:r>
      <w:r w:rsidRPr="004406DE">
        <w:t>förs vidare till Gränshinde</w:t>
      </w:r>
      <w:r w:rsidRPr="004406DE">
        <w:t>r</w:t>
      </w:r>
      <w:r w:rsidRPr="004406DE">
        <w:t>rådet. Flera av de åländska hindren</w:t>
      </w:r>
      <w:r w:rsidR="0048590A">
        <w:t>a är gemensamma med</w:t>
      </w:r>
      <w:r w:rsidRPr="004406DE">
        <w:t xml:space="preserve"> de övriga no</w:t>
      </w:r>
      <w:r w:rsidRPr="004406DE">
        <w:t>r</w:t>
      </w:r>
      <w:r w:rsidRPr="004406DE">
        <w:t xml:space="preserve">diska länderna, varför hinder av åländskt intresse kan stå som prioriterade av andra länder i Nordiska ministerrådets gränshinderdatabas; detta gäller bland annat yrkes- och examensgiltighet, byggbestämmelser </w:t>
      </w:r>
      <w:r w:rsidR="000770FB">
        <w:t>samt</w:t>
      </w:r>
      <w:r w:rsidRPr="004406DE">
        <w:t xml:space="preserve"> socia</w:t>
      </w:r>
      <w:r w:rsidRPr="004406DE">
        <w:t>l</w:t>
      </w:r>
      <w:r w:rsidRPr="004406DE">
        <w:t>försäkringar</w:t>
      </w:r>
      <w:r w:rsidR="007129E4">
        <w:t>.</w:t>
      </w:r>
      <w:r w:rsidR="007129E4">
        <w:rPr>
          <w:color w:val="00B050"/>
        </w:rPr>
        <w:t xml:space="preserve"> </w:t>
      </w:r>
    </w:p>
    <w:p w:rsidR="004406DE" w:rsidRPr="004406DE" w:rsidRDefault="004406DE" w:rsidP="00023C6C">
      <w:pPr>
        <w:ind w:firstLine="284"/>
      </w:pPr>
      <w:r w:rsidRPr="004406DE">
        <w:t xml:space="preserve">En viktig del av gränshinderarbetet är att följa upp att nya EU-direktiv får en </w:t>
      </w:r>
      <w:r w:rsidR="00C45D55">
        <w:t>så likartad</w:t>
      </w:r>
      <w:r w:rsidRPr="004406DE">
        <w:t xml:space="preserve"> tolkning </w:t>
      </w:r>
      <w:r w:rsidR="00C45D55">
        <w:t xml:space="preserve">som möjligt </w:t>
      </w:r>
      <w:r w:rsidRPr="00C45D55">
        <w:t>i alla länder. Landskapsregeringen</w:t>
      </w:r>
      <w:r w:rsidRPr="004406DE">
        <w:t xml:space="preserve"> följer upp att hinder som berör Åland prioriteras i gränshinderarbetet.</w:t>
      </w:r>
    </w:p>
    <w:p w:rsidR="004406DE" w:rsidRPr="004406DE" w:rsidRDefault="004406DE" w:rsidP="00386441">
      <w:pPr>
        <w:pStyle w:val="Rubrik3"/>
      </w:pPr>
      <w:bookmarkStart w:id="18" w:name="_Toc410897641"/>
      <w:bookmarkStart w:id="19" w:name="_Toc412712657"/>
      <w:r w:rsidRPr="004406DE">
        <w:t>2.3.</w:t>
      </w:r>
      <w:r w:rsidR="0057375E">
        <w:t>4</w:t>
      </w:r>
      <w:r w:rsidRPr="004406DE">
        <w:t xml:space="preserve"> Näringsliv och arbetsmarknad</w:t>
      </w:r>
      <w:bookmarkEnd w:id="18"/>
      <w:bookmarkEnd w:id="19"/>
    </w:p>
    <w:p w:rsidR="002F73C3" w:rsidRDefault="00100D73" w:rsidP="005242BE">
      <w:r w:rsidRPr="00100D73">
        <w:t>De pågående nordiska samarbetsprogrammen inom innovations- närings- och regionalpolitik inneh</w:t>
      </w:r>
      <w:r>
        <w:t xml:space="preserve">åller </w:t>
      </w:r>
      <w:r w:rsidR="00E61207">
        <w:t xml:space="preserve">för Åland </w:t>
      </w:r>
      <w:r>
        <w:t>relevanta delar: V</w:t>
      </w:r>
      <w:r w:rsidRPr="00100D73">
        <w:t>ikten av att öka entreprenörskapet och framväxten av fler företag, ta tillvara möjligheterna inom grön tillväxt och i</w:t>
      </w:r>
      <w:r>
        <w:t>nom</w:t>
      </w:r>
      <w:r w:rsidRPr="00100D73">
        <w:t xml:space="preserve"> den demografiska utvecklingen men också hantera utmaningar</w:t>
      </w:r>
      <w:r w:rsidR="00E61207">
        <w:t>na</w:t>
      </w:r>
      <w:r w:rsidRPr="00100D73">
        <w:t xml:space="preserve"> inom välfärden och de regionala effekterna till följd av det. </w:t>
      </w:r>
    </w:p>
    <w:p w:rsidR="004406DE" w:rsidRPr="0057375E" w:rsidRDefault="004406DE" w:rsidP="002F73C3">
      <w:pPr>
        <w:ind w:firstLine="284"/>
      </w:pPr>
      <w:r w:rsidRPr="004406DE">
        <w:t xml:space="preserve">För en liten öppen ekonomi som den åländska är tillgång </w:t>
      </w:r>
      <w:r w:rsidR="00E61207">
        <w:t xml:space="preserve">till </w:t>
      </w:r>
      <w:r w:rsidRPr="004406DE">
        <w:t>arbetskraft en väsentlig faktor för en gynnsam ekonomisk tillväxt. Landskapsregerin</w:t>
      </w:r>
      <w:r w:rsidRPr="004406DE">
        <w:t>g</w:t>
      </w:r>
      <w:r w:rsidRPr="004406DE">
        <w:t xml:space="preserve">en bedömer att det gemensamma nordiska arbetet med att reducera hindren för personers rörlighet fyller en viktig funktion. För Ålands del är särskilt betoningen på samarbete inom export, marknadsföring och </w:t>
      </w:r>
      <w:r w:rsidRPr="0057375E">
        <w:t>internationa</w:t>
      </w:r>
      <w:r w:rsidRPr="0057375E">
        <w:t>l</w:t>
      </w:r>
      <w:r w:rsidRPr="0057375E">
        <w:t xml:space="preserve">isering av de nordiska företagen intressant. Positivt är också att satsningen på Ny Nordisk Mat fortsätter. </w:t>
      </w:r>
      <w:r w:rsidR="001B1711">
        <w:t xml:space="preserve"> </w:t>
      </w:r>
    </w:p>
    <w:p w:rsidR="00100D73" w:rsidRPr="00ED0034" w:rsidRDefault="00100D73" w:rsidP="00023C6C">
      <w:pPr>
        <w:ind w:firstLine="284"/>
      </w:pPr>
      <w:r w:rsidRPr="00C45D55">
        <w:t>Föreningen Norden har under</w:t>
      </w:r>
      <w:r w:rsidRPr="0057375E">
        <w:t xml:space="preserve"> många år förmedlat nordisk personal till olika arbetsplatser genom projektet Nordjobb. Projektet definieras som ett arbetsmarknadsprogram och förmedlar sommarjobb samt fritidsprogram i ett annat nordiskt land till ungdomar mellan 18-28 år. Programmet arbetar för att minska ungdomsarbetslösheten, öka rörligheten på den nordiska a</w:t>
      </w:r>
      <w:r w:rsidRPr="0057375E">
        <w:t>r</w:t>
      </w:r>
      <w:r w:rsidRPr="0057375E">
        <w:t xml:space="preserve">betsmarknaden </w:t>
      </w:r>
      <w:r w:rsidRPr="00ED0034">
        <w:t>och för att öka kunskapen om språk och kultur i Norden.</w:t>
      </w:r>
    </w:p>
    <w:p w:rsidR="0048590A" w:rsidRPr="00ED0034" w:rsidRDefault="0048590A" w:rsidP="00023C6C">
      <w:pPr>
        <w:ind w:firstLine="284"/>
      </w:pPr>
      <w:r w:rsidRPr="00ED0034">
        <w:t>Landsskapsregeringens deltagande vid politikerveckan i Almedalen h</w:t>
      </w:r>
      <w:r w:rsidR="00E61207">
        <w:t>ar slagit väl ut under två år. Avsikten är att d</w:t>
      </w:r>
      <w:r w:rsidRPr="00ED0034">
        <w:t xml:space="preserve">eltagandet ska utvecklas för att sätta fokus på Åland och åländska frågor. Möjligheten att öka inflyttning för att främja det åländska näringslivet och arbetsmarknaden är viktiga </w:t>
      </w:r>
      <w:r w:rsidR="00E61207">
        <w:t>fr</w:t>
      </w:r>
      <w:r w:rsidR="00E61207">
        <w:t>å</w:t>
      </w:r>
      <w:r w:rsidR="00E61207">
        <w:t>gor</w:t>
      </w:r>
      <w:r w:rsidR="00F95D87">
        <w:t xml:space="preserve"> i detta sammanhang</w:t>
      </w:r>
      <w:r w:rsidRPr="00ED0034">
        <w:t>.</w:t>
      </w:r>
    </w:p>
    <w:p w:rsidR="004406DE" w:rsidRPr="004406DE" w:rsidRDefault="004406DE" w:rsidP="00386441">
      <w:pPr>
        <w:pStyle w:val="Rubrik3"/>
      </w:pPr>
      <w:bookmarkStart w:id="20" w:name="_Toc410897642"/>
      <w:bookmarkStart w:id="21" w:name="_Toc412712658"/>
      <w:r w:rsidRPr="004406DE">
        <w:lastRenderedPageBreak/>
        <w:t>2.3.</w:t>
      </w:r>
      <w:r w:rsidR="0057375E">
        <w:t>5</w:t>
      </w:r>
      <w:r w:rsidR="00C45D55">
        <w:t xml:space="preserve"> Ny N</w:t>
      </w:r>
      <w:r w:rsidRPr="004406DE">
        <w:t xml:space="preserve">ordisk </w:t>
      </w:r>
      <w:r w:rsidR="00C45D55">
        <w:t>M</w:t>
      </w:r>
      <w:r w:rsidRPr="004406DE">
        <w:t>at</w:t>
      </w:r>
      <w:bookmarkEnd w:id="20"/>
      <w:bookmarkEnd w:id="21"/>
    </w:p>
    <w:p w:rsidR="004406DE" w:rsidRPr="004406DE" w:rsidRDefault="004406DE" w:rsidP="005242BE">
      <w:r w:rsidRPr="004406DE">
        <w:t xml:space="preserve">Nordiska </w:t>
      </w:r>
      <w:r w:rsidRPr="00C45D55">
        <w:t>ministerrådets program Ny Nordisk Mat (NNM)</w:t>
      </w:r>
      <w:r w:rsidR="00C45D55" w:rsidRPr="00C45D55">
        <w:t xml:space="preserve"> </w:t>
      </w:r>
      <w:r w:rsidR="00F95D87" w:rsidRPr="00C45D55">
        <w:t>fortsätter från om med 2015</w:t>
      </w:r>
      <w:r w:rsidRPr="00C45D55">
        <w:t xml:space="preserve"> med</w:t>
      </w:r>
      <w:r w:rsidRPr="004406DE">
        <w:t xml:space="preserve"> en ny struktur. I fortsättningen kommer ordförand</w:t>
      </w:r>
      <w:r w:rsidRPr="004406DE">
        <w:t>e</w:t>
      </w:r>
      <w:r w:rsidRPr="004406DE">
        <w:t>skapet i</w:t>
      </w:r>
      <w:r w:rsidR="00C45D55">
        <w:t xml:space="preserve"> Ny Nordisk Mat</w:t>
      </w:r>
      <w:r w:rsidRPr="00F95D87">
        <w:rPr>
          <w:color w:val="FF0000"/>
        </w:rPr>
        <w:t xml:space="preserve"> </w:t>
      </w:r>
      <w:r w:rsidRPr="004406DE">
        <w:t>att följa ordförandeskapet i Nordiska Ministerr</w:t>
      </w:r>
      <w:r w:rsidRPr="004406DE">
        <w:t>å</w:t>
      </w:r>
      <w:r w:rsidRPr="004406DE">
        <w:t xml:space="preserve">det. Arbetsgruppens uppgift är först och främst att underhålla och utveckla konceptet NNM. Visionen är att det nordiska köket ska skapa och inspirera till matglädje, innovation, smak och mångfald, samt nå ut såväl nationellt som internationellt. NNM bygger på det Nordiska Köksmanifestet med värdeord som rent, friskt, enkelt och etiskt. Norden har en stark regional matkultur som resten av världen </w:t>
      </w:r>
      <w:r w:rsidR="00F95D87">
        <w:t xml:space="preserve">har </w:t>
      </w:r>
      <w:r w:rsidRPr="004406DE">
        <w:t>börja</w:t>
      </w:r>
      <w:r w:rsidR="00F95D87">
        <w:t>t</w:t>
      </w:r>
      <w:r w:rsidRPr="004406DE">
        <w:t xml:space="preserve"> upptäcka. </w:t>
      </w:r>
    </w:p>
    <w:p w:rsidR="004406DE" w:rsidRPr="004406DE" w:rsidRDefault="004406DE" w:rsidP="00023C6C">
      <w:pPr>
        <w:ind w:firstLine="284"/>
      </w:pPr>
      <w:r w:rsidRPr="004406DE">
        <w:t xml:space="preserve">Åland är ett tydligt avgränsat område, där livsmedelsprodukterna </w:t>
      </w:r>
      <w:r w:rsidR="00F95D87">
        <w:t>u</w:t>
      </w:r>
      <w:r w:rsidR="00F95D87">
        <w:t>r</w:t>
      </w:r>
      <w:r w:rsidR="00F95D87">
        <w:t>sprung lätt kan spåras</w:t>
      </w:r>
      <w:r w:rsidRPr="004406DE">
        <w:t xml:space="preserve">. Landskapsregeringen ser en stor </w:t>
      </w:r>
      <w:r w:rsidRPr="00C45D55">
        <w:t xml:space="preserve">potential i att </w:t>
      </w:r>
      <w:r w:rsidR="00F95D87" w:rsidRPr="00C45D55">
        <w:t>inte</w:t>
      </w:r>
      <w:r w:rsidR="00F95D87" w:rsidRPr="00C45D55">
        <w:t>r</w:t>
      </w:r>
      <w:r w:rsidR="00C45D55">
        <w:t xml:space="preserve">nationellt </w:t>
      </w:r>
      <w:r w:rsidRPr="00C45D55">
        <w:t>profilera Åland som en gastronomisk region i Norden</w:t>
      </w:r>
      <w:r w:rsidRPr="004406DE">
        <w:t>.</w:t>
      </w:r>
    </w:p>
    <w:p w:rsidR="004406DE" w:rsidRPr="004406DE" w:rsidRDefault="004406DE" w:rsidP="00386441">
      <w:pPr>
        <w:pStyle w:val="Rubrik3"/>
      </w:pPr>
      <w:bookmarkStart w:id="22" w:name="_Toc410897643"/>
      <w:bookmarkStart w:id="23" w:name="_Toc412712659"/>
      <w:r w:rsidRPr="004406DE">
        <w:t>2.3.</w:t>
      </w:r>
      <w:r w:rsidR="0057375E">
        <w:t>6</w:t>
      </w:r>
      <w:r w:rsidRPr="004406DE">
        <w:t xml:space="preserve"> Kultur</w:t>
      </w:r>
      <w:bookmarkEnd w:id="22"/>
      <w:bookmarkEnd w:id="23"/>
    </w:p>
    <w:p w:rsidR="004406DE" w:rsidRPr="004406DE" w:rsidRDefault="004406DE" w:rsidP="005242BE">
      <w:r w:rsidRPr="004406DE">
        <w:t>Landskapsregeringen arbetar för att det nordiska kultursamarbetet ska u</w:t>
      </w:r>
      <w:r w:rsidRPr="004406DE">
        <w:t>t</w:t>
      </w:r>
      <w:r w:rsidRPr="004406DE">
        <w:t>göra en stark helhet där konst och kultur är hörnstenarna i den gemenskap som binder samman de nordiska länderna. Kultursamarbetet har stort infl</w:t>
      </w:r>
      <w:r w:rsidRPr="004406DE">
        <w:t>y</w:t>
      </w:r>
      <w:r w:rsidRPr="004406DE">
        <w:t>tande på sin omvärld och återspeglar den grund av gemensamma värd</w:t>
      </w:r>
      <w:r w:rsidRPr="004406DE">
        <w:t>e</w:t>
      </w:r>
      <w:r w:rsidRPr="004406DE">
        <w:t>ringar som de nordiska länderna står på. Tjänstemän inom landskapsfö</w:t>
      </w:r>
      <w:r w:rsidRPr="004406DE">
        <w:t>r</w:t>
      </w:r>
      <w:r w:rsidRPr="004406DE">
        <w:t>valtningen är delaktiga i arbetet i styrelserna för de nordiska husen på Fär</w:t>
      </w:r>
      <w:r w:rsidRPr="004406DE">
        <w:t>ö</w:t>
      </w:r>
      <w:r w:rsidR="001B1711">
        <w:t xml:space="preserve">arna, Grönland och Island. </w:t>
      </w:r>
      <w:r w:rsidRPr="004406DE">
        <w:t xml:space="preserve">Även i styrelsen för Nordens institut på Åland (NIPÅ) är landskapsregeringen representerad. Representationen medverkar till ett högfrekvent kulturutbyte med de övriga nordiska länderna. </w:t>
      </w:r>
    </w:p>
    <w:p w:rsidR="004406DE" w:rsidRPr="00C45D55" w:rsidRDefault="004406DE" w:rsidP="00023C6C">
      <w:pPr>
        <w:ind w:firstLine="284"/>
      </w:pPr>
      <w:r w:rsidRPr="004406DE">
        <w:t>Under 2015 pågår en omfattande modernisering</w:t>
      </w:r>
      <w:r w:rsidR="00F95D87">
        <w:t xml:space="preserve"> av</w:t>
      </w:r>
      <w:r w:rsidRPr="004406DE">
        <w:t xml:space="preserve"> ministerrådets u</w:t>
      </w:r>
      <w:r w:rsidRPr="004406DE">
        <w:t>t</w:t>
      </w:r>
      <w:r w:rsidRPr="004406DE">
        <w:t>bildnings- och kultursektor. Särskilt kan nämnas att det nordiska ägarskapet beträffande de nordiska husen och instituten ska klargöras</w:t>
      </w:r>
      <w:r w:rsidR="00F95D87">
        <w:t>, vilket</w:t>
      </w:r>
      <w:r w:rsidRPr="004406DE">
        <w:t xml:space="preserve"> även</w:t>
      </w:r>
      <w:r w:rsidR="00F95D87">
        <w:t xml:space="preserve"> i</w:t>
      </w:r>
      <w:r w:rsidR="00F95D87">
        <w:t>n</w:t>
      </w:r>
      <w:r w:rsidR="00F95D87">
        <w:t>kluderar</w:t>
      </w:r>
      <w:r w:rsidRPr="004406DE">
        <w:t xml:space="preserve"> Nordens institut på Åland (NIPÅ). Styrelsens sakkunniguppgifter kommer att kvarstå </w:t>
      </w:r>
      <w:r w:rsidRPr="00C45D55">
        <w:t xml:space="preserve">medan det ekonomiska och juridiska ansvaret </w:t>
      </w:r>
      <w:proofErr w:type="gramStart"/>
      <w:r w:rsidRPr="00C45D55">
        <w:t>påförs</w:t>
      </w:r>
      <w:proofErr w:type="gramEnd"/>
      <w:r w:rsidRPr="00C45D55">
        <w:t xml:space="preserve"> </w:t>
      </w:r>
      <w:r w:rsidR="00C45D55" w:rsidRPr="00C45D55">
        <w:t xml:space="preserve">generalsekreteraren </w:t>
      </w:r>
      <w:r w:rsidRPr="00C45D55">
        <w:t>för ministerrådet. I framtiden är det ministerrådets g</w:t>
      </w:r>
      <w:r w:rsidRPr="00C45D55">
        <w:t>e</w:t>
      </w:r>
      <w:r w:rsidRPr="00C45D55">
        <w:t>neralsekreterare som anställer ny direktör för de nordiska husen och instit</w:t>
      </w:r>
      <w:r w:rsidRPr="00C45D55">
        <w:t>u</w:t>
      </w:r>
      <w:r w:rsidRPr="00C45D55">
        <w:t xml:space="preserve">ten, dock med assistans av respektive styrelse. </w:t>
      </w:r>
    </w:p>
    <w:p w:rsidR="004406DE" w:rsidRPr="00EE65FB" w:rsidRDefault="004406DE" w:rsidP="00023C6C">
      <w:pPr>
        <w:ind w:firstLine="284"/>
      </w:pPr>
      <w:r w:rsidRPr="00C45D55">
        <w:t>Landskapsregeringen</w:t>
      </w:r>
      <w:r w:rsidRPr="004406DE">
        <w:t xml:space="preserve"> avser särskilt följa med utvecklingen </w:t>
      </w:r>
      <w:r w:rsidR="00F95D87">
        <w:t xml:space="preserve">av </w:t>
      </w:r>
      <w:r w:rsidRPr="004406DE">
        <w:t>den no</w:t>
      </w:r>
      <w:r w:rsidRPr="004406DE">
        <w:t>r</w:t>
      </w:r>
      <w:r w:rsidRPr="004406DE">
        <w:t>diska kulturbudgeten. Landskapsregeringen kommer med visad tydlighet att motsätta sig fortsatta nedskärningar, bland annat i de nordiska husens och institutens anslag</w:t>
      </w:r>
      <w:r w:rsidRPr="00EE65FB">
        <w:t>, vilket</w:t>
      </w:r>
      <w:r w:rsidR="00F95D87" w:rsidRPr="00EE65FB">
        <w:t xml:space="preserve"> även</w:t>
      </w:r>
      <w:r w:rsidRPr="00EE65FB">
        <w:t xml:space="preserve"> inkluderar Nordens institut på Åland. Ned</w:t>
      </w:r>
      <w:r w:rsidR="00F95D87" w:rsidRPr="00EE65FB">
        <w:t>skärning</w:t>
      </w:r>
      <w:r w:rsidRPr="00EE65FB">
        <w:t xml:space="preserve">ar i budgetanslagen kan leda till att det nordiska kulturutbytet minskar och </w:t>
      </w:r>
      <w:r w:rsidR="00F95D87" w:rsidRPr="00EE65FB">
        <w:t>d</w:t>
      </w:r>
      <w:r w:rsidRPr="00EE65FB">
        <w:t>en mångårig</w:t>
      </w:r>
      <w:r w:rsidR="00F95D87" w:rsidRPr="00EE65FB">
        <w:t>a</w:t>
      </w:r>
      <w:r w:rsidRPr="00EE65FB">
        <w:t xml:space="preserve"> uppbyggnad</w:t>
      </w:r>
      <w:r w:rsidR="00F95D87" w:rsidRPr="00EE65FB">
        <w:t xml:space="preserve">en av verksamheten och av </w:t>
      </w:r>
      <w:r w:rsidRPr="00EE65FB">
        <w:t>olika kulturella nätverk</w:t>
      </w:r>
      <w:r w:rsidR="00F95D87" w:rsidRPr="00EE65FB">
        <w:t xml:space="preserve"> tar skada. Nordens </w:t>
      </w:r>
      <w:proofErr w:type="gramStart"/>
      <w:r w:rsidR="00F95D87" w:rsidRPr="00EE65FB">
        <w:t>institutet</w:t>
      </w:r>
      <w:proofErr w:type="gramEnd"/>
      <w:r w:rsidR="00F95D87" w:rsidRPr="00EE65FB">
        <w:t xml:space="preserve"> p</w:t>
      </w:r>
      <w:r w:rsidRPr="00EE65FB">
        <w:t>å Åland (NIPÅ) firar 30-årsjubileum i april 2015 med mångsidiga programinslag för allmänheten. Kostnaderna har beaktats i landskapsbudgeten.</w:t>
      </w:r>
    </w:p>
    <w:p w:rsidR="004406DE" w:rsidRPr="004406DE" w:rsidRDefault="004406DE" w:rsidP="00023C6C">
      <w:pPr>
        <w:ind w:firstLine="284"/>
      </w:pPr>
      <w:r w:rsidRPr="00EE65FB">
        <w:t>Med utgångpunkt i Nordiska ministerrådets strategi för det nordiska ku</w:t>
      </w:r>
      <w:r w:rsidRPr="00EE65FB">
        <w:t>l</w:t>
      </w:r>
      <w:r w:rsidRPr="00EE65FB">
        <w:t>tursamarbetet 2013-2020, ”</w:t>
      </w:r>
      <w:r w:rsidRPr="00C45D55">
        <w:rPr>
          <w:i/>
        </w:rPr>
        <w:t>Det digitala Norden</w:t>
      </w:r>
      <w:r w:rsidR="00C45D55" w:rsidRPr="00C45D55">
        <w:rPr>
          <w:i/>
        </w:rPr>
        <w:t>”</w:t>
      </w:r>
      <w:r w:rsidRPr="00C45D55">
        <w:rPr>
          <w:i/>
        </w:rPr>
        <w:t xml:space="preserve"> </w:t>
      </w:r>
      <w:r w:rsidRPr="00C45D55">
        <w:t>och</w:t>
      </w:r>
      <w:r w:rsidRPr="00C45D55">
        <w:rPr>
          <w:i/>
        </w:rPr>
        <w:t xml:space="preserve"> </w:t>
      </w:r>
      <w:r w:rsidR="00C45D55" w:rsidRPr="00C45D55">
        <w:rPr>
          <w:i/>
        </w:rPr>
        <w:t>”</w:t>
      </w:r>
      <w:r w:rsidRPr="00C45D55">
        <w:rPr>
          <w:i/>
        </w:rPr>
        <w:t>Det unga Norden</w:t>
      </w:r>
      <w:r w:rsidRPr="00C45D55">
        <w:t>”,</w:t>
      </w:r>
      <w:r w:rsidRPr="00DE45F7">
        <w:t xml:space="preserve"> och som en fortsättning på la</w:t>
      </w:r>
      <w:r w:rsidR="00F95D87">
        <w:t xml:space="preserve">ndskapsregeringens tidigare </w:t>
      </w:r>
      <w:r w:rsidRPr="00DE45F7">
        <w:t>strävanden att öka tillgången till svenskt TV-utbud i landskapet över internet och stärka d</w:t>
      </w:r>
      <w:r w:rsidRPr="00DE45F7">
        <w:t>e</w:t>
      </w:r>
      <w:r w:rsidRPr="00DE45F7">
        <w:t xml:space="preserve">mokratifrågorna, planeras under 2015 nordiska konferenser om tillgång till </w:t>
      </w:r>
      <w:r w:rsidRPr="0057375E">
        <w:t xml:space="preserve">grannlands-TV och färdigheter i medie- och </w:t>
      </w:r>
      <w:r w:rsidRPr="00115132">
        <w:t xml:space="preserve">kommunikationskunnighet (MIK). </w:t>
      </w:r>
      <w:r w:rsidR="00DE45F7" w:rsidRPr="00115132">
        <w:t xml:space="preserve">För </w:t>
      </w:r>
      <w:r w:rsidR="0057375E" w:rsidRPr="00115132">
        <w:t>ytterligare</w:t>
      </w:r>
      <w:r w:rsidR="00DE45F7" w:rsidRPr="00115132">
        <w:t xml:space="preserve"> information om </w:t>
      </w:r>
      <w:r w:rsidR="00F95D87" w:rsidRPr="00115132">
        <w:t xml:space="preserve">tillgången till svensk TV och övriga </w:t>
      </w:r>
      <w:r w:rsidR="00DE45F7" w:rsidRPr="00115132">
        <w:t>upphovsrättsliga frågor, se</w:t>
      </w:r>
      <w:r w:rsidR="009E2F08" w:rsidRPr="00115132">
        <w:t xml:space="preserve"> kapitel 3.2.4 i detta meddelande, samt kapitel </w:t>
      </w:r>
      <w:r w:rsidR="007F4388" w:rsidRPr="00115132">
        <w:t>1</w:t>
      </w:r>
      <w:r w:rsidR="00861BD6" w:rsidRPr="00115132">
        <w:t>0</w:t>
      </w:r>
      <w:r w:rsidR="009E2F08" w:rsidRPr="00115132">
        <w:t xml:space="preserve"> i</w:t>
      </w:r>
      <w:r w:rsidR="00DE45F7" w:rsidRPr="00115132">
        <w:t xml:space="preserve"> landskapsregeringens redogörelse nr </w:t>
      </w:r>
      <w:r w:rsidR="00115132" w:rsidRPr="00115132">
        <w:t>1</w:t>
      </w:r>
      <w:r w:rsidR="00DE45F7" w:rsidRPr="00115132">
        <w:t>/201</w:t>
      </w:r>
      <w:r w:rsidR="007F4388" w:rsidRPr="00115132">
        <w:t>4-2015</w:t>
      </w:r>
      <w:r w:rsidR="00DE45F7" w:rsidRPr="00115132">
        <w:t xml:space="preserve">. </w:t>
      </w:r>
      <w:r w:rsidRPr="00115132">
        <w:t>Färdigheter för såväl barn, unga och vuxna att aktivt och demokratiskt kunna använda</w:t>
      </w:r>
      <w:r w:rsidR="00F95D87" w:rsidRPr="00115132">
        <w:t xml:space="preserve"> olika</w:t>
      </w:r>
      <w:r w:rsidRPr="00115132">
        <w:t xml:space="preserve"> m</w:t>
      </w:r>
      <w:r w:rsidRPr="00115132">
        <w:t>e</w:t>
      </w:r>
      <w:r w:rsidRPr="00115132">
        <w:t>dier, ta del i samhällsdebatten och granska och värdera tillgänglig informa</w:t>
      </w:r>
      <w:r w:rsidRPr="00115132">
        <w:t>t</w:t>
      </w:r>
      <w:r w:rsidRPr="00115132">
        <w:t>ion i samhället har hög prioritet lokalt inom utbildnings- och kultursektorn, tredje sektorn, mediebranschen och näringslivet</w:t>
      </w:r>
      <w:r w:rsidRPr="004406DE">
        <w:t>. Landskapsregeringen a</w:t>
      </w:r>
      <w:r w:rsidRPr="004406DE">
        <w:t>v</w:t>
      </w:r>
      <w:r w:rsidRPr="004406DE">
        <w:t>ser fortsättningsvis medverka i och stöda nordiska nätverks satsningar på området.</w:t>
      </w:r>
    </w:p>
    <w:p w:rsidR="004406DE" w:rsidRPr="004406DE" w:rsidRDefault="004406DE" w:rsidP="00023C6C">
      <w:pPr>
        <w:ind w:firstLine="284"/>
      </w:pPr>
      <w:r w:rsidRPr="004406DE">
        <w:lastRenderedPageBreak/>
        <w:t>Beträffande landskapsregeringens dokument- och arkivhantering utgör landskapsarkivet en specialfunktion. Nordiska arkivportaler kommer att vara ett prioriterat utvecklingstema även inom de fortsatta nordiska konta</w:t>
      </w:r>
      <w:r w:rsidRPr="004406DE">
        <w:t>k</w:t>
      </w:r>
      <w:r w:rsidRPr="004406DE">
        <w:t>terna och nätverksarbetet.</w:t>
      </w:r>
    </w:p>
    <w:p w:rsidR="004406DE" w:rsidRPr="004406DE" w:rsidRDefault="004406DE" w:rsidP="00023C6C">
      <w:pPr>
        <w:ind w:firstLine="284"/>
      </w:pPr>
      <w:r w:rsidRPr="004406DE">
        <w:t xml:space="preserve">2013 års stora nordiska kulturbegivenhet Nordic </w:t>
      </w:r>
      <w:r w:rsidRPr="00C45D55">
        <w:t>cool, som hölls i sa</w:t>
      </w:r>
      <w:r w:rsidRPr="00C45D55">
        <w:t>m</w:t>
      </w:r>
      <w:r w:rsidRPr="00C45D55">
        <w:t xml:space="preserve">arbete med Kennedy Center i Washington, var en så stor framgång att </w:t>
      </w:r>
      <w:r w:rsidR="00F95D87" w:rsidRPr="00C45D55">
        <w:t xml:space="preserve">de nordiska </w:t>
      </w:r>
      <w:r w:rsidRPr="00C45D55">
        <w:t>kul</w:t>
      </w:r>
      <w:r w:rsidR="00F95D87" w:rsidRPr="00C45D55">
        <w:t xml:space="preserve">turministrarna beslutat </w:t>
      </w:r>
      <w:r w:rsidRPr="00C45D55">
        <w:t xml:space="preserve">arbeta vidare med konceptet för att marknadsföra Norden internationellt. En arbetsgrupp kommer under </w:t>
      </w:r>
      <w:r w:rsidR="00F95D87" w:rsidRPr="00C45D55">
        <w:t>våren</w:t>
      </w:r>
      <w:r w:rsidRPr="00C45D55">
        <w:t xml:space="preserve"> 2015 att utarbeta </w:t>
      </w:r>
      <w:r w:rsidR="00F95D87" w:rsidRPr="00C45D55">
        <w:t xml:space="preserve">ett </w:t>
      </w:r>
      <w:r w:rsidRPr="00C45D55">
        <w:t>förslag till en utveckling av Nordic cool-konceptet. Som åländsk representant i arbetet deltar chefen för</w:t>
      </w:r>
      <w:r w:rsidRPr="004406DE">
        <w:t xml:space="preserve"> Ålands sjöfartsm</w:t>
      </w:r>
      <w:r w:rsidRPr="004406DE">
        <w:t>u</w:t>
      </w:r>
      <w:r w:rsidRPr="004406DE">
        <w:t xml:space="preserve">seum. Under hösten 2015 </w:t>
      </w:r>
      <w:r w:rsidR="005201E7">
        <w:t>ska</w:t>
      </w:r>
      <w:r w:rsidRPr="004406DE">
        <w:t xml:space="preserve"> kulturministrarna </w:t>
      </w:r>
      <w:r w:rsidR="005201E7">
        <w:t xml:space="preserve">ta </w:t>
      </w:r>
      <w:r w:rsidRPr="004406DE">
        <w:t>ställning till förslaget.</w:t>
      </w:r>
    </w:p>
    <w:p w:rsidR="004406DE" w:rsidRPr="004406DE" w:rsidRDefault="004406DE" w:rsidP="00386441">
      <w:pPr>
        <w:pStyle w:val="Rubrik3"/>
      </w:pPr>
      <w:bookmarkStart w:id="24" w:name="_Toc412712660"/>
      <w:r w:rsidRPr="004406DE">
        <w:t>2.3.</w:t>
      </w:r>
      <w:r w:rsidR="0057375E">
        <w:t>7</w:t>
      </w:r>
      <w:r w:rsidRPr="004406DE">
        <w:t xml:space="preserve"> Utbildning</w:t>
      </w:r>
      <w:bookmarkEnd w:id="24"/>
    </w:p>
    <w:p w:rsidR="004406DE" w:rsidRPr="004406DE" w:rsidRDefault="004406DE" w:rsidP="005242BE">
      <w:r w:rsidRPr="004406DE">
        <w:t>En övergripande prioritering inom landskapsregeringens utbildningspolitik är att värna om och stärka det nordiska utbildningssamarbetet och utveckla möjligheterna för unga och vuxna ålänningar att studera i andra länder. G</w:t>
      </w:r>
      <w:r w:rsidRPr="004406DE">
        <w:t>e</w:t>
      </w:r>
      <w:r w:rsidRPr="004406DE">
        <w:t>nom gränshinderarbetet vidtas kontinuerligt åtgärder särskilt för att u</w:t>
      </w:r>
      <w:r w:rsidRPr="004406DE">
        <w:t>t</w:t>
      </w:r>
      <w:r w:rsidRPr="004406DE">
        <w:t>veckla förutsättningarna för ålännin</w:t>
      </w:r>
      <w:r w:rsidR="00864699">
        <w:t>garna att studera i Sverige, bl</w:t>
      </w:r>
      <w:r w:rsidRPr="004406DE">
        <w:t>a</w:t>
      </w:r>
      <w:r w:rsidR="00864699">
        <w:t>nd annat</w:t>
      </w:r>
      <w:r w:rsidRPr="004406DE">
        <w:t xml:space="preserve"> </w:t>
      </w:r>
      <w:r w:rsidR="001B1711">
        <w:t>v</w:t>
      </w:r>
      <w:r w:rsidRPr="004406DE">
        <w:t>i</w:t>
      </w:r>
      <w:r w:rsidR="001B1711">
        <w:t>d</w:t>
      </w:r>
      <w:r w:rsidRPr="004406DE">
        <w:t xml:space="preserve"> högskolor och universitet. Gränshinderarbetet omfattar samtidigt åtgä</w:t>
      </w:r>
      <w:r w:rsidRPr="004406DE">
        <w:t>r</w:t>
      </w:r>
      <w:r w:rsidRPr="004406DE">
        <w:t>der för att erbjuda studieplatser på Åland för andra nordbor.</w:t>
      </w:r>
    </w:p>
    <w:p w:rsidR="004406DE" w:rsidRPr="004406DE" w:rsidRDefault="004406DE" w:rsidP="00023C6C">
      <w:pPr>
        <w:ind w:firstLine="284"/>
      </w:pPr>
      <w:r w:rsidRPr="004406DE">
        <w:t>Det nordiska samarbetet inom utbildningsområdet arbetar för att Norden ska kunna hävda sig på en global kunskapsmarknad. Gemensamma no</w:t>
      </w:r>
      <w:r w:rsidRPr="004406DE">
        <w:t>r</w:t>
      </w:r>
      <w:r w:rsidRPr="004406DE">
        <w:t xml:space="preserve">diska möten och projekt är ett instrument för att främja en fördjupad dialog och förtydliga den nordiska samhörigheten och därmed även stärka de självstyrda områdenas roll och position. </w:t>
      </w:r>
    </w:p>
    <w:p w:rsidR="004406DE" w:rsidRPr="004406DE" w:rsidRDefault="004406DE" w:rsidP="00023C6C">
      <w:pPr>
        <w:ind w:firstLine="284"/>
      </w:pPr>
      <w:r w:rsidRPr="004406DE">
        <w:t>Kunskap är en konkurrensfaktor för att länder ska kunna attrahera t</w:t>
      </w:r>
      <w:r w:rsidRPr="004406DE">
        <w:t>a</w:t>
      </w:r>
      <w:r w:rsidRPr="004406DE">
        <w:t>langer och öka sin tillväxt. Högre utbildning, såsom universitet och högsk</w:t>
      </w:r>
      <w:r w:rsidRPr="004406DE">
        <w:t>o</w:t>
      </w:r>
      <w:r w:rsidRPr="004406DE">
        <w:t>lor, blir viktiga producenter av kunskap. Inom organisationen för forskning och forskarutbildning (NordForsk) går arbetet generellt ut på att finansiera forskning i Norden. Under 2015 kommer fokus bland annat att ligga på att förbättra infrastrukturen för forskning. Då det gäller finansieringen är kvi</w:t>
      </w:r>
      <w:r w:rsidRPr="004406DE">
        <w:t>n</w:t>
      </w:r>
      <w:r w:rsidRPr="004406DE">
        <w:t>nors deltagande i forskning och utveckling, säkerhet inom samhället, bio</w:t>
      </w:r>
      <w:r w:rsidRPr="004406DE">
        <w:t>e</w:t>
      </w:r>
      <w:r w:rsidRPr="004406DE">
        <w:t>konomi, hälsa och välfärd och mätning av produktivitet prioriterade omr</w:t>
      </w:r>
      <w:r w:rsidRPr="004406DE">
        <w:t>å</w:t>
      </w:r>
      <w:r w:rsidRPr="004406DE">
        <w:t>den.</w:t>
      </w:r>
    </w:p>
    <w:p w:rsidR="004406DE" w:rsidRPr="004406DE" w:rsidRDefault="004406DE" w:rsidP="00023C6C">
      <w:pPr>
        <w:ind w:firstLine="284"/>
      </w:pPr>
      <w:r w:rsidRPr="004406DE">
        <w:t>Samverkan för kvalitetsarbete inom åländsk vuxenutbildning och sa</w:t>
      </w:r>
      <w:r w:rsidRPr="004406DE">
        <w:t>m</w:t>
      </w:r>
      <w:r w:rsidRPr="004406DE">
        <w:t>arbetet mellan Färöarna, Grönland och Åland kommer fortsättningsvis att ha hög prioritet inom ramen för Nordiskt nätverk för vuxnas lärande (NVL). Tyngdpunktsområden inom nätverket har varit vägledning och v</w:t>
      </w:r>
      <w:r w:rsidRPr="004406DE">
        <w:t>a</w:t>
      </w:r>
      <w:r w:rsidRPr="004406DE">
        <w:t>lidering. Ålands samverkan i expertnätverket för validering syftar till att stärka tyngdpunktsområdet integration och utbildningsarrangemang spec</w:t>
      </w:r>
      <w:r w:rsidRPr="004406DE">
        <w:t>i</w:t>
      </w:r>
      <w:r w:rsidRPr="004406DE">
        <w:t>fikt för till Åland inflyttade personer. Under 2014 har Åland också haft en representant i ett nordiskt distansnätverk inom ramen för NVL; representa</w:t>
      </w:r>
      <w:r w:rsidRPr="004406DE">
        <w:t>t</w:t>
      </w:r>
      <w:r w:rsidRPr="004406DE">
        <w:t>ionen och de nordiska samarbetsnätverken fortgår under 2015.</w:t>
      </w:r>
    </w:p>
    <w:p w:rsidR="004406DE" w:rsidRPr="004406DE" w:rsidRDefault="00A2089D" w:rsidP="005242BE">
      <w:r>
        <w:tab/>
      </w:r>
      <w:r w:rsidR="004406DE" w:rsidRPr="004406DE">
        <w:t xml:space="preserve">Utvecklingsprojektet </w:t>
      </w:r>
      <w:r w:rsidR="004406DE" w:rsidRPr="00900022">
        <w:rPr>
          <w:i/>
        </w:rPr>
        <w:t>Lärande på arbetsplatsen</w:t>
      </w:r>
      <w:r w:rsidR="004406DE" w:rsidRPr="004406DE">
        <w:t>, som en del av ministe</w:t>
      </w:r>
      <w:r w:rsidR="004406DE" w:rsidRPr="004406DE">
        <w:t>r</w:t>
      </w:r>
      <w:r w:rsidR="004406DE" w:rsidRPr="004406DE">
        <w:t xml:space="preserve">rådets program </w:t>
      </w:r>
      <w:r w:rsidR="004406DE" w:rsidRPr="00900022">
        <w:rPr>
          <w:i/>
        </w:rPr>
        <w:t>Hållbar nordisk välfärd</w:t>
      </w:r>
      <w:r w:rsidR="004406DE" w:rsidRPr="004406DE">
        <w:t>, fortgår även under den kommande perioden. Syftet är att i samverkan möta de utmaningar som de nordiska länderna och självstyrande områdena står inför när det gäller att garantera kvaliteten i lärande på arbetsplats som en del i yrkesutbildningen på grun</w:t>
      </w:r>
      <w:r w:rsidR="004406DE" w:rsidRPr="004406DE">
        <w:t>d</w:t>
      </w:r>
      <w:r w:rsidR="004406DE" w:rsidRPr="004406DE">
        <w:t xml:space="preserve">läggande nivå. Ålands yrkesgymnasium och Ålands företagarförening avser fortsättningsvis vara aktiva i samarbetsprojektet. </w:t>
      </w:r>
    </w:p>
    <w:p w:rsidR="004406DE" w:rsidRPr="004406DE" w:rsidRDefault="004406DE" w:rsidP="00023C6C">
      <w:pPr>
        <w:ind w:firstLine="284"/>
      </w:pPr>
      <w:r w:rsidRPr="004406DE">
        <w:t xml:space="preserve">Inom projektet </w:t>
      </w:r>
      <w:r w:rsidRPr="00900022">
        <w:rPr>
          <w:i/>
        </w:rPr>
        <w:t>Den nordiska vägen till en inkluderande grundläggande utbildning</w:t>
      </w:r>
      <w:r w:rsidRPr="004406DE">
        <w:t xml:space="preserve"> kommer de nordiska kontakterna att fortgå under det danska </w:t>
      </w:r>
      <w:r w:rsidRPr="00EE65FB">
        <w:t xml:space="preserve">undervisningsministeriets ledning. Det åländska grundskoleprojektet </w:t>
      </w:r>
      <w:r w:rsidRPr="00EE65FB">
        <w:rPr>
          <w:i/>
        </w:rPr>
        <w:t>Liv</w:t>
      </w:r>
      <w:r w:rsidRPr="00EE65FB">
        <w:rPr>
          <w:i/>
        </w:rPr>
        <w:t>s</w:t>
      </w:r>
      <w:r w:rsidRPr="00EE65FB">
        <w:rPr>
          <w:i/>
        </w:rPr>
        <w:t>långt läsande</w:t>
      </w:r>
      <w:r w:rsidRPr="00EE65FB">
        <w:t xml:space="preserve"> kommer att vara i fokus även under kommande konferenser och fortbildningsarrangemang i Norden. Åland kommer även att stå värd för ett nordiskt nätverksmöte för läroplansarbete hösten 2015, då även de </w:t>
      </w:r>
      <w:r w:rsidRPr="00EE65FB">
        <w:lastRenderedPageBreak/>
        <w:t>goda PISA-resultat som skolorna på Åland presterat under flera års tid sa</w:t>
      </w:r>
      <w:r w:rsidRPr="00EE65FB">
        <w:t>n</w:t>
      </w:r>
      <w:r w:rsidRPr="00EE65FB">
        <w:t>nolikt kommer</w:t>
      </w:r>
      <w:r w:rsidRPr="004406DE">
        <w:t xml:space="preserve"> att belysas.</w:t>
      </w:r>
    </w:p>
    <w:p w:rsidR="004406DE" w:rsidRPr="004406DE" w:rsidRDefault="004406DE" w:rsidP="00023C6C">
      <w:pPr>
        <w:ind w:firstLine="284"/>
      </w:pPr>
      <w:r w:rsidRPr="004406DE">
        <w:t>Landskapsregeringens utbildnings- och kulturavdelning, Nordens inst</w:t>
      </w:r>
      <w:r w:rsidRPr="004406DE">
        <w:t>i</w:t>
      </w:r>
      <w:r w:rsidRPr="004406DE">
        <w:t xml:space="preserve">tut på Åland och Ålands musikinstitut har sedan hösten tillsammans arbetat för att implementera det isländska </w:t>
      </w:r>
      <w:r w:rsidRPr="000444F4">
        <w:t xml:space="preserve">undervisningsprojektet </w:t>
      </w:r>
      <w:r w:rsidRPr="000444F4">
        <w:rPr>
          <w:i/>
        </w:rPr>
        <w:t>Biophilia</w:t>
      </w:r>
      <w:r w:rsidRPr="000444F4">
        <w:t>. Pr</w:t>
      </w:r>
      <w:r w:rsidRPr="000444F4">
        <w:t>o</w:t>
      </w:r>
      <w:r w:rsidRPr="000444F4">
        <w:t>jektet</w:t>
      </w:r>
      <w:r w:rsidRPr="004406DE">
        <w:t xml:space="preserve"> som sträcker sig över läsåret 2015-2016 har som mål att inspirera elever i grundskolan till att med hjälp av ny teknologi utforska sin egen kreativitet genom att kombinera i huvudsak de två ämnena musik och n</w:t>
      </w:r>
      <w:r w:rsidRPr="004406DE">
        <w:t>a</w:t>
      </w:r>
      <w:r w:rsidRPr="004406DE">
        <w:t>turvetenskap.</w:t>
      </w:r>
    </w:p>
    <w:p w:rsidR="004406DE" w:rsidRPr="004406DE" w:rsidRDefault="004406DE" w:rsidP="00023C6C">
      <w:pPr>
        <w:ind w:firstLine="284"/>
      </w:pPr>
      <w:r w:rsidRPr="004406DE">
        <w:t>De nordiska samarbetsformerna inom utbildnings- och kulturområdet finansieras med medel ur Nordiska ministerrådets stödprogram Nordplus. Programmet ger skolor på alla nivåer möjlighet att söka medel för mobilitet i länderna (elev-, klass- och lärarutbyten) samt för nätverksaktiviteter inom ländernas berörda förvaltningar. Syftet är att stärka och utveckla det no</w:t>
      </w:r>
      <w:r w:rsidRPr="004406DE">
        <w:t>r</w:t>
      </w:r>
      <w:r w:rsidRPr="004406DE">
        <w:t>diska samarbetet på skolnivå, bidra till att etablera en nordisk-baltisk u</w:t>
      </w:r>
      <w:r w:rsidRPr="004406DE">
        <w:t>t</w:t>
      </w:r>
      <w:r w:rsidRPr="004406DE">
        <w:t>bildningsregion, stöda och utveckla utbildningen genom erfarenheter och goda exempel för ett livslångt lärande, stärka kunskaperna i nordiska språk och nordisk kultur samt främja en språklig och kulturell förståelse länderna emellan.</w:t>
      </w:r>
    </w:p>
    <w:p w:rsidR="004406DE" w:rsidRPr="004406DE" w:rsidRDefault="004406DE" w:rsidP="00023C6C">
      <w:pPr>
        <w:ind w:firstLine="284"/>
      </w:pPr>
      <w:r w:rsidRPr="004406DE">
        <w:t>Som ett självstyrt område har landskapsregeringen enligt ett avtal med Nordiska ministerrådet i uppgift att upprätthålla Nordplus Information</w:t>
      </w:r>
      <w:r w:rsidRPr="004406DE">
        <w:t>s</w:t>
      </w:r>
      <w:r w:rsidRPr="004406DE">
        <w:t>punkt Åland (InfoP-Å). InfoP-Å – landskapsregeringens utbildnings- och kulturavdelning – ansvarar för information om Nordplusprogrammet och har två observatörsplatser i Nordplus programkommitté. Under året deltog Ålands yrkesgymnasium, Ålands musikinstitut, Högskolan på Åland, För</w:t>
      </w:r>
      <w:r w:rsidRPr="004406DE">
        <w:t>e</w:t>
      </w:r>
      <w:r w:rsidRPr="004406DE">
        <w:t>ningen Norden och Ålands företagarförening i programmet. Landskapsr</w:t>
      </w:r>
      <w:r w:rsidRPr="004406DE">
        <w:t>e</w:t>
      </w:r>
      <w:r w:rsidRPr="004406DE">
        <w:t>geringen avser fortsättningsvis uppmuntra åländska intressenter att delta i aktiviteter inom ramen för programmet i syfte att ge deltagarna ökad språ</w:t>
      </w:r>
      <w:r w:rsidRPr="004406DE">
        <w:t>k</w:t>
      </w:r>
      <w:r w:rsidRPr="004406DE">
        <w:t>lig och kulturell förståelse för de nordiska länderna och belysa Ålands roll i det nordiska samarbetet. För att säkra utbytesprogrammens framtid avser landskapsregeringen aktivt bevaka penningtilldelningen till programmen och poängtera dess betydelse i det nordiska samarbetet.</w:t>
      </w:r>
    </w:p>
    <w:p w:rsidR="004406DE" w:rsidRPr="004406DE" w:rsidRDefault="004406DE" w:rsidP="00386441">
      <w:pPr>
        <w:pStyle w:val="Rubrik3"/>
      </w:pPr>
      <w:bookmarkStart w:id="25" w:name="_Toc410897645"/>
      <w:bookmarkStart w:id="26" w:name="_Toc412712661"/>
      <w:r w:rsidRPr="004406DE">
        <w:t>2.3.</w:t>
      </w:r>
      <w:r w:rsidR="0057375E">
        <w:t>8</w:t>
      </w:r>
      <w:r w:rsidRPr="004406DE">
        <w:t xml:space="preserve"> Jämställdhet</w:t>
      </w:r>
      <w:bookmarkEnd w:id="25"/>
      <w:bookmarkEnd w:id="26"/>
    </w:p>
    <w:p w:rsidR="004406DE" w:rsidRPr="004406DE" w:rsidRDefault="004406DE" w:rsidP="005242BE">
      <w:r w:rsidRPr="004406DE">
        <w:t xml:space="preserve">Målsättningen för det nordiska samarbetet under 2015-2018 är bland annat att bidra till ett effektivt jämställdhetsarbete </w:t>
      </w:r>
      <w:r w:rsidR="005201E7">
        <w:t xml:space="preserve">samt </w:t>
      </w:r>
      <w:r w:rsidRPr="004406DE">
        <w:t>att höja kunskapen om jämställdhet i Norden bland såväl medborgare, parlamentariker som reg</w:t>
      </w:r>
      <w:r w:rsidRPr="004406DE">
        <w:t>e</w:t>
      </w:r>
      <w:r w:rsidRPr="004406DE">
        <w:t>ringar.</w:t>
      </w:r>
    </w:p>
    <w:p w:rsidR="004406DE" w:rsidRPr="004406DE" w:rsidRDefault="00C45D55" w:rsidP="00023C6C">
      <w:pPr>
        <w:ind w:firstLine="284"/>
      </w:pPr>
      <w:r>
        <w:t xml:space="preserve">Det </w:t>
      </w:r>
      <w:r w:rsidRPr="00C45D55">
        <w:t>nordiska s</w:t>
      </w:r>
      <w:r w:rsidR="004406DE" w:rsidRPr="00C45D55">
        <w:t>amarbetsprogrammet innehåller två övergripande</w:t>
      </w:r>
      <w:r w:rsidR="004406DE" w:rsidRPr="004406DE">
        <w:t xml:space="preserve"> teman: det offentliga rummet samt välfärd och innovation. Tvärgående teman är hållbar utveckling med fokus på mångfald, samt pojkars och mäns aktiva deltagande i jämställdhetsarbete</w:t>
      </w:r>
      <w:r w:rsidR="005201E7">
        <w:t>t</w:t>
      </w:r>
      <w:r w:rsidR="004406DE" w:rsidRPr="004406DE">
        <w:t>. Jämställdhetsintegrering är strategin för genomförandet.</w:t>
      </w:r>
    </w:p>
    <w:p w:rsidR="004406DE" w:rsidRPr="004406DE" w:rsidRDefault="004406DE" w:rsidP="00023C6C">
      <w:pPr>
        <w:ind w:firstLine="284"/>
      </w:pPr>
      <w:r w:rsidRPr="004406DE">
        <w:t>Ramprogrammet för det åländska jämställdhetsarbetet (2012-2015) i</w:t>
      </w:r>
      <w:r w:rsidRPr="004406DE">
        <w:t>n</w:t>
      </w:r>
      <w:r w:rsidRPr="004406DE">
        <w:t>nehåller prioriteringar som sammanfaller med det nordiska samarbetet på jämställdhetsområdet.</w:t>
      </w:r>
    </w:p>
    <w:p w:rsidR="004406DE" w:rsidRPr="004406DE" w:rsidRDefault="004406DE" w:rsidP="00023C6C">
      <w:pPr>
        <w:ind w:firstLine="284"/>
      </w:pPr>
      <w:r w:rsidRPr="004406DE">
        <w:t>Landskapsregeringen har konstaterat att jämställdhet är en kunskap</w:t>
      </w:r>
      <w:r w:rsidRPr="004406DE">
        <w:t>s</w:t>
      </w:r>
      <w:r w:rsidRPr="004406DE">
        <w:t xml:space="preserve">fråga och kunskap </w:t>
      </w:r>
      <w:r w:rsidR="005201E7" w:rsidRPr="004406DE">
        <w:t xml:space="preserve">om hur samhällets organisering och strukturer påverkar flickor och pojkar, kvinnor och män </w:t>
      </w:r>
      <w:r w:rsidRPr="004406DE">
        <w:t>är en av förutsättningarna för ett d</w:t>
      </w:r>
      <w:r w:rsidRPr="004406DE">
        <w:t>e</w:t>
      </w:r>
      <w:r w:rsidRPr="004406DE">
        <w:t>mokratiskt och rättvist samhälle.</w:t>
      </w:r>
    </w:p>
    <w:p w:rsidR="004406DE" w:rsidRPr="004406DE" w:rsidRDefault="004406DE" w:rsidP="00023C6C">
      <w:pPr>
        <w:ind w:firstLine="284"/>
      </w:pPr>
      <w:r w:rsidRPr="004406DE">
        <w:t xml:space="preserve">Under året har landskapsregeringens fokus varit jämställd barnomsorgs- och </w:t>
      </w:r>
      <w:r w:rsidR="005201E7">
        <w:t>f</w:t>
      </w:r>
      <w:r w:rsidRPr="004406DE">
        <w:t>ritidsverksamhet samt arbete med att samordna insatserna i arbetet mot våld i nära relationer. Detta arbete fortgår under 2015 samtidigt som landskapsregeringen inleder omfattande utbildnings- och kompetensh</w:t>
      </w:r>
      <w:r w:rsidRPr="004406DE">
        <w:t>ö</w:t>
      </w:r>
      <w:r w:rsidRPr="004406DE">
        <w:t>jande insatser för att skapa en grundläggande förståelse för genus- och jä</w:t>
      </w:r>
      <w:r w:rsidRPr="004406DE">
        <w:t>m</w:t>
      </w:r>
      <w:r w:rsidRPr="004406DE">
        <w:t xml:space="preserve">ställdhetsfrågor. Alla som använder </w:t>
      </w:r>
      <w:r w:rsidR="005201E7">
        <w:t xml:space="preserve">sig av </w:t>
      </w:r>
      <w:r w:rsidRPr="004406DE">
        <w:t xml:space="preserve">skattefinansierad verksamhet ska </w:t>
      </w:r>
      <w:r w:rsidRPr="004406DE">
        <w:lastRenderedPageBreak/>
        <w:t>känna trygghet i att bemötande och service utformas och att resurser förd</w:t>
      </w:r>
      <w:r w:rsidRPr="004406DE">
        <w:t>e</w:t>
      </w:r>
      <w:r w:rsidRPr="004406DE">
        <w:t>las likvärdigt så att de svarar mot flickors/kvinnors och pojkars/mäns liv</w:t>
      </w:r>
      <w:r w:rsidRPr="004406DE">
        <w:t>s</w:t>
      </w:r>
      <w:r w:rsidRPr="004406DE">
        <w:t xml:space="preserve">villkor och behov. Den treåriga utbildningskampanjen ”Jämställt Åland” riktar sig i huvudsak till offentlig sektor såsom myndigheter och kommuner men det finns </w:t>
      </w:r>
      <w:r w:rsidR="005201E7">
        <w:t>även</w:t>
      </w:r>
      <w:r w:rsidRPr="004406DE">
        <w:t xml:space="preserve"> beredskap att göra insatser i samarbete med </w:t>
      </w:r>
      <w:r w:rsidR="005201E7">
        <w:t xml:space="preserve">den </w:t>
      </w:r>
      <w:r w:rsidRPr="004406DE">
        <w:t>privat</w:t>
      </w:r>
      <w:r w:rsidR="005201E7">
        <w:t>a</w:t>
      </w:r>
      <w:r w:rsidRPr="004406DE">
        <w:t xml:space="preserve"> och tredje sektorn.</w:t>
      </w:r>
    </w:p>
    <w:p w:rsidR="004406DE" w:rsidRPr="00A2089D" w:rsidRDefault="004406DE" w:rsidP="00023C6C">
      <w:pPr>
        <w:ind w:firstLine="284"/>
      </w:pPr>
      <w:r w:rsidRPr="004406DE">
        <w:t xml:space="preserve">Den politiska strategin för att uppnå </w:t>
      </w:r>
      <w:r w:rsidR="005201E7">
        <w:t xml:space="preserve">de </w:t>
      </w:r>
      <w:r w:rsidRPr="004406DE">
        <w:t xml:space="preserve">jämställdhetsmål </w:t>
      </w:r>
      <w:r w:rsidR="005201E7">
        <w:t xml:space="preserve">som uppställts </w:t>
      </w:r>
      <w:r w:rsidRPr="004406DE">
        <w:t xml:space="preserve">är jämställdhetsintegrering och särskilda insatser. Landskapsregeringen konstaterar ändå att jämställdhet eller ojämställdhet skapas där ordinarie beslut fattas, resurser fördelas och normer skapas och därför ska genus- och jämställdhetsperspektivet finnas med i det dagliga arbetet – från förslag till </w:t>
      </w:r>
      <w:r w:rsidRPr="00A2089D">
        <w:t>genomförande och utvärdering.</w:t>
      </w:r>
    </w:p>
    <w:p w:rsidR="00A2089D" w:rsidRPr="00A2089D" w:rsidRDefault="00A2089D" w:rsidP="00023C6C">
      <w:pPr>
        <w:ind w:firstLine="284"/>
        <w:rPr>
          <w:b/>
        </w:rPr>
      </w:pPr>
      <w:r w:rsidRPr="00A2089D">
        <w:t xml:space="preserve">Landskapsregeringen fortsätter samarbetet med Nationellt Centrum för Kvinnofrid i Uppsala gällande kvinnofridslinjen och med ’Alternativ </w:t>
      </w:r>
      <w:proofErr w:type="spellStart"/>
      <w:r w:rsidRPr="00A2089D">
        <w:t>til</w:t>
      </w:r>
      <w:proofErr w:type="spellEnd"/>
      <w:r w:rsidRPr="00A2089D">
        <w:t xml:space="preserve"> </w:t>
      </w:r>
      <w:proofErr w:type="spellStart"/>
      <w:r w:rsidRPr="00A2089D">
        <w:t>Vold</w:t>
      </w:r>
      <w:proofErr w:type="spellEnd"/>
      <w:r w:rsidRPr="00A2089D">
        <w:t>’ i Oslo gällande gruppverksamhet för förövare. Utbildning, kontinue</w:t>
      </w:r>
      <w:r w:rsidRPr="00A2089D">
        <w:t>r</w:t>
      </w:r>
      <w:r w:rsidRPr="00A2089D">
        <w:t>lig kompetensutveckling och handledning för berörda aktörer ingår i det nordiska samarbetet.</w:t>
      </w:r>
    </w:p>
    <w:p w:rsidR="004406DE" w:rsidRPr="004406DE" w:rsidRDefault="004406DE" w:rsidP="00386441">
      <w:pPr>
        <w:pStyle w:val="Rubrik3"/>
      </w:pPr>
      <w:bookmarkStart w:id="27" w:name="_Toc410897646"/>
      <w:bookmarkStart w:id="28" w:name="_Toc412712662"/>
      <w:r w:rsidRPr="004406DE">
        <w:t>2.3.</w:t>
      </w:r>
      <w:r w:rsidR="0057375E">
        <w:t>9</w:t>
      </w:r>
      <w:r w:rsidRPr="004406DE">
        <w:t xml:space="preserve"> Finans</w:t>
      </w:r>
      <w:bookmarkEnd w:id="27"/>
      <w:bookmarkEnd w:id="28"/>
    </w:p>
    <w:p w:rsidR="004406DE" w:rsidRPr="004406DE" w:rsidRDefault="004406DE" w:rsidP="005242BE">
      <w:r w:rsidRPr="004406DE">
        <w:t xml:space="preserve">De nordiska regeringarnas samarbete inom ekonomi- och finansområdet leds av de nordiska finansministrarna, vilka utgör ministerrådet för finans. Samarbetet lägger grunden för att främja nordiska intressen internationellt samt för en mer omfattande global och nordisk ekonomisk integration. Vid </w:t>
      </w:r>
      <w:r w:rsidR="005201E7">
        <w:t>ministerråds</w:t>
      </w:r>
      <w:r w:rsidRPr="004406DE">
        <w:t>mötena utbyts även aktuell information om den ekonomiska s</w:t>
      </w:r>
      <w:r w:rsidRPr="004406DE">
        <w:t>i</w:t>
      </w:r>
      <w:r w:rsidRPr="004406DE">
        <w:t>tuationen i respektive land och om den förda ekonomiska politiken. Därtill tas vissa gränshinderärenden och skatteavtalsfrågor upp.</w:t>
      </w:r>
    </w:p>
    <w:p w:rsidR="004406DE" w:rsidRPr="004406DE" w:rsidRDefault="004406DE" w:rsidP="00023C6C">
      <w:pPr>
        <w:ind w:firstLine="284"/>
      </w:pPr>
      <w:r w:rsidRPr="004406DE">
        <w:t>Ämbetsmannakommittén för finans har främst till uppgift att förbereda ministerrådets möten och ta ställning till olika projektansökningar. Lan</w:t>
      </w:r>
      <w:r w:rsidRPr="004406DE">
        <w:t>d</w:t>
      </w:r>
      <w:r w:rsidRPr="004406DE">
        <w:t>skapsregeringens finansavdelning har under året följt ämbetsmannako</w:t>
      </w:r>
      <w:r w:rsidRPr="004406DE">
        <w:t>m</w:t>
      </w:r>
      <w:r w:rsidRPr="004406DE">
        <w:t>mitténs arbete och eftersträvar att delta i möten då ärenden relevanta för Åland behandlas. Sådana ärenden har exempelvis koppling till gränshinder med anknytning till skattegränshanteringen, initiativ till ändringar av det nordiska dubbelbeskattningsavtalet eller ärenden initierade av de övriga autonoma områdena.</w:t>
      </w:r>
    </w:p>
    <w:p w:rsidR="004406DE" w:rsidRPr="004406DE" w:rsidRDefault="004406DE" w:rsidP="00386441">
      <w:pPr>
        <w:pStyle w:val="Rubrik3"/>
      </w:pPr>
      <w:bookmarkStart w:id="29" w:name="_Toc410897647"/>
      <w:bookmarkStart w:id="30" w:name="_Toc412712663"/>
      <w:r w:rsidRPr="004406DE">
        <w:t>2.3.1</w:t>
      </w:r>
      <w:r w:rsidR="0057375E">
        <w:t>0</w:t>
      </w:r>
      <w:r w:rsidRPr="004406DE">
        <w:t xml:space="preserve"> Energi</w:t>
      </w:r>
      <w:bookmarkEnd w:id="29"/>
      <w:bookmarkEnd w:id="30"/>
    </w:p>
    <w:p w:rsidR="004406DE" w:rsidRPr="004406DE" w:rsidRDefault="004406DE" w:rsidP="005242BE">
      <w:r w:rsidRPr="004406DE">
        <w:t xml:space="preserve">Åland med sitt insulära läge är särskilt utsatt för förändringar i klimatet och möjligheterna till återvinningsbar och säker energiproduktion. Åland har även goda förutsättningar för ökad produktion av förnybara energikällor. Vinden är hög och jämn i havsbandet och med moderna vindturbiner kan Åland öka andelen vindproducerad el avsevärt. </w:t>
      </w:r>
    </w:p>
    <w:p w:rsidR="005201E7" w:rsidRDefault="004406DE" w:rsidP="00023C6C">
      <w:pPr>
        <w:ind w:firstLine="284"/>
      </w:pPr>
      <w:r w:rsidRPr="004406DE">
        <w:t xml:space="preserve">Landskapsregeringen </w:t>
      </w:r>
      <w:r w:rsidR="005201E7">
        <w:t>utformar för tillfället tillsammans med riket</w:t>
      </w:r>
      <w:r w:rsidRPr="004406DE">
        <w:t xml:space="preserve"> ett stödsystem för vindproduktion vilket kan medföra att Ålands elproduktion kan uppgå till 65-70% av den egna förbrukningen, vilket i internationella sammanhang är en mycket hög målsättning. Kabelförbindelsen som nu är under upp</w:t>
      </w:r>
      <w:r w:rsidR="005201E7">
        <w:t>byggnad till finska fastlandet utgö</w:t>
      </w:r>
      <w:r w:rsidRPr="004406DE">
        <w:t xml:space="preserve">r en förutsättning för detta.  </w:t>
      </w:r>
    </w:p>
    <w:p w:rsidR="004406DE" w:rsidRPr="00115132" w:rsidRDefault="004406DE" w:rsidP="00023C6C">
      <w:pPr>
        <w:ind w:firstLine="284"/>
      </w:pPr>
      <w:r w:rsidRPr="004406DE">
        <w:t>Transiteringsmöjligheten som möjliggörs då kabelförbindelsen till Fi</w:t>
      </w:r>
      <w:r w:rsidRPr="004406DE">
        <w:t>n</w:t>
      </w:r>
      <w:r w:rsidRPr="004406DE">
        <w:t xml:space="preserve">land står klar är även av intresse för Finland och är ett led i EU:s strävan att öka förbindelserna mellan </w:t>
      </w:r>
      <w:r w:rsidR="005201E7">
        <w:t>länder</w:t>
      </w:r>
      <w:r w:rsidRPr="004406DE">
        <w:t xml:space="preserve">na. Det är </w:t>
      </w:r>
      <w:r w:rsidRPr="00EE65FB">
        <w:t>även viktigt ur elförsörjning</w:t>
      </w:r>
      <w:r w:rsidRPr="00EE65FB">
        <w:t>s</w:t>
      </w:r>
      <w:r w:rsidRPr="00EE65FB">
        <w:t xml:space="preserve">synpunkt att </w:t>
      </w:r>
      <w:r w:rsidR="005201E7" w:rsidRPr="00EE65FB">
        <w:t>länd</w:t>
      </w:r>
      <w:r w:rsidRPr="00EE65FB">
        <w:t xml:space="preserve">erna ökar </w:t>
      </w:r>
      <w:r w:rsidRPr="00115132">
        <w:t>förbindelseanslutningar</w:t>
      </w:r>
      <w:r w:rsidR="00DE45F7" w:rsidRPr="00115132">
        <w:t>na.</w:t>
      </w:r>
      <w:r w:rsidR="005C0CEF" w:rsidRPr="00115132">
        <w:t xml:space="preserve"> För en detaljerad r</w:t>
      </w:r>
      <w:r w:rsidR="005C0CEF" w:rsidRPr="00115132">
        <w:t>e</w:t>
      </w:r>
      <w:r w:rsidR="005C0CEF" w:rsidRPr="00115132">
        <w:t xml:space="preserve">dogörelse av problematiken kring den regionnätsavgift som för nuvarande uppbärs för kabelanslutningen till Sverige, se kapitel </w:t>
      </w:r>
      <w:r w:rsidR="007F4388" w:rsidRPr="00115132">
        <w:t>1</w:t>
      </w:r>
      <w:r w:rsidR="00861BD6" w:rsidRPr="00115132">
        <w:t>4</w:t>
      </w:r>
      <w:r w:rsidR="005C0CEF" w:rsidRPr="00115132">
        <w:t xml:space="preserve"> i landskapsreg</w:t>
      </w:r>
      <w:r w:rsidR="005C0CEF" w:rsidRPr="00115132">
        <w:t>e</w:t>
      </w:r>
      <w:r w:rsidR="005C0CEF" w:rsidRPr="00115132">
        <w:t xml:space="preserve">ringens självstyrelsepolitiska redogörelse nr </w:t>
      </w:r>
      <w:r w:rsidR="00115132" w:rsidRPr="00115132">
        <w:t>1</w:t>
      </w:r>
      <w:r w:rsidR="005C0CEF" w:rsidRPr="00115132">
        <w:t>/2014-2015.</w:t>
      </w:r>
    </w:p>
    <w:p w:rsidR="004406DE" w:rsidRPr="004406DE" w:rsidRDefault="004406DE" w:rsidP="00023C6C">
      <w:pPr>
        <w:ind w:firstLine="284"/>
      </w:pPr>
      <w:r w:rsidRPr="00115132">
        <w:t>Åland stöder gemensamma nordiska initiativ för en mer hållbar energ</w:t>
      </w:r>
      <w:r w:rsidRPr="00115132">
        <w:t>i</w:t>
      </w:r>
      <w:r w:rsidRPr="00115132">
        <w:t>produktion och projekt som ger ökad</w:t>
      </w:r>
      <w:r w:rsidRPr="004406DE">
        <w:t xml:space="preserve"> kunskap om effekterna av klimatfö</w:t>
      </w:r>
      <w:r w:rsidRPr="004406DE">
        <w:t>r</w:t>
      </w:r>
      <w:r w:rsidRPr="004406DE">
        <w:t>ändringar i olika delar av Norden.</w:t>
      </w:r>
    </w:p>
    <w:p w:rsidR="004406DE" w:rsidRPr="004406DE" w:rsidRDefault="004406DE" w:rsidP="00386441">
      <w:pPr>
        <w:pStyle w:val="Rubrik3"/>
      </w:pPr>
      <w:bookmarkStart w:id="31" w:name="_Toc410897648"/>
      <w:bookmarkStart w:id="32" w:name="_Toc412712664"/>
      <w:r w:rsidRPr="004406DE">
        <w:lastRenderedPageBreak/>
        <w:t>2.3.1</w:t>
      </w:r>
      <w:r w:rsidR="0057375E">
        <w:t>1</w:t>
      </w:r>
      <w:r w:rsidRPr="004406DE">
        <w:t xml:space="preserve"> Miljö</w:t>
      </w:r>
      <w:bookmarkEnd w:id="31"/>
      <w:bookmarkEnd w:id="32"/>
    </w:p>
    <w:p w:rsidR="004406DE" w:rsidRPr="004406DE" w:rsidRDefault="00C45D55" w:rsidP="005242BE">
      <w:r>
        <w:t xml:space="preserve">Det operativa </w:t>
      </w:r>
      <w:r w:rsidRPr="00C45D55">
        <w:t xml:space="preserve">arbetet inom </w:t>
      </w:r>
      <w:r w:rsidR="00423354" w:rsidRPr="00C45D55">
        <w:t>ministerrådet för miljö</w:t>
      </w:r>
      <w:r w:rsidR="004406DE" w:rsidRPr="00C45D55">
        <w:t xml:space="preserve"> kännetecknas av åtta a</w:t>
      </w:r>
      <w:r w:rsidR="004406DE" w:rsidRPr="00C45D55">
        <w:t>r</w:t>
      </w:r>
      <w:r w:rsidR="004406DE" w:rsidRPr="00C45D55">
        <w:t>betsgrupper</w:t>
      </w:r>
      <w:r w:rsidR="004406DE" w:rsidRPr="004406DE">
        <w:t xml:space="preserve"> där landskapsregeringen är aktiva eller har en observatörs</w:t>
      </w:r>
      <w:r w:rsidR="00423354">
        <w:t>roll. En av de grupper i vilken</w:t>
      </w:r>
      <w:r w:rsidR="004406DE" w:rsidRPr="004406DE">
        <w:t xml:space="preserve"> landskapsregeringen är aktiv </w:t>
      </w:r>
      <w:r w:rsidR="00423354">
        <w:t>är</w:t>
      </w:r>
      <w:r w:rsidR="004406DE" w:rsidRPr="004406DE">
        <w:t xml:space="preserve"> HAV-gruppen</w:t>
      </w:r>
      <w:r w:rsidR="00423354">
        <w:t>,</w:t>
      </w:r>
      <w:r w:rsidR="004406DE" w:rsidRPr="004406DE">
        <w:t xml:space="preserve"> som arbetar med miljöfrågor kopplade till kust och hav. I styrgruppen för </w:t>
      </w:r>
      <w:proofErr w:type="spellStart"/>
      <w:r w:rsidR="004406DE" w:rsidRPr="004406DE">
        <w:t>HAV:s</w:t>
      </w:r>
      <w:proofErr w:type="spellEnd"/>
      <w:r w:rsidR="004406DE" w:rsidRPr="004406DE">
        <w:t xml:space="preserve"> nätverk ligger fokus på att ta fram en gemensam nordisk modell för havsplanläggning. </w:t>
      </w:r>
      <w:r w:rsidR="00423354">
        <w:t>A</w:t>
      </w:r>
      <w:r w:rsidR="004406DE" w:rsidRPr="004406DE">
        <w:t xml:space="preserve">ndra </w:t>
      </w:r>
      <w:r w:rsidR="00423354">
        <w:t>pri</w:t>
      </w:r>
      <w:r w:rsidR="006511C9">
        <w:t>o</w:t>
      </w:r>
      <w:r w:rsidR="00423354">
        <w:t xml:space="preserve">riterade </w:t>
      </w:r>
      <w:r w:rsidR="004406DE" w:rsidRPr="004406DE">
        <w:t xml:space="preserve">områden </w:t>
      </w:r>
      <w:r w:rsidR="00423354">
        <w:t>i</w:t>
      </w:r>
      <w:r w:rsidR="004406DE" w:rsidRPr="004406DE">
        <w:t xml:space="preserve"> HAV</w:t>
      </w:r>
      <w:r w:rsidR="006511C9">
        <w:t>-gruppen</w:t>
      </w:r>
      <w:r w:rsidR="004406DE" w:rsidRPr="004406DE">
        <w:t xml:space="preserve"> </w:t>
      </w:r>
      <w:r w:rsidR="006511C9">
        <w:t>ä</w:t>
      </w:r>
      <w:r w:rsidR="00423354">
        <w:t>r</w:t>
      </w:r>
      <w:r w:rsidR="004406DE" w:rsidRPr="004406DE">
        <w:t xml:space="preserve"> marint avfall, klimat, havsförsurning </w:t>
      </w:r>
      <w:r w:rsidR="00423354">
        <w:t>samt det</w:t>
      </w:r>
      <w:r w:rsidR="004406DE" w:rsidRPr="004406DE">
        <w:t xml:space="preserve"> arktiska området.</w:t>
      </w:r>
    </w:p>
    <w:p w:rsidR="004406DE" w:rsidRPr="004406DE" w:rsidRDefault="004406DE" w:rsidP="00023C6C">
      <w:pPr>
        <w:ind w:firstLine="284"/>
      </w:pPr>
      <w:r w:rsidRPr="004406DE">
        <w:t>Landskapsregeringen kommer delta i nordiska avfallsgruppens arbete där arbetet med</w:t>
      </w:r>
      <w:r w:rsidR="006511C9">
        <w:t xml:space="preserve"> såväl</w:t>
      </w:r>
      <w:r w:rsidRPr="004406DE">
        <w:t xml:space="preserve"> plast- och textilåtervinning </w:t>
      </w:r>
      <w:r w:rsidR="006511C9">
        <w:t xml:space="preserve">som med </w:t>
      </w:r>
      <w:r w:rsidRPr="004406DE">
        <w:t>återanvändning står i fokus.</w:t>
      </w:r>
    </w:p>
    <w:p w:rsidR="004406DE" w:rsidRPr="004406DE" w:rsidRDefault="004406DE" w:rsidP="00023C6C">
      <w:pPr>
        <w:ind w:firstLine="284"/>
      </w:pPr>
      <w:r w:rsidRPr="004406DE">
        <w:t>Expertgruppen för hållbar utveckling administrera</w:t>
      </w:r>
      <w:r w:rsidR="00423354">
        <w:t>s också</w:t>
      </w:r>
      <w:r w:rsidRPr="004406DE">
        <w:t xml:space="preserve"> under m</w:t>
      </w:r>
      <w:r w:rsidRPr="004406DE">
        <w:t>i</w:t>
      </w:r>
      <w:r w:rsidRPr="004406DE">
        <w:t xml:space="preserve">nisterrådet för miljö. Landskapsregeringen kommer följa </w:t>
      </w:r>
      <w:r w:rsidR="00423354">
        <w:t>arbetet i gruppen</w:t>
      </w:r>
      <w:r w:rsidRPr="004406DE">
        <w:t>.</w:t>
      </w:r>
    </w:p>
    <w:p w:rsidR="001D6BF6" w:rsidRPr="00A76A6B" w:rsidRDefault="0088374C" w:rsidP="001D6BF6">
      <w:pPr>
        <w:pStyle w:val="Rubrik3"/>
      </w:pPr>
      <w:bookmarkStart w:id="33" w:name="_Toc412712665"/>
      <w:r w:rsidRPr="00A76A6B">
        <w:t>2.3.12 Informella n</w:t>
      </w:r>
      <w:r w:rsidR="00A362D1" w:rsidRPr="00A76A6B">
        <w:t xml:space="preserve">ordiska </w:t>
      </w:r>
      <w:r w:rsidRPr="00A76A6B">
        <w:t>minister</w:t>
      </w:r>
      <w:r w:rsidR="00A362D1" w:rsidRPr="00A76A6B">
        <w:t>möten</w:t>
      </w:r>
      <w:bookmarkEnd w:id="33"/>
    </w:p>
    <w:p w:rsidR="0088374C" w:rsidRPr="005B5ACB" w:rsidRDefault="0088374C" w:rsidP="005242BE">
      <w:r w:rsidRPr="005B5ACB">
        <w:t>Utanför det formella Nordiska ministerrådet upprätthålls kontakter mellan de nordiska transport- och kommunministrarna inom sina respektive omr</w:t>
      </w:r>
      <w:r w:rsidRPr="005B5ACB">
        <w:t>å</w:t>
      </w:r>
      <w:r w:rsidRPr="005B5ACB">
        <w:t>den.</w:t>
      </w:r>
    </w:p>
    <w:p w:rsidR="00023C6C" w:rsidRDefault="0088374C" w:rsidP="00023C6C">
      <w:pPr>
        <w:ind w:firstLine="284"/>
      </w:pPr>
      <w:r w:rsidRPr="005B5ACB">
        <w:t>Då Nordiska ministerrådet 2006 genomgick en reform där antalet m</w:t>
      </w:r>
      <w:r w:rsidRPr="005B5ACB">
        <w:t>i</w:t>
      </w:r>
      <w:r w:rsidRPr="005B5ACB">
        <w:t xml:space="preserve">nisterråd </w:t>
      </w:r>
      <w:r w:rsidR="00423354">
        <w:t xml:space="preserve">minskades </w:t>
      </w:r>
      <w:r w:rsidRPr="005B5ACB">
        <w:t xml:space="preserve">från 18 till 11, försvann frågor </w:t>
      </w:r>
      <w:r w:rsidR="00423354" w:rsidRPr="005B5ACB">
        <w:t>från det formella no</w:t>
      </w:r>
      <w:r w:rsidR="00423354" w:rsidRPr="005B5ACB">
        <w:t>r</w:t>
      </w:r>
      <w:r w:rsidR="00423354" w:rsidRPr="005B5ACB">
        <w:t xml:space="preserve">diska samarbetet </w:t>
      </w:r>
      <w:r w:rsidR="00423354">
        <w:t>i vilka</w:t>
      </w:r>
      <w:r w:rsidRPr="005B5ACB">
        <w:t xml:space="preserve"> Åland har intresse och egen behörighet. Bland dessa frågor finns ministerrådet för transport samt fackområden inom k</w:t>
      </w:r>
      <w:r w:rsidR="00C655C9">
        <w:t xml:space="preserve">ommunal förvaltning, </w:t>
      </w:r>
      <w:r w:rsidR="00C655C9" w:rsidRPr="00EE65FB">
        <w:t xml:space="preserve">exempelvis </w:t>
      </w:r>
      <w:r w:rsidRPr="00EE65FB">
        <w:t>bygg</w:t>
      </w:r>
      <w:r w:rsidR="00C45D55" w:rsidRPr="00EE65FB">
        <w:t>ande</w:t>
      </w:r>
      <w:r w:rsidRPr="00EE65FB">
        <w:t xml:space="preserve"> och boende. De nordiska</w:t>
      </w:r>
      <w:r w:rsidRPr="005B5ACB">
        <w:t xml:space="preserve"> transport- och kommunministrarna har utanför Nordiska minsisterrådets regi fortsatt sina kontakter i ett informellt samarbete. Det är landskapsreg</w:t>
      </w:r>
      <w:r w:rsidRPr="005B5ACB">
        <w:t>e</w:t>
      </w:r>
      <w:r w:rsidRPr="005B5ACB">
        <w:t>ringens uppfattning att Ålands infrastruktur- och kansliminister ska delta i dessa fackministermöten. Sedan 2014 får kansliministern en inbjudan att delta när kommunministrarna träffas.</w:t>
      </w:r>
    </w:p>
    <w:p w:rsidR="004406DE" w:rsidRPr="004406DE" w:rsidRDefault="002621D1" w:rsidP="002621D1">
      <w:pPr>
        <w:pStyle w:val="Rubrik1"/>
        <w:numPr>
          <w:ilvl w:val="0"/>
          <w:numId w:val="0"/>
        </w:numPr>
      </w:pPr>
      <w:bookmarkStart w:id="34" w:name="_Toc410897649"/>
      <w:r>
        <w:br w:type="page"/>
      </w:r>
      <w:bookmarkStart w:id="35" w:name="_Toc412712666"/>
      <w:r w:rsidR="004406DE" w:rsidRPr="004406DE">
        <w:lastRenderedPageBreak/>
        <w:t>3. EU</w:t>
      </w:r>
      <w:bookmarkEnd w:id="34"/>
      <w:bookmarkEnd w:id="35"/>
    </w:p>
    <w:p w:rsidR="006F467C" w:rsidRPr="00725FAE" w:rsidRDefault="006F467C" w:rsidP="005242BE">
      <w:r w:rsidRPr="00725FAE">
        <w:t xml:space="preserve">Landskapsregeringens arbete med EU-frågor år 2014 har </w:t>
      </w:r>
      <w:r w:rsidR="00D33933" w:rsidRPr="00725FAE">
        <w:t xml:space="preserve">starkt påverkats av att året </w:t>
      </w:r>
      <w:r w:rsidR="007F4388">
        <w:t xml:space="preserve">inom EU </w:t>
      </w:r>
      <w:r w:rsidR="00D33933" w:rsidRPr="00725FAE">
        <w:t>utgjorde</w:t>
      </w:r>
      <w:r w:rsidRPr="00725FAE">
        <w:t xml:space="preserve"> något av ett </w:t>
      </w:r>
      <w:r w:rsidR="007F4388">
        <w:t>omställnings</w:t>
      </w:r>
      <w:r w:rsidRPr="00725FAE">
        <w:t>år, i och med Eur</w:t>
      </w:r>
      <w:r w:rsidRPr="00725FAE">
        <w:t>o</w:t>
      </w:r>
      <w:r w:rsidRPr="00725FAE">
        <w:t xml:space="preserve">paparlamentsval och tillträde av en ny kommission. </w:t>
      </w:r>
    </w:p>
    <w:p w:rsidR="004406DE" w:rsidRPr="004406DE" w:rsidRDefault="004406DE" w:rsidP="00023C6C">
      <w:pPr>
        <w:ind w:firstLine="284"/>
      </w:pPr>
      <w:r w:rsidRPr="004406DE">
        <w:t>Den 22 – 25 maj 2014 hölls val till Europaparlamentet i EU:s medlem</w:t>
      </w:r>
      <w:r w:rsidRPr="004406DE">
        <w:t>s</w:t>
      </w:r>
      <w:r w:rsidRPr="004406DE">
        <w:t>stater. Det nyvalda parlamentet samlades för första gå</w:t>
      </w:r>
      <w:r w:rsidR="00725FAE">
        <w:t>ngen den 1-</w:t>
      </w:r>
      <w:r w:rsidRPr="004406DE">
        <w:t>3 juli 2014 i Strasbourg. Parla</w:t>
      </w:r>
      <w:r w:rsidR="008B3251">
        <w:t xml:space="preserve">mentet godkände hela den nya </w:t>
      </w:r>
      <w:r w:rsidRPr="004406DE">
        <w:t>kommissionen i en omröstning den 22 oktober 2014 och den nya kommissionen började arbeta den 1 november. Den 16 december 2014 publicerade kommissionen sitt a</w:t>
      </w:r>
      <w:r w:rsidRPr="004406DE">
        <w:t>r</w:t>
      </w:r>
      <w:r w:rsidRPr="004406DE">
        <w:t>betsprogram för 2015. Kommissionen säger i arbetsprogrammet att man kommer att koncentrera sig på tio prioriteringar och lägger endast fram in</w:t>
      </w:r>
      <w:r w:rsidRPr="004406DE">
        <w:t>i</w:t>
      </w:r>
      <w:r w:rsidRPr="004406DE">
        <w:t>tiativ som bidrar till dessa prioriteringar. Kommissionen kommer även att dra tillbaka pågående initiativ som inte stämmer överens med de uppställda målen eller som inte leder någon vart. I några fall vill kommissionen dra tillbaka initiativ och ersätta dem med mer långtgående initiativ eller in</w:t>
      </w:r>
      <w:r w:rsidRPr="004406DE">
        <w:t>i</w:t>
      </w:r>
      <w:r w:rsidRPr="004406DE">
        <w:t>tiativ som är bättre anpassade till de tio prioriteringarna. Kommissionens tio prioriteringar är:</w:t>
      </w:r>
    </w:p>
    <w:p w:rsidR="004406DE" w:rsidRPr="004406DE" w:rsidRDefault="004406DE" w:rsidP="00023C6C">
      <w:pPr>
        <w:numPr>
          <w:ilvl w:val="0"/>
          <w:numId w:val="17"/>
        </w:numPr>
      </w:pPr>
      <w:r w:rsidRPr="004406DE">
        <w:t>En ny satsning på sysselsättning, tillväxt och investeringar</w:t>
      </w:r>
    </w:p>
    <w:p w:rsidR="004406DE" w:rsidRPr="004406DE" w:rsidRDefault="004406DE" w:rsidP="00023C6C">
      <w:pPr>
        <w:numPr>
          <w:ilvl w:val="0"/>
          <w:numId w:val="17"/>
        </w:numPr>
      </w:pPr>
      <w:r w:rsidRPr="004406DE">
        <w:t>En sammankopplad digital inre marknad</w:t>
      </w:r>
    </w:p>
    <w:p w:rsidR="004406DE" w:rsidRPr="004406DE" w:rsidRDefault="004406DE" w:rsidP="00B1087D">
      <w:pPr>
        <w:numPr>
          <w:ilvl w:val="0"/>
          <w:numId w:val="17"/>
        </w:numPr>
        <w:ind w:left="567" w:hanging="207"/>
      </w:pPr>
      <w:r w:rsidRPr="004406DE">
        <w:t>En motståndskraftig energiunion och en framåtblickande klimatpo</w:t>
      </w:r>
      <w:r w:rsidR="00B1087D">
        <w:t>l</w:t>
      </w:r>
      <w:r w:rsidR="00B1087D">
        <w:t>i</w:t>
      </w:r>
      <w:r w:rsidRPr="004406DE">
        <w:t>tik</w:t>
      </w:r>
    </w:p>
    <w:p w:rsidR="004406DE" w:rsidRPr="004406DE" w:rsidRDefault="004406DE" w:rsidP="00023C6C">
      <w:pPr>
        <w:numPr>
          <w:ilvl w:val="0"/>
          <w:numId w:val="17"/>
        </w:numPr>
      </w:pPr>
      <w:r w:rsidRPr="004406DE">
        <w:t>En fördjupad och mer rättvis inre marknad med en stärkt industribas</w:t>
      </w:r>
    </w:p>
    <w:p w:rsidR="004406DE" w:rsidRPr="004406DE" w:rsidRDefault="004406DE" w:rsidP="00023C6C">
      <w:pPr>
        <w:numPr>
          <w:ilvl w:val="0"/>
          <w:numId w:val="17"/>
        </w:numPr>
      </w:pPr>
      <w:r w:rsidRPr="004406DE">
        <w:t>En djupare och mer rättvis ekonomisk och monetär union</w:t>
      </w:r>
    </w:p>
    <w:p w:rsidR="004406DE" w:rsidRPr="004406DE" w:rsidRDefault="004406DE" w:rsidP="00023C6C">
      <w:pPr>
        <w:numPr>
          <w:ilvl w:val="0"/>
          <w:numId w:val="17"/>
        </w:numPr>
      </w:pPr>
      <w:r w:rsidRPr="004406DE">
        <w:t>Ett rimligt och balanserat frihandelsavtal med USA</w:t>
      </w:r>
    </w:p>
    <w:p w:rsidR="004406DE" w:rsidRPr="004406DE" w:rsidRDefault="004406DE" w:rsidP="00B1087D">
      <w:pPr>
        <w:numPr>
          <w:ilvl w:val="0"/>
          <w:numId w:val="17"/>
        </w:numPr>
        <w:ind w:left="567" w:hanging="207"/>
      </w:pPr>
      <w:r w:rsidRPr="004406DE">
        <w:t xml:space="preserve">Ett område för rättvisa och grundläggande rättigheter som grundar sig </w:t>
      </w:r>
      <w:r w:rsidR="00023C6C">
        <w:t>på öm</w:t>
      </w:r>
      <w:r w:rsidRPr="004406DE">
        <w:t>sesidigt förtroende</w:t>
      </w:r>
    </w:p>
    <w:p w:rsidR="004406DE" w:rsidRPr="004406DE" w:rsidRDefault="004406DE" w:rsidP="00023C6C">
      <w:pPr>
        <w:numPr>
          <w:ilvl w:val="0"/>
          <w:numId w:val="17"/>
        </w:numPr>
      </w:pPr>
      <w:r w:rsidRPr="004406DE">
        <w:t>Mot en ny migrationspolitik</w:t>
      </w:r>
    </w:p>
    <w:p w:rsidR="004406DE" w:rsidRPr="004406DE" w:rsidRDefault="004406DE" w:rsidP="00023C6C">
      <w:pPr>
        <w:numPr>
          <w:ilvl w:val="0"/>
          <w:numId w:val="17"/>
        </w:numPr>
      </w:pPr>
      <w:r w:rsidRPr="004406DE">
        <w:t>En starkare global aktör</w:t>
      </w:r>
    </w:p>
    <w:p w:rsidR="004406DE" w:rsidRPr="004406DE" w:rsidRDefault="004406DE" w:rsidP="00023C6C">
      <w:pPr>
        <w:numPr>
          <w:ilvl w:val="0"/>
          <w:numId w:val="17"/>
        </w:numPr>
      </w:pPr>
      <w:r w:rsidRPr="004406DE">
        <w:t>En union i demokratisk förändring</w:t>
      </w:r>
    </w:p>
    <w:p w:rsidR="00023C6C" w:rsidRDefault="00023C6C" w:rsidP="00023C6C"/>
    <w:p w:rsidR="004406DE" w:rsidRPr="004406DE" w:rsidRDefault="004406DE" w:rsidP="00023C6C">
      <w:r w:rsidRPr="004406DE">
        <w:t xml:space="preserve">EU inverkar idag </w:t>
      </w:r>
      <w:r w:rsidRPr="00725FAE">
        <w:t>på de flesta områden</w:t>
      </w:r>
      <w:r w:rsidRPr="004406DE">
        <w:t xml:space="preserve"> och har ett omfattande regelverk som kontinuerligt uppdateras och utökas. Eftersom Åland har en i sa</w:t>
      </w:r>
      <w:r w:rsidRPr="004406DE">
        <w:t>m</w:t>
      </w:r>
      <w:r w:rsidRPr="004406DE">
        <w:t>manhanget liten förvaltning går en stor del av resurserna åt till att geno</w:t>
      </w:r>
      <w:r w:rsidRPr="004406DE">
        <w:t>m</w:t>
      </w:r>
      <w:r w:rsidRPr="004406DE">
        <w:t>föra det regelverk som alla EU-stater och dess lagstiftande regioner är fö</w:t>
      </w:r>
      <w:r w:rsidRPr="004406DE">
        <w:t>r</w:t>
      </w:r>
      <w:r w:rsidRPr="004406DE">
        <w:t xml:space="preserve">pliktigade att genomföra. </w:t>
      </w:r>
      <w:r w:rsidR="00205F9B">
        <w:t>Generellt</w:t>
      </w:r>
      <w:r w:rsidRPr="004406DE">
        <w:t xml:space="preserve"> kan sägas att speciellt två saker präglar landskapets ställning vid beredning av ny lagstiftning i EU</w:t>
      </w:r>
      <w:r w:rsidR="00205F9B">
        <w:t>.</w:t>
      </w:r>
      <w:r w:rsidRPr="004406DE">
        <w:t xml:space="preserve"> För det första är Ålands inflytande främst av indirekt natur och för det andra är lan</w:t>
      </w:r>
      <w:r w:rsidRPr="004406DE">
        <w:t>d</w:t>
      </w:r>
      <w:r w:rsidRPr="004406DE">
        <w:t>skapsregeringens resurser begränsade. Därför är det viktigt att det finns klara riktlinjer för vilka EU-ärenden som är viktiga för landskapet. Detta kapitel återspeglar således inte den verksamhet som idag bedrivs vid lan</w:t>
      </w:r>
      <w:r w:rsidRPr="004406DE">
        <w:t>d</w:t>
      </w:r>
      <w:r w:rsidRPr="004406DE">
        <w:t>skapsregeringen när det gäller EU-relaterade frågor, utan behandlar de pri</w:t>
      </w:r>
      <w:r w:rsidRPr="004406DE">
        <w:t>o</w:t>
      </w:r>
      <w:r w:rsidRPr="004406DE">
        <w:t>riteringar som landskapsregeringen gjort i de frågor i vilka Åland inte e</w:t>
      </w:r>
      <w:r w:rsidRPr="004406DE">
        <w:t>n</w:t>
      </w:r>
      <w:r w:rsidRPr="004406DE">
        <w:t>bart ska lägga resurser på att genomföra befintlig EU-lagstiftning, utan fö</w:t>
      </w:r>
      <w:r w:rsidRPr="004406DE">
        <w:t>r</w:t>
      </w:r>
      <w:r w:rsidRPr="004406DE">
        <w:t>söka påverka EU:s initiativ till lagstiftning.</w:t>
      </w:r>
    </w:p>
    <w:p w:rsidR="004406DE" w:rsidRPr="004406DE" w:rsidRDefault="004406DE" w:rsidP="00023C6C">
      <w:pPr>
        <w:ind w:firstLine="284"/>
      </w:pPr>
      <w:r w:rsidRPr="004406DE">
        <w:t>Utgående från kommissionens arbetsprogram har landskapsregeringen valt ut de initiativ som kommer att prioriteras inom landskapet under 2015. Alla prioriterade ärenden för 2015 är inte nya. Beredningen av en del äre</w:t>
      </w:r>
      <w:r w:rsidRPr="004406DE">
        <w:t>n</w:t>
      </w:r>
      <w:r w:rsidRPr="004406DE">
        <w:t xml:space="preserve">den har redan påbörjats vid EU:s institutioner, vilket innebär att även </w:t>
      </w:r>
      <w:r w:rsidR="00725FAE">
        <w:t>b</w:t>
      </w:r>
      <w:r w:rsidR="00725FAE">
        <w:t>e</w:t>
      </w:r>
      <w:r w:rsidR="00725FAE">
        <w:t>red</w:t>
      </w:r>
      <w:r w:rsidRPr="004406DE">
        <w:t>ningen vid landskapsregeringen av dessa ärenden är påbörjad. I kapitel 3.2 finns ett avsnitt om varje prioriterat ärende. I kapitel 3.3 sammanfattas landskapsregeringens nya prioriteringar utifrån kommissionens arbetspr</w:t>
      </w:r>
      <w:r w:rsidRPr="004406DE">
        <w:t>o</w:t>
      </w:r>
      <w:r w:rsidRPr="004406DE">
        <w:t>gram för 2015. I kapitel 3.4 redovisas de ärenden som landskapsregeringen tidigare prioriterat men där lagstiftning kommit under 2014. I kapitel 3.5 beskrivs landskapsregeringens EU-arbete under det gångna året.</w:t>
      </w:r>
    </w:p>
    <w:p w:rsidR="004406DE" w:rsidRPr="004406DE" w:rsidRDefault="004406DE" w:rsidP="00386441">
      <w:pPr>
        <w:pStyle w:val="Rubrik2"/>
      </w:pPr>
      <w:bookmarkStart w:id="36" w:name="_Toc410897650"/>
      <w:bookmarkStart w:id="37" w:name="_Toc412712667"/>
      <w:r w:rsidRPr="004406DE">
        <w:lastRenderedPageBreak/>
        <w:t>3.1 Landskapets möjligheter till inflytande i EU-ärenden</w:t>
      </w:r>
      <w:bookmarkEnd w:id="36"/>
      <w:bookmarkEnd w:id="37"/>
    </w:p>
    <w:p w:rsidR="004406DE" w:rsidRPr="004406DE" w:rsidRDefault="004406DE" w:rsidP="00386441">
      <w:pPr>
        <w:pStyle w:val="Rubrik3"/>
      </w:pPr>
      <w:bookmarkStart w:id="38" w:name="_Toc410897651"/>
      <w:bookmarkStart w:id="39" w:name="_Toc412712668"/>
      <w:r w:rsidRPr="004406DE">
        <w:t>3.1.1 Landskapsregeringens specialrådgivare i Bryssel</w:t>
      </w:r>
      <w:bookmarkEnd w:id="38"/>
      <w:bookmarkEnd w:id="39"/>
    </w:p>
    <w:p w:rsidR="004406DE" w:rsidRPr="004406DE" w:rsidRDefault="004406DE" w:rsidP="005242BE">
      <w:r w:rsidRPr="004406DE">
        <w:t>Åland har en specialrådgivare vid Finlands ständiga representation vid EU. Det är en tjänsteman som förmedlar information till Åland om arbetet vid EU:s institutioner. Tjänstemannen är formellt anställd av utrikesministeriet men arbetar endast för Åland och landskapsregeringen finansierar tjänsten. I samband med att tjänsten lediganslogs 2014 och en ny specialrådgivare tillträdde beslöt landskapsregeringen att en större tyngdpunkt bör läggas på att driva landskapets positioner vid EU:s institutioner.</w:t>
      </w:r>
    </w:p>
    <w:p w:rsidR="004406DE" w:rsidRPr="004406DE" w:rsidRDefault="004406DE" w:rsidP="004406DE">
      <w:pPr>
        <w:pStyle w:val="Rubrik3"/>
      </w:pPr>
      <w:bookmarkStart w:id="40" w:name="_Toc410897652"/>
      <w:bookmarkStart w:id="41" w:name="_Toc412712669"/>
      <w:r w:rsidRPr="00386441">
        <w:t>3.1.2 Nationell expert vid kommissionen</w:t>
      </w:r>
      <w:bookmarkEnd w:id="40"/>
      <w:bookmarkEnd w:id="41"/>
    </w:p>
    <w:p w:rsidR="004406DE" w:rsidRPr="004406DE" w:rsidRDefault="004406DE" w:rsidP="005242BE">
      <w:r w:rsidRPr="004406DE">
        <w:t>Landskapsregeringen strävar efter att upp</w:t>
      </w:r>
      <w:r w:rsidR="008B3251">
        <w:t xml:space="preserve">rätthålla goda kontakter med </w:t>
      </w:r>
      <w:r w:rsidRPr="004406DE">
        <w:t>kommissionen. En nationell expert är formellt anställd vid någon av ko</w:t>
      </w:r>
      <w:r w:rsidRPr="004406DE">
        <w:t>m</w:t>
      </w:r>
      <w:r w:rsidRPr="004406DE">
        <w:t xml:space="preserve">missionens enheter och fullför sina arbetsuppgifter där. Samtidigt behåller tjänstemannen en nära kontakt </w:t>
      </w:r>
      <w:r w:rsidR="00864699">
        <w:t>med sin hemmaförvaltning, det vill säga</w:t>
      </w:r>
      <w:r w:rsidRPr="004406DE">
        <w:t xml:space="preserve"> landskapsregeringen. I dessa kontakter kan tjänstemannen informera om kommande lagstiftning, stödordningar, överträdelseförfaranden samt vä</w:t>
      </w:r>
      <w:r w:rsidRPr="004406DE">
        <w:t>g</w:t>
      </w:r>
      <w:r w:rsidRPr="004406DE">
        <w:t>leda förvaltningen i genomförandet av direktiv och förordningar. Den u</w:t>
      </w:r>
      <w:r w:rsidRPr="004406DE">
        <w:t>t</w:t>
      </w:r>
      <w:r w:rsidRPr="004406DE">
        <w:t>sända tjänstemannen ska även informera tjänstemän vid kommissionen om den rådande situationen i landskapet. Det generella syftet med en nationell expert är att knyta EU:s institutioner närmare medlemsstaternas myndi</w:t>
      </w:r>
      <w:r w:rsidRPr="004406DE">
        <w:t>g</w:t>
      </w:r>
      <w:r w:rsidRPr="004406DE">
        <w:t>heter.</w:t>
      </w:r>
    </w:p>
    <w:p w:rsidR="004406DE" w:rsidRPr="004406DE" w:rsidRDefault="004406DE" w:rsidP="00023C6C">
      <w:pPr>
        <w:ind w:firstLine="284"/>
      </w:pPr>
      <w:r w:rsidRPr="004406DE">
        <w:t>Landskapsregeringen sände år 2011 en tjänsteman för tjänstgöring som nationell expert vid kommissionens generaldirektorat för forskning och i</w:t>
      </w:r>
      <w:r w:rsidRPr="004406DE">
        <w:t>n</w:t>
      </w:r>
      <w:r w:rsidRPr="004406DE">
        <w:t>novation (DG RTD). Landskapsregeringen finansierade den nationella e</w:t>
      </w:r>
      <w:r w:rsidRPr="004406DE">
        <w:t>x</w:t>
      </w:r>
      <w:r w:rsidRPr="004406DE">
        <w:t>perten under två år, varefter statsrådet tog över finans</w:t>
      </w:r>
      <w:r w:rsidR="00725FAE">
        <w:t xml:space="preserve">ieringen under ett år. Den 31 maj </w:t>
      </w:r>
      <w:r w:rsidRPr="004406DE">
        <w:t>2014 överfördes förordnandet till kommissionen.</w:t>
      </w:r>
    </w:p>
    <w:p w:rsidR="004406DE" w:rsidRPr="004406DE" w:rsidRDefault="004406DE" w:rsidP="00023C6C">
      <w:pPr>
        <w:ind w:firstLine="284"/>
      </w:pPr>
      <w:r w:rsidRPr="004406DE">
        <w:t xml:space="preserve">Den 16 september 2014 sände landskapsregeringen, efter förfrågan från kommissionens generaldirektorat för miljö (DG ENV), </w:t>
      </w:r>
      <w:proofErr w:type="spellStart"/>
      <w:r w:rsidRPr="004406DE">
        <w:t>unit</w:t>
      </w:r>
      <w:proofErr w:type="spellEnd"/>
      <w:r w:rsidRPr="004406DE">
        <w:t xml:space="preserve"> D.1 – </w:t>
      </w:r>
      <w:proofErr w:type="spellStart"/>
      <w:r w:rsidRPr="004406DE">
        <w:t>E</w:t>
      </w:r>
      <w:r w:rsidRPr="004406DE">
        <w:t>n</w:t>
      </w:r>
      <w:r w:rsidRPr="004406DE">
        <w:t>forcement</w:t>
      </w:r>
      <w:proofErr w:type="spellEnd"/>
      <w:r w:rsidRPr="004406DE">
        <w:t xml:space="preserve">, </w:t>
      </w:r>
      <w:proofErr w:type="spellStart"/>
      <w:r w:rsidRPr="004406DE">
        <w:t>Cohesion</w:t>
      </w:r>
      <w:proofErr w:type="spellEnd"/>
      <w:r w:rsidRPr="004406DE">
        <w:t xml:space="preserve"> Policy and </w:t>
      </w:r>
      <w:proofErr w:type="spellStart"/>
      <w:r w:rsidRPr="004406DE">
        <w:t>European</w:t>
      </w:r>
      <w:proofErr w:type="spellEnd"/>
      <w:r w:rsidRPr="004406DE">
        <w:t xml:space="preserve"> Semester – Cluster 1, en tjän</w:t>
      </w:r>
      <w:r w:rsidRPr="004406DE">
        <w:t>s</w:t>
      </w:r>
      <w:r w:rsidRPr="004406DE">
        <w:t xml:space="preserve">teman för tjänstgöring som nationell expert till </w:t>
      </w:r>
      <w:r w:rsidR="00632B5D">
        <w:t>generaldirektoratet</w:t>
      </w:r>
      <w:r w:rsidR="00725FAE">
        <w:t xml:space="preserve"> för miljö</w:t>
      </w:r>
      <w:r w:rsidRPr="004406DE">
        <w:t>.</w:t>
      </w:r>
    </w:p>
    <w:p w:rsidR="004406DE" w:rsidRPr="004406DE" w:rsidRDefault="004406DE" w:rsidP="004406DE">
      <w:pPr>
        <w:pStyle w:val="Rubrik3"/>
      </w:pPr>
      <w:bookmarkStart w:id="42" w:name="_Toc410897653"/>
      <w:bookmarkStart w:id="43" w:name="_Toc412712670"/>
      <w:r w:rsidRPr="00386441">
        <w:t>3.1.3 Samarbete med Europaparlamentariker</w:t>
      </w:r>
      <w:bookmarkEnd w:id="42"/>
      <w:bookmarkEnd w:id="43"/>
      <w:r w:rsidRPr="00386441">
        <w:t xml:space="preserve"> </w:t>
      </w:r>
    </w:p>
    <w:p w:rsidR="004406DE" w:rsidRPr="004406DE" w:rsidRDefault="004406DE" w:rsidP="005242BE">
      <w:r w:rsidRPr="004406DE">
        <w:t>Europaparlamentet har idag lagstiftningsmakt som omfattar en majoritet av de områden som ingår i EU:s lagstiftningsbehörighet. Parlamentet kontro</w:t>
      </w:r>
      <w:r w:rsidRPr="004406DE">
        <w:t>l</w:t>
      </w:r>
      <w:r w:rsidRPr="004406DE">
        <w:t xml:space="preserve">lerar även EU:s budget och godkänner kommissionen. Dessutom krävs Europaparlamentets godkännande för en mängd internationella avtal som förhandlats fram av unionen, till exempel inom internationell handel. </w:t>
      </w:r>
    </w:p>
    <w:p w:rsidR="004406DE" w:rsidRPr="004406DE" w:rsidRDefault="004406DE" w:rsidP="00023C6C">
      <w:pPr>
        <w:ind w:firstLine="284"/>
      </w:pPr>
      <w:r w:rsidRPr="004406DE">
        <w:t>Landskapsregeringen har under en längre tid samarbetat med flera parlamentariker och partigrupper. Genom att föra en dialog med parlame</w:t>
      </w:r>
      <w:r w:rsidRPr="004406DE">
        <w:t>n</w:t>
      </w:r>
      <w:r w:rsidRPr="004406DE">
        <w:t>tariker</w:t>
      </w:r>
      <w:r w:rsidR="008B3251">
        <w:t>na</w:t>
      </w:r>
      <w:r w:rsidRPr="004406DE">
        <w:t xml:space="preserve"> har landskapsregeringen haft möjlighet att påverka den politiska processen inom EU till förmån för landskapets intressen. </w:t>
      </w:r>
    </w:p>
    <w:p w:rsidR="004406DE" w:rsidRPr="004406DE" w:rsidRDefault="004406DE" w:rsidP="00023C6C">
      <w:pPr>
        <w:ind w:firstLine="284"/>
      </w:pPr>
      <w:r w:rsidRPr="004406DE">
        <w:t>Landskapsregeringen har ett väl inarbetat nätverk och goda ko</w:t>
      </w:r>
      <w:r w:rsidR="00261EAD">
        <w:t xml:space="preserve">ntakter med Europaparlamentet, och </w:t>
      </w:r>
      <w:r w:rsidRPr="004406DE">
        <w:t xml:space="preserve">samarbetar med såväl finländska </w:t>
      </w:r>
      <w:r w:rsidR="008B3251">
        <w:t>parlament</w:t>
      </w:r>
      <w:r w:rsidR="008B3251">
        <w:t>a</w:t>
      </w:r>
      <w:r w:rsidR="008B3251">
        <w:t>riker som parlamentariker</w:t>
      </w:r>
      <w:r w:rsidRPr="004406DE">
        <w:t xml:space="preserve"> från andra medlemsstater, beroende av vilka ärenden som är på agendan. Landskapsregeringen framför fortlöpande ställningstagande</w:t>
      </w:r>
      <w:r w:rsidR="00261EAD">
        <w:t>n</w:t>
      </w:r>
      <w:r w:rsidRPr="004406DE">
        <w:t xml:space="preserve"> i olika frågor till dessa kontakter.</w:t>
      </w:r>
    </w:p>
    <w:p w:rsidR="004406DE" w:rsidRPr="004406DE" w:rsidRDefault="004406DE" w:rsidP="00023C6C">
      <w:pPr>
        <w:ind w:firstLine="284"/>
      </w:pPr>
      <w:r w:rsidRPr="004406DE">
        <w:t>Landskapsregeringen ämnar under det kommande året fortsätta sama</w:t>
      </w:r>
      <w:r w:rsidRPr="004406DE">
        <w:t>r</w:t>
      </w:r>
      <w:r w:rsidRPr="004406DE">
        <w:t xml:space="preserve">betet med relevanta Europaparlamentariker. </w:t>
      </w:r>
    </w:p>
    <w:p w:rsidR="004406DE" w:rsidRPr="004406DE" w:rsidRDefault="004406DE" w:rsidP="004406DE">
      <w:pPr>
        <w:pStyle w:val="Rubrik3"/>
      </w:pPr>
      <w:bookmarkStart w:id="44" w:name="_Toc410897654"/>
      <w:bookmarkStart w:id="45" w:name="_Toc412712671"/>
      <w:r w:rsidRPr="00386441">
        <w:lastRenderedPageBreak/>
        <w:t>3.1.4 Regionkommittén</w:t>
      </w:r>
      <w:bookmarkEnd w:id="44"/>
      <w:bookmarkEnd w:id="45"/>
    </w:p>
    <w:p w:rsidR="004406DE" w:rsidRPr="004406DE" w:rsidRDefault="004406DE" w:rsidP="005242BE">
      <w:r w:rsidRPr="004406DE">
        <w:t>Finland har nio platser i regionkommittén varav en plats enligt självstyre</w:t>
      </w:r>
      <w:r w:rsidRPr="004406DE">
        <w:t>l</w:t>
      </w:r>
      <w:r w:rsidRPr="004406DE">
        <w:t xml:space="preserve">selagen tillsätts </w:t>
      </w:r>
      <w:r w:rsidRPr="00F55878">
        <w:t>av Åland.</w:t>
      </w:r>
      <w:r w:rsidR="00367E74" w:rsidRPr="00F55878">
        <w:t xml:space="preserve"> </w:t>
      </w:r>
      <w:r w:rsidR="00F55878" w:rsidRPr="00F55878">
        <w:t>Åland har i</w:t>
      </w:r>
      <w:r w:rsidRPr="00F55878">
        <w:t xml:space="preserve"> regionkommittén</w:t>
      </w:r>
      <w:r w:rsidR="00864699" w:rsidRPr="00F55878">
        <w:t xml:space="preserve"> bl</w:t>
      </w:r>
      <w:r w:rsidRPr="00F55878">
        <w:t>a</w:t>
      </w:r>
      <w:r w:rsidR="00864699" w:rsidRPr="00F55878">
        <w:t>nd annat</w:t>
      </w:r>
      <w:r w:rsidRPr="00F55878">
        <w:t xml:space="preserve"> mö</w:t>
      </w:r>
      <w:r w:rsidRPr="00F55878">
        <w:t>j</w:t>
      </w:r>
      <w:r w:rsidRPr="00F55878">
        <w:t>lighet att påverka de utlåtanden som regionkommittén avger. Den kontak</w:t>
      </w:r>
      <w:r w:rsidRPr="00F55878">
        <w:t>t</w:t>
      </w:r>
      <w:r w:rsidRPr="00F55878">
        <w:t>skapande verksamheten med andra regioner och lokala samfund från EU-staterna är viktig i avsikt att skapa nätverk och allianser för</w:t>
      </w:r>
      <w:r w:rsidRPr="004406DE">
        <w:t xml:space="preserve"> att driva frågor som är av betydelse för Åland.</w:t>
      </w:r>
    </w:p>
    <w:p w:rsidR="004406DE" w:rsidRPr="004406DE" w:rsidRDefault="004406DE" w:rsidP="00023C6C">
      <w:pPr>
        <w:ind w:firstLine="284"/>
      </w:pPr>
      <w:r w:rsidRPr="004406DE">
        <w:t xml:space="preserve">Den åländska ledamoten såväl som suppleanten deltar vid </w:t>
      </w:r>
      <w:r w:rsidR="008B3251">
        <w:t xml:space="preserve">plenar- och </w:t>
      </w:r>
      <w:r w:rsidRPr="004406DE">
        <w:t>arbetsutskottsmöten och får på det sättet goda insikter om vilka frågor som är aktuella i EU-sammanhang. Den åländska ledamoten och suppleanten sitter i de två utskotten "</w:t>
      </w:r>
      <w:r w:rsidRPr="008B3251">
        <w:rPr>
          <w:i/>
        </w:rPr>
        <w:t>Utskottet för utbildning, ungdomsfrågor, kultur och forskning</w:t>
      </w:r>
      <w:r w:rsidRPr="004406DE">
        <w:t>" (EDUC) och "</w:t>
      </w:r>
      <w:r w:rsidRPr="008B3251">
        <w:rPr>
          <w:i/>
        </w:rPr>
        <w:t>Utskottet för medborgarskap, god förvaltningssed, institutionella frågor och yttre förbindelser</w:t>
      </w:r>
      <w:r w:rsidRPr="004406DE">
        <w:t>" (CIVEX).</w:t>
      </w:r>
    </w:p>
    <w:p w:rsidR="004406DE" w:rsidRPr="00EE65FB" w:rsidRDefault="004406DE" w:rsidP="00023C6C">
      <w:pPr>
        <w:ind w:firstLine="284"/>
      </w:pPr>
      <w:r w:rsidRPr="004406DE">
        <w:t>Under 2014 har ledamoten i EDUC arbetat för e-röstning, mot nä</w:t>
      </w:r>
      <w:r w:rsidRPr="004406DE">
        <w:t>t</w:t>
      </w:r>
      <w:r w:rsidRPr="004406DE">
        <w:t>mobbning och för principen att Internetstandarder ska gå att påverka pol</w:t>
      </w:r>
      <w:r w:rsidRPr="004406DE">
        <w:t>i</w:t>
      </w:r>
      <w:r w:rsidRPr="004406DE">
        <w:t xml:space="preserve">tiskt, vilket också upptogs i Regionkommittén. I </w:t>
      </w:r>
      <w:r w:rsidRPr="00EE65FB">
        <w:t>CIVEX har ledamoten a</w:t>
      </w:r>
      <w:r w:rsidRPr="00EE65FB">
        <w:t>r</w:t>
      </w:r>
      <w:r w:rsidRPr="00EE65FB">
        <w:t>betat för att angelägen information bör ö</w:t>
      </w:r>
      <w:r w:rsidR="00014386" w:rsidRPr="00EE65FB">
        <w:t>versättas till de största flykt</w:t>
      </w:r>
      <w:r w:rsidRPr="00EE65FB">
        <w:t>in</w:t>
      </w:r>
      <w:r w:rsidRPr="00EE65FB">
        <w:t>g</w:t>
      </w:r>
      <w:r w:rsidRPr="00EE65FB">
        <w:t xml:space="preserve">språken i EU. </w:t>
      </w:r>
    </w:p>
    <w:p w:rsidR="004406DE" w:rsidRPr="004406DE" w:rsidRDefault="004406DE" w:rsidP="00023C6C">
      <w:pPr>
        <w:ind w:firstLine="284"/>
      </w:pPr>
      <w:r w:rsidRPr="00EE65FB">
        <w:t>Arbetet i reg</w:t>
      </w:r>
      <w:r w:rsidR="008B3251" w:rsidRPr="00EE65FB">
        <w:t xml:space="preserve">ionkommittén präglas långt av </w:t>
      </w:r>
      <w:r w:rsidRPr="00EE65FB">
        <w:t>kommissionens arbetspr</w:t>
      </w:r>
      <w:r w:rsidRPr="00EE65FB">
        <w:t>o</w:t>
      </w:r>
      <w:r w:rsidRPr="00EE65FB">
        <w:t>gram och prioriteringar. Under år 2014 har frågor om arbetslöshet bland ungdomar, människohandel, miljö och medlemsstaternas</w:t>
      </w:r>
      <w:r w:rsidRPr="004406DE">
        <w:t xml:space="preserve"> ekonomiska sit</w:t>
      </w:r>
      <w:r w:rsidRPr="004406DE">
        <w:t>u</w:t>
      </w:r>
      <w:r w:rsidRPr="004406DE">
        <w:t>ation varit ofta förekommande. Situationen i Ukraina har avhandlats under många möten, och regionkommittén har även fattat beslut om en gemensam resolution om Ukraina.</w:t>
      </w:r>
    </w:p>
    <w:p w:rsidR="004406DE" w:rsidRPr="004406DE" w:rsidRDefault="004406DE" w:rsidP="004406DE">
      <w:pPr>
        <w:pStyle w:val="Rubrik3"/>
      </w:pPr>
      <w:bookmarkStart w:id="46" w:name="_Toc410897655"/>
      <w:bookmarkStart w:id="47" w:name="_Toc412712672"/>
      <w:r w:rsidRPr="00386441">
        <w:t>3.1.5  Subsidiaritetsprincipen</w:t>
      </w:r>
      <w:bookmarkEnd w:id="46"/>
      <w:bookmarkEnd w:id="47"/>
    </w:p>
    <w:p w:rsidR="004406DE" w:rsidRPr="004406DE" w:rsidRDefault="004406DE" w:rsidP="005242BE">
      <w:r w:rsidRPr="004406DE">
        <w:t>Subsidiaritetsprincipen regleras i artikel 5 i fördraget om Europeiska unio</w:t>
      </w:r>
      <w:r w:rsidRPr="004406DE">
        <w:t>n</w:t>
      </w:r>
      <w:r w:rsidRPr="004406DE">
        <w:t>en. Enligt denna ska unionen, på de områden där den inte har exklusiv b</w:t>
      </w:r>
      <w:r w:rsidRPr="004406DE">
        <w:t>e</w:t>
      </w:r>
      <w:r w:rsidRPr="004406DE">
        <w:t>fogenhet, vidta en åtgärd endast om och i den mån som målen för den pl</w:t>
      </w:r>
      <w:r w:rsidRPr="004406DE">
        <w:t>a</w:t>
      </w:r>
      <w:r w:rsidRPr="004406DE">
        <w:t>nerade åtgärden inte i tillräcklig utsträckning kan uppnås av medlemsst</w:t>
      </w:r>
      <w:r w:rsidRPr="004406DE">
        <w:t>a</w:t>
      </w:r>
      <w:r w:rsidRPr="004406DE">
        <w:t xml:space="preserve">terna och därför, på grund av den planerade åtgärdens omfattning eller verkningar, bättre kan uppnås på unionsnivå. </w:t>
      </w:r>
    </w:p>
    <w:p w:rsidR="004406DE" w:rsidRPr="004406DE" w:rsidRDefault="004406DE" w:rsidP="00023C6C">
      <w:pPr>
        <w:ind w:firstLine="284"/>
      </w:pPr>
      <w:r w:rsidRPr="004406DE">
        <w:t xml:space="preserve">Enligt Lissabonfördraget ska alla nationella parlament få </w:t>
      </w:r>
      <w:r w:rsidR="00014386">
        <w:t xml:space="preserve">ta </w:t>
      </w:r>
      <w:r w:rsidRPr="004406DE">
        <w:t>del av utka</w:t>
      </w:r>
      <w:r w:rsidRPr="004406DE">
        <w:t>s</w:t>
      </w:r>
      <w:r w:rsidRPr="004406DE">
        <w:t>ten till lagstiftningsakter för att bedöma initiativens förenlighet med subs</w:t>
      </w:r>
      <w:r w:rsidRPr="004406DE">
        <w:t>i</w:t>
      </w:r>
      <w:r w:rsidRPr="004406DE">
        <w:t>diaritetsprincipen. Enligt 9 kap. 59a § självstyrelselagen kan lagtinget i fr</w:t>
      </w:r>
      <w:r w:rsidRPr="004406DE">
        <w:t>å</w:t>
      </w:r>
      <w:r w:rsidRPr="004406DE">
        <w:t>gor som hör till landskapets behörighet delge riksdagen ett motiverat yt</w:t>
      </w:r>
      <w:r w:rsidRPr="004406DE">
        <w:t>t</w:t>
      </w:r>
      <w:r w:rsidRPr="004406DE">
        <w:t xml:space="preserve">rande om huruvida ett utkast till lagstiftningsakt från Europeiska unionen är förenligt med subsidiaritetsprincipen. Lagtingets ståndpunkt ska </w:t>
      </w:r>
      <w:proofErr w:type="gramStart"/>
      <w:r w:rsidRPr="004406DE">
        <w:t>tillställas</w:t>
      </w:r>
      <w:proofErr w:type="gramEnd"/>
      <w:r w:rsidRPr="004406DE">
        <w:t xml:space="preserve"> Europeiska unionens institutioner.</w:t>
      </w:r>
    </w:p>
    <w:p w:rsidR="004406DE" w:rsidRPr="004406DE" w:rsidRDefault="004406DE" w:rsidP="00023C6C">
      <w:pPr>
        <w:ind w:firstLine="284"/>
      </w:pPr>
      <w:r w:rsidRPr="004406DE">
        <w:t xml:space="preserve">Landskapsregeringen gör i de </w:t>
      </w:r>
      <w:r w:rsidRPr="00E720A0">
        <w:t>samråds</w:t>
      </w:r>
      <w:r w:rsidR="00405B83">
        <w:t>- och informationsärenden</w:t>
      </w:r>
      <w:r w:rsidRPr="00E720A0">
        <w:t xml:space="preserve"> som </w:t>
      </w:r>
      <w:proofErr w:type="gramStart"/>
      <w:r w:rsidRPr="00E720A0">
        <w:t>tillställs</w:t>
      </w:r>
      <w:proofErr w:type="gramEnd"/>
      <w:r w:rsidRPr="00E720A0">
        <w:t xml:space="preserve"> lagtinget</w:t>
      </w:r>
      <w:r w:rsidRPr="004406DE">
        <w:t xml:space="preserve"> en bedömning av subsidiaritetsprincipen. Landskapsreg</w:t>
      </w:r>
      <w:r w:rsidRPr="004406DE">
        <w:t>e</w:t>
      </w:r>
      <w:r w:rsidRPr="004406DE">
        <w:t>ringen informerar även utan dröjsmål lagtinget om vilka kommissionsin</w:t>
      </w:r>
      <w:r w:rsidRPr="004406DE">
        <w:t>i</w:t>
      </w:r>
      <w:r w:rsidRPr="004406DE">
        <w:t>tiativ som diarieförs vid landskapsregeringen.</w:t>
      </w:r>
    </w:p>
    <w:p w:rsidR="004406DE" w:rsidRPr="004406DE" w:rsidRDefault="004406DE" w:rsidP="00386441">
      <w:pPr>
        <w:pStyle w:val="Rubrik3"/>
      </w:pPr>
      <w:bookmarkStart w:id="48" w:name="_Toc410897656"/>
      <w:bookmarkStart w:id="49" w:name="_Toc412712673"/>
      <w:r w:rsidRPr="004406DE">
        <w:t>3.1.6 Deltagande i kommissionens konsultationer</w:t>
      </w:r>
      <w:bookmarkEnd w:id="48"/>
      <w:bookmarkEnd w:id="49"/>
    </w:p>
    <w:p w:rsidR="004406DE" w:rsidRPr="004406DE" w:rsidRDefault="004406DE" w:rsidP="005242BE">
      <w:r w:rsidRPr="004406DE">
        <w:t>I allt större omfattning håller kommissionen numera konsultationer – även kallade (offentliga) samråd – med medlemsstater och andra intresserade parter innan man lägger fram ett nytt kommissionsinitiativ. Detta innebär en möjlighet för landskapet att i ett tidigt skede av EU:s lagstiftningspr</w:t>
      </w:r>
      <w:r w:rsidRPr="004406DE">
        <w:t>o</w:t>
      </w:r>
      <w:r w:rsidRPr="004406DE">
        <w:t>cess framföra synpunkter direkt till kommissionen, vilket landskapsreg</w:t>
      </w:r>
      <w:r w:rsidRPr="004406DE">
        <w:t>e</w:t>
      </w:r>
      <w:r w:rsidRPr="004406DE">
        <w:t>ringen anser vara mycket positivt. Landskapsregeringen har under år 2014 deltagit i sex konsultationer – tre av dessa rörde statligt stöd, en rörde ek</w:t>
      </w:r>
      <w:r w:rsidRPr="004406DE">
        <w:t>o</w:t>
      </w:r>
      <w:r w:rsidRPr="004406DE">
        <w:t>logisk produktion, en rörde kommissionens riktlinjer för samråd samt en rörde EU:s bestämmelser om upphovsrättsligt skydd. Även under 2015 pl</w:t>
      </w:r>
      <w:r w:rsidRPr="004406DE">
        <w:t>a</w:t>
      </w:r>
      <w:r w:rsidRPr="004406DE">
        <w:lastRenderedPageBreak/>
        <w:t xml:space="preserve">nerar landskapsregeringen att delta i kommissionens konsultationer till den del de berör frågor som är av intresse för landskapet. </w:t>
      </w:r>
    </w:p>
    <w:p w:rsidR="004406DE" w:rsidRPr="004406DE" w:rsidRDefault="004406DE" w:rsidP="004406DE">
      <w:pPr>
        <w:pStyle w:val="Rubrik3"/>
      </w:pPr>
      <w:bookmarkStart w:id="50" w:name="_Toc410897657"/>
      <w:bookmarkStart w:id="51" w:name="_Toc412712674"/>
      <w:r w:rsidRPr="00386441">
        <w:t>3.1.7 Landskapets deltagande i den nationella beredningen av EU-ärenden</w:t>
      </w:r>
      <w:bookmarkEnd w:id="50"/>
      <w:bookmarkEnd w:id="51"/>
    </w:p>
    <w:p w:rsidR="004406DE" w:rsidRPr="004406DE" w:rsidRDefault="004406DE" w:rsidP="005242BE">
      <w:r w:rsidRPr="004406DE">
        <w:t>Enligt 59a § självstyrelselagen har landskapsregeringen rätt att delta i b</w:t>
      </w:r>
      <w:r w:rsidRPr="004406DE">
        <w:t>e</w:t>
      </w:r>
      <w:r w:rsidRPr="004406DE">
        <w:t>redningen av Finlands nationella ställningstagande gällande beslut som fa</w:t>
      </w:r>
      <w:r w:rsidRPr="004406DE">
        <w:t>t</w:t>
      </w:r>
      <w:r w:rsidRPr="004406DE">
        <w:t xml:space="preserve">tas inom EU. Detta görs genom att landskapsregeringen har en representant </w:t>
      </w:r>
      <w:r w:rsidR="009C0E4E">
        <w:t>i</w:t>
      </w:r>
      <w:r w:rsidRPr="00537B61">
        <w:t xml:space="preserve"> de </w:t>
      </w:r>
      <w:r w:rsidR="009C0E4E">
        <w:t xml:space="preserve">flesta </w:t>
      </w:r>
      <w:r w:rsidRPr="00537B61">
        <w:t>sektorspecifika</w:t>
      </w:r>
      <w:r w:rsidRPr="004406DE">
        <w:t xml:space="preserve"> beredningssektionerna samt i kommittén för EU-ärenden. Lantrådet har även rätt att bli hörd i EU-ministerutskottet.</w:t>
      </w:r>
    </w:p>
    <w:p w:rsidR="004406DE" w:rsidRPr="004406DE" w:rsidRDefault="004406DE" w:rsidP="005242BE">
      <w:r w:rsidRPr="004406DE">
        <w:t>Landskapsregeringen arbetar kontinuerligt i samverkan med rikets myndi</w:t>
      </w:r>
      <w:r w:rsidRPr="004406DE">
        <w:t>g</w:t>
      </w:r>
      <w:r w:rsidRPr="004406DE">
        <w:t>heter för att ytterligare förbättra rutiner</w:t>
      </w:r>
      <w:r w:rsidR="000E3717">
        <w:t>na</w:t>
      </w:r>
      <w:r w:rsidRPr="004406DE">
        <w:t xml:space="preserve"> som garanterar landskapets delt</w:t>
      </w:r>
      <w:r w:rsidRPr="004406DE">
        <w:t>a</w:t>
      </w:r>
      <w:r w:rsidRPr="004406DE">
        <w:t xml:space="preserve">gande i den nationella beredningen av EU-ärenden. </w:t>
      </w:r>
    </w:p>
    <w:p w:rsidR="004406DE" w:rsidRPr="004406DE" w:rsidRDefault="004406DE" w:rsidP="00023C6C">
      <w:pPr>
        <w:ind w:firstLine="284"/>
      </w:pPr>
      <w:r w:rsidRPr="004406DE">
        <w:t>För att i högre grad möjliggöra för landskapsregeringen att delta i b</w:t>
      </w:r>
      <w:r w:rsidRPr="004406DE">
        <w:t>e</w:t>
      </w:r>
      <w:r w:rsidRPr="004406DE">
        <w:t xml:space="preserve">redningssektionernas möten, strävar landskapsregeringen efter att kunna delta via videolänk. </w:t>
      </w:r>
    </w:p>
    <w:p w:rsidR="004406DE" w:rsidRPr="004406DE" w:rsidRDefault="004406DE" w:rsidP="00386441">
      <w:pPr>
        <w:pStyle w:val="Rubrik4"/>
      </w:pPr>
      <w:r w:rsidRPr="004406DE">
        <w:t>Service på svenska</w:t>
      </w:r>
    </w:p>
    <w:p w:rsidR="004406DE" w:rsidRPr="004406DE" w:rsidRDefault="004406DE" w:rsidP="005242BE">
      <w:r w:rsidRPr="004406DE">
        <w:t>Då det gäller landskapets möjligheter till inflytande över beslutsfattandet inom EU är språket en central fråga, eftersom landskapsregeringen enligt nuvarande system förutsätts delta i rikets beredning av positioner. Bere</w:t>
      </w:r>
      <w:r w:rsidRPr="004406DE">
        <w:t>d</w:t>
      </w:r>
      <w:r w:rsidRPr="004406DE">
        <w:t>ningen sker exklusivt på finska, vilket är ett problem. Enligt justitieminist</w:t>
      </w:r>
      <w:r w:rsidRPr="004406DE">
        <w:t>e</w:t>
      </w:r>
      <w:r w:rsidRPr="004406DE">
        <w:t>riets anvisningar om Ålands ställning i lagberedningen och i EU-ärenden har landskapsregeringen rätt att få dagordningarna på svenska, övrigt material översatt på begäran (åtminstone de delar som är viktiga för Åland) samt tolkning vid deltagande i möten.</w:t>
      </w:r>
    </w:p>
    <w:p w:rsidR="004406DE" w:rsidRPr="00BD31C9" w:rsidRDefault="004406DE" w:rsidP="00023C6C">
      <w:pPr>
        <w:ind w:firstLine="284"/>
      </w:pPr>
      <w:r w:rsidRPr="004406DE">
        <w:t>Vad gäller nivån av service på svenska är den i stort sätt oförändrad s</w:t>
      </w:r>
      <w:r w:rsidRPr="004406DE">
        <w:t>e</w:t>
      </w:r>
      <w:r w:rsidRPr="004406DE">
        <w:t xml:space="preserve">dan förra året. Fortfarande under 2014 skickade flera beredningssektioner ut dagordningar endast på finska. De dagordningar som skickas på svenska är ofta mycket kortfattade, och ger inte alltid ett tillräckligt underlag för att göra en adekvat bedömning av om ärendet är landskapets behörighet eller av intresse för landskapet och om en översättning till svenska av underlaget ska begäras. </w:t>
      </w:r>
      <w:r w:rsidRPr="00BD31C9">
        <w:t>Vissa beredningssektioner skickar även de bilagor som kan vara av intresse för Åland på svenska, men de flesta skickar bilagorna en</w:t>
      </w:r>
      <w:r w:rsidRPr="00BD31C9">
        <w:t>d</w:t>
      </w:r>
      <w:r w:rsidRPr="00BD31C9">
        <w:t>ast på finska. Landskapsregeringen noterar att</w:t>
      </w:r>
      <w:r w:rsidR="00861BD6" w:rsidRPr="00BD31C9">
        <w:t xml:space="preserve"> såväl</w:t>
      </w:r>
      <w:r w:rsidRPr="00BD31C9">
        <w:t xml:space="preserve"> </w:t>
      </w:r>
      <w:r w:rsidR="007F4388" w:rsidRPr="00BD31C9">
        <w:t xml:space="preserve">kunskaperna </w:t>
      </w:r>
      <w:r w:rsidRPr="00BD31C9">
        <w:t>om Ålands språkliga särställning s</w:t>
      </w:r>
      <w:r w:rsidR="00861BD6" w:rsidRPr="00BD31C9">
        <w:t>om</w:t>
      </w:r>
      <w:r w:rsidRPr="00BD31C9">
        <w:t xml:space="preserve"> </w:t>
      </w:r>
      <w:r w:rsidR="00052BE1" w:rsidRPr="00BD31C9">
        <w:t xml:space="preserve">kunskaperna om </w:t>
      </w:r>
      <w:r w:rsidRPr="00BD31C9">
        <w:t>justitieministeriets a</w:t>
      </w:r>
      <w:r w:rsidRPr="00BD31C9">
        <w:t>n</w:t>
      </w:r>
      <w:r w:rsidRPr="00BD31C9">
        <w:t>visningar om Ålands ställning i lagberedningen och i EU-ärenden</w:t>
      </w:r>
      <w:r w:rsidR="007F4388" w:rsidRPr="00BD31C9">
        <w:t xml:space="preserve"> kunde förbättras</w:t>
      </w:r>
      <w:r w:rsidR="00052BE1" w:rsidRPr="00BD31C9">
        <w:t xml:space="preserve"> vid riksmyndigheterna</w:t>
      </w:r>
      <w:r w:rsidRPr="00BD31C9">
        <w:t>.</w:t>
      </w:r>
    </w:p>
    <w:p w:rsidR="004406DE" w:rsidRPr="004406DE" w:rsidRDefault="004406DE" w:rsidP="00023C6C">
      <w:pPr>
        <w:ind w:firstLine="284"/>
      </w:pPr>
      <w:r w:rsidRPr="00BD31C9">
        <w:t>Liksom under föregående år har landskapets begäran av översättning till svenska i regel tillgodosetts, men problemet kvartstår att tiden för översät</w:t>
      </w:r>
      <w:r w:rsidRPr="00BD31C9">
        <w:t>t</w:t>
      </w:r>
      <w:r w:rsidRPr="00BD31C9">
        <w:t>ningen av dokumentet</w:t>
      </w:r>
      <w:r w:rsidRPr="004406DE">
        <w:t xml:space="preserve"> ofta överskrider den korta tid som finns att lämna synpunkter. I regel har landskapsregeringen då fått förlängd tid för svar. Landskapsregeringen anser att det är viktigt att riksmyndigheterna tillsätter tillräckliga resurser för att </w:t>
      </w:r>
      <w:r w:rsidR="00E720A0">
        <w:t>försnabba</w:t>
      </w:r>
      <w:r w:rsidRPr="004406DE">
        <w:t xml:space="preserve"> översättningsarbetet för att möjliggöra landskapets deltagande i beredningen av EU-ärenden. Om landskapet inte kan delta fullt ut ökar ytterligare det demokratiska underskottet.</w:t>
      </w:r>
    </w:p>
    <w:p w:rsidR="004406DE" w:rsidRPr="004406DE" w:rsidRDefault="004406DE" w:rsidP="00023C6C">
      <w:pPr>
        <w:ind w:firstLine="284"/>
      </w:pPr>
      <w:r w:rsidRPr="004406DE">
        <w:t>Vid begäran av tolk brukar begäran i regel tillgodoses. Då landskapsr</w:t>
      </w:r>
      <w:r w:rsidRPr="004406DE">
        <w:t>e</w:t>
      </w:r>
      <w:r w:rsidRPr="004406DE">
        <w:t>geringen vill få möjlighet att delta i beredningssektioner per videolänk b</w:t>
      </w:r>
      <w:r w:rsidRPr="004406DE">
        <w:t>e</w:t>
      </w:r>
      <w:r w:rsidRPr="004406DE">
        <w:t xml:space="preserve">höver en lösning utarbetas för hur tolktjänsten ska kunna skötas i sådana sammanhang. </w:t>
      </w:r>
    </w:p>
    <w:p w:rsidR="004406DE" w:rsidRDefault="004406DE" w:rsidP="00023C6C">
      <w:pPr>
        <w:ind w:firstLine="284"/>
      </w:pPr>
      <w:r w:rsidRPr="004406DE">
        <w:t>Landskapsregeringen informerar kontinuerligt nyanställda tjänstemän om landskapets rätt till svenskspråkig service och kommer under året att fortsättningsvis informera internt om rättigheter till svenskspråkig servi</w:t>
      </w:r>
      <w:r w:rsidR="000E3717">
        <w:t>ce vid beredning av EU-ärenden samt i övrigt</w:t>
      </w:r>
      <w:r w:rsidRPr="004406DE">
        <w:t xml:space="preserve"> arbeta för att göra informationen ännu tydligare. </w:t>
      </w:r>
    </w:p>
    <w:p w:rsidR="004406DE" w:rsidRPr="004406DE" w:rsidRDefault="004406DE" w:rsidP="00B0002C">
      <w:pPr>
        <w:pStyle w:val="Rubrik2"/>
        <w:numPr>
          <w:ilvl w:val="0"/>
          <w:numId w:val="0"/>
        </w:numPr>
      </w:pPr>
      <w:bookmarkStart w:id="52" w:name="_Toc410897658"/>
      <w:bookmarkStart w:id="53" w:name="_Toc412712675"/>
      <w:r w:rsidRPr="004406DE">
        <w:lastRenderedPageBreak/>
        <w:t>3.2 Landskapets prioriteringar</w:t>
      </w:r>
      <w:bookmarkEnd w:id="52"/>
      <w:bookmarkEnd w:id="53"/>
    </w:p>
    <w:p w:rsidR="004406DE" w:rsidRPr="004406DE" w:rsidRDefault="004406DE" w:rsidP="004406DE">
      <w:pPr>
        <w:pStyle w:val="Rubrik3"/>
      </w:pPr>
      <w:bookmarkStart w:id="54" w:name="_Toc412712676"/>
      <w:bookmarkStart w:id="55" w:name="_Toc410897659"/>
      <w:r w:rsidRPr="00386441">
        <w:t>3.2.1 Åländsk representation i Europaparlamentet</w:t>
      </w:r>
      <w:bookmarkEnd w:id="54"/>
      <w:r w:rsidRPr="00386441">
        <w:t xml:space="preserve"> </w:t>
      </w:r>
      <w:bookmarkEnd w:id="55"/>
    </w:p>
    <w:p w:rsidR="004406DE" w:rsidRPr="004406DE" w:rsidRDefault="004406DE" w:rsidP="005242BE">
      <w:r w:rsidRPr="004406DE">
        <w:t>Alltsedan anslutningen till EU har landskapet fört fram krav på att Åland ska erhålla representation i Europaparlamentet</w:t>
      </w:r>
      <w:r w:rsidR="000E3717">
        <w:t>. L</w:t>
      </w:r>
      <w:r w:rsidRPr="004406DE">
        <w:t>andskapsregeringen fort</w:t>
      </w:r>
      <w:r w:rsidRPr="004406DE">
        <w:t>s</w:t>
      </w:r>
      <w:r w:rsidRPr="004406DE">
        <w:t xml:space="preserve">ätter kontinuerligt detta arbete. Statsrådet </w:t>
      </w:r>
      <w:r w:rsidRPr="00537B61">
        <w:t>har under innevarande mandatp</w:t>
      </w:r>
      <w:r w:rsidRPr="00537B61">
        <w:t>e</w:t>
      </w:r>
      <w:r w:rsidRPr="00537B61">
        <w:t>riod hävdat att det inte finns förutsättningar för en ändring av ex</w:t>
      </w:r>
      <w:r w:rsidR="000E3717">
        <w:t>empelvis</w:t>
      </w:r>
      <w:r w:rsidRPr="00537B61">
        <w:t xml:space="preserve"> vallagen så att Åland </w:t>
      </w:r>
      <w:r w:rsidR="000E3717">
        <w:t>skulle utgöra</w:t>
      </w:r>
      <w:r w:rsidRPr="00537B61">
        <w:t xml:space="preserve"> en egen valkrets i val till Europaparl</w:t>
      </w:r>
      <w:r w:rsidRPr="00537B61">
        <w:t>a</w:t>
      </w:r>
      <w:r w:rsidRPr="00537B61">
        <w:t>mentet</w:t>
      </w:r>
      <w:r w:rsidRPr="004406DE">
        <w:t>. I stället ämnar man också i fortsättningen, i förhandlingar på EU-nivå om fördelning av parlamentsplatser, hävda Ålands internationella sä</w:t>
      </w:r>
      <w:r w:rsidRPr="004406DE">
        <w:t>r</w:t>
      </w:r>
      <w:r w:rsidRPr="004406DE">
        <w:t>ställning och självstyrande status.</w:t>
      </w:r>
    </w:p>
    <w:p w:rsidR="004406DE" w:rsidRPr="00BD31C9" w:rsidRDefault="004406DE" w:rsidP="00023C6C">
      <w:pPr>
        <w:ind w:firstLine="284"/>
      </w:pPr>
      <w:r w:rsidRPr="004406DE">
        <w:t>Landskapsregeringen står fast vid sin uppfattning om att frågan om en Europaparlamentsplats för Åland är en konstitutionell fråga som måste l</w:t>
      </w:r>
      <w:r w:rsidRPr="004406DE">
        <w:t>ö</w:t>
      </w:r>
      <w:r w:rsidRPr="004406DE">
        <w:t xml:space="preserve">sas nationellt, </w:t>
      </w:r>
      <w:r w:rsidRPr="00BD31C9">
        <w:t xml:space="preserve">så att landskapet Åland vid Europaparlamentsval utgör en egen valkrets. </w:t>
      </w:r>
    </w:p>
    <w:p w:rsidR="00A87735" w:rsidRPr="00BD31C9" w:rsidRDefault="00A87735" w:rsidP="00857646">
      <w:pPr>
        <w:ind w:firstLine="284"/>
      </w:pPr>
      <w:r w:rsidRPr="00BD31C9">
        <w:t>Den kommitté som til</w:t>
      </w:r>
      <w:r w:rsidR="00857646" w:rsidRPr="00BD31C9">
        <w:t>l</w:t>
      </w:r>
      <w:r w:rsidRPr="00BD31C9">
        <w:t>satts av statsrådet för att reformera självstyrels</w:t>
      </w:r>
      <w:r w:rsidRPr="00BD31C9">
        <w:t>e</w:t>
      </w:r>
      <w:r w:rsidRPr="00BD31C9">
        <w:t xml:space="preserve">lagen för Åland tar även upp frågan om en åländsk parlamentsplats i sitt första delbetänkande från januari 2015. </w:t>
      </w:r>
      <w:r w:rsidR="00857646" w:rsidRPr="00BD31C9">
        <w:t>Kommitténs representanter för rikspartierna har konstaterat att frågan om en plats för Åland i Europarl</w:t>
      </w:r>
      <w:r w:rsidR="00857646" w:rsidRPr="00BD31C9">
        <w:t>a</w:t>
      </w:r>
      <w:r w:rsidR="00857646" w:rsidRPr="00BD31C9">
        <w:t>mentet är berättigad, men att det på grund av Finlands ringa antal parl</w:t>
      </w:r>
      <w:r w:rsidR="00857646" w:rsidRPr="00BD31C9">
        <w:t>a</w:t>
      </w:r>
      <w:r w:rsidR="00857646" w:rsidRPr="00BD31C9">
        <w:t>mentsplatser inte är möjligt att lösa frågan på annat sätt än att Finland b</w:t>
      </w:r>
      <w:r w:rsidR="00857646" w:rsidRPr="00BD31C9">
        <w:t>e</w:t>
      </w:r>
      <w:r w:rsidR="00857646" w:rsidRPr="00BD31C9">
        <w:t xml:space="preserve">viljas en extra parlamentsplats för Åland. </w:t>
      </w:r>
      <w:r w:rsidRPr="00BD31C9">
        <w:t xml:space="preserve">Kommittén konstaterar </w:t>
      </w:r>
      <w:r w:rsidR="00857646" w:rsidRPr="00BD31C9">
        <w:t>i sina rik</w:t>
      </w:r>
      <w:r w:rsidR="00857646" w:rsidRPr="00BD31C9">
        <w:t>t</w:t>
      </w:r>
      <w:r w:rsidR="00857646" w:rsidRPr="00BD31C9">
        <w:t xml:space="preserve">linjer för det fortsatta arbetet </w:t>
      </w:r>
      <w:r w:rsidRPr="00BD31C9">
        <w:t>att eftersom självstyrelsens behörighetsomr</w:t>
      </w:r>
      <w:r w:rsidRPr="00BD31C9">
        <w:t>å</w:t>
      </w:r>
      <w:r w:rsidRPr="00BD31C9">
        <w:t>den till stora delar sammanfaller med EU:s är det viktigt att det system som möjliggör insyn och inflytande för landskapet i EU</w:t>
      </w:r>
      <w:r w:rsidRPr="00BD31C9">
        <w:rPr>
          <w:rFonts w:ascii="Cambria Math" w:hAnsi="Cambria Math" w:cs="Cambria Math"/>
        </w:rPr>
        <w:t>‐</w:t>
      </w:r>
      <w:r w:rsidRPr="00BD31C9">
        <w:t xml:space="preserve">ärenden fungerar i praktiken. </w:t>
      </w:r>
      <w:r w:rsidR="00857646" w:rsidRPr="00BD31C9">
        <w:t>Kommittén avser dessutom utreda frågan om Ålands representa</w:t>
      </w:r>
      <w:r w:rsidR="00857646" w:rsidRPr="00BD31C9">
        <w:t>t</w:t>
      </w:r>
      <w:r w:rsidR="00857646" w:rsidRPr="00BD31C9">
        <w:t>ion i EU:s lagstiftande verksamhet.</w:t>
      </w:r>
    </w:p>
    <w:p w:rsidR="004406DE" w:rsidRPr="00BD31C9" w:rsidRDefault="004406DE" w:rsidP="004406DE">
      <w:pPr>
        <w:pStyle w:val="Rubrik3"/>
      </w:pPr>
      <w:bookmarkStart w:id="56" w:name="_Toc410897660"/>
      <w:bookmarkStart w:id="57" w:name="_Toc412712677"/>
      <w:r w:rsidRPr="00BD31C9">
        <w:t>3.2.2 Statligt stöd</w:t>
      </w:r>
      <w:bookmarkEnd w:id="56"/>
      <w:bookmarkEnd w:id="57"/>
    </w:p>
    <w:p w:rsidR="004406DE" w:rsidRPr="00BD31C9" w:rsidRDefault="004406DE" w:rsidP="005242BE">
      <w:r w:rsidRPr="00BD31C9">
        <w:t xml:space="preserve">Landskapsregeringen har alltsedan medlemskapet i </w:t>
      </w:r>
      <w:r w:rsidR="000E3717" w:rsidRPr="00BD31C9">
        <w:t>EU</w:t>
      </w:r>
      <w:r w:rsidRPr="00BD31C9">
        <w:t xml:space="preserve"> fortlöpande utfärdat olika stöd och stödordningar. Landskapsregeringen följer även den jur</w:t>
      </w:r>
      <w:r w:rsidRPr="00BD31C9">
        <w:t>i</w:t>
      </w:r>
      <w:r w:rsidRPr="00BD31C9">
        <w:t>diska utvecklingen på området inom unionen. Syftet med denna verksamhet är att säkerställa att stöd i landskapet är förenliga med unionens regler r</w:t>
      </w:r>
      <w:r w:rsidRPr="00BD31C9">
        <w:t>ö</w:t>
      </w:r>
      <w:r w:rsidRPr="00BD31C9">
        <w:t>rande statligt stöd.</w:t>
      </w:r>
    </w:p>
    <w:p w:rsidR="004406DE" w:rsidRPr="004406DE" w:rsidRDefault="004406DE" w:rsidP="00023C6C">
      <w:pPr>
        <w:ind w:firstLine="284"/>
      </w:pPr>
      <w:r w:rsidRPr="00BD31C9">
        <w:t>Ett gemensamt mål för Europa 2020-strategin är att små och medelstora företag (SMF) ska ha tillgång till finansiering, varför EU genomfört en o</w:t>
      </w:r>
      <w:r w:rsidRPr="00BD31C9">
        <w:t>m</w:t>
      </w:r>
      <w:r w:rsidRPr="00BD31C9">
        <w:t>fattande översyn av bestämmelserna om statligt stöd som gäller kapital och skuldfinansiering till SMF. Nya riktlinjer för statligt stöd för att främja ris</w:t>
      </w:r>
      <w:r w:rsidRPr="00BD31C9">
        <w:t>k</w:t>
      </w:r>
      <w:r w:rsidRPr="00BD31C9">
        <w:t xml:space="preserve">finansieringsåtgärder trädde i kraft </w:t>
      </w:r>
      <w:r w:rsidR="00231E1E" w:rsidRPr="00BD31C9">
        <w:t xml:space="preserve">den </w:t>
      </w:r>
      <w:r w:rsidRPr="00BD31C9">
        <w:t>1 juli 2014. Samtidigt trädde också en utvidgad gruppundantagförordning</w:t>
      </w:r>
      <w:r w:rsidRPr="004406DE">
        <w:t xml:space="preserve"> i kraft, vilken omfattar ett bredare spektrum av åtgärder som inte kräver anmälan då det antas att de åtgärdar marknadsmisslyckanden, är lämpliga och proportionerliga, har en stimula</w:t>
      </w:r>
      <w:r w:rsidRPr="004406DE">
        <w:t>n</w:t>
      </w:r>
      <w:r w:rsidRPr="004406DE">
        <w:t>seffekt och begränsar eventuella snedvridningseffekter till ett minimum.</w:t>
      </w:r>
    </w:p>
    <w:p w:rsidR="004406DE" w:rsidRPr="004406DE" w:rsidRDefault="004406DE" w:rsidP="005242BE">
      <w:r w:rsidRPr="004406DE">
        <w:t>Inom ramen för landskapsregeringens operativprogram för Europeiska re</w:t>
      </w:r>
      <w:r w:rsidRPr="004406DE">
        <w:t>g</w:t>
      </w:r>
      <w:r w:rsidRPr="004406DE">
        <w:t>ionala utvecklingsfonden (Eruf) och Europeiska socialfonden (ESF) ko</w:t>
      </w:r>
      <w:r w:rsidRPr="004406DE">
        <w:t>m</w:t>
      </w:r>
      <w:r w:rsidRPr="004406DE">
        <w:t>mer regionalfonden delvis att förverkligas genom offentligt riskkapital.</w:t>
      </w:r>
    </w:p>
    <w:p w:rsidR="004406DE" w:rsidRPr="004406DE" w:rsidRDefault="004406DE" w:rsidP="00023C6C">
      <w:pPr>
        <w:ind w:firstLine="284"/>
      </w:pPr>
      <w:r w:rsidRPr="004406DE">
        <w:t>Arbets- och näringsministeriet har under året tillsatt ett nätverk för sta</w:t>
      </w:r>
      <w:r w:rsidRPr="004406DE">
        <w:t>t</w:t>
      </w:r>
      <w:r w:rsidRPr="004406DE">
        <w:t>ligt stöd, i vilket landskapsregeringen har två representanter.</w:t>
      </w:r>
    </w:p>
    <w:p w:rsidR="004406DE" w:rsidRPr="004406DE" w:rsidRDefault="004406DE" w:rsidP="00386441">
      <w:pPr>
        <w:pStyle w:val="Rubrik4"/>
      </w:pPr>
      <w:r w:rsidRPr="004406DE">
        <w:t>Statligt regionalstöd</w:t>
      </w:r>
    </w:p>
    <w:p w:rsidR="004406DE" w:rsidRPr="004406DE" w:rsidRDefault="004406DE" w:rsidP="005242BE">
      <w:r w:rsidRPr="004406DE">
        <w:t>Den 19 j</w:t>
      </w:r>
      <w:r w:rsidR="00231E1E">
        <w:t xml:space="preserve">uni 2013 publicerade </w:t>
      </w:r>
      <w:r w:rsidRPr="004406DE">
        <w:t>kommissionen nya riktlinjer för förutsät</w:t>
      </w:r>
      <w:r w:rsidRPr="004406DE">
        <w:t>t</w:t>
      </w:r>
      <w:r w:rsidRPr="004406DE">
        <w:t>ningarna för medlemsstaterna att bevilja företag investeringsstöd för stö</w:t>
      </w:r>
      <w:r w:rsidRPr="004406DE">
        <w:t>d</w:t>
      </w:r>
      <w:r w:rsidRPr="004406DE">
        <w:t>jandet av utvecklingen i mindre gynnade regioner. Riktlinjerna togs i bruk den 1 juli 2014. I enlighet med dessa riktlinjer fastställer medlemsstaterna kartor över stödområden åren 2014-2020, områden där de maximala stö</w:t>
      </w:r>
      <w:r w:rsidRPr="004406DE">
        <w:t>d</w:t>
      </w:r>
      <w:r w:rsidRPr="004406DE">
        <w:lastRenderedPageBreak/>
        <w:t>nivåerna för investeringsstöd är högre än i de övriga delarna av landet samt stöd till stora företag är möjligt.</w:t>
      </w:r>
    </w:p>
    <w:p w:rsidR="004406DE" w:rsidRPr="004406DE" w:rsidRDefault="004406DE" w:rsidP="00023C6C">
      <w:pPr>
        <w:ind w:firstLine="284"/>
      </w:pPr>
      <w:r w:rsidRPr="004406DE">
        <w:t>Ålands landskapsregering har i enlighet med 59 a § självstyrelselagen för Åland deltagit i beredningen av riktlinjerna och där framfört att skä</w:t>
      </w:r>
      <w:r w:rsidRPr="004406DE">
        <w:t>r</w:t>
      </w:r>
      <w:r w:rsidRPr="004406DE">
        <w:t>gårdskommunerna samt landsbygden som under tidigare perio</w:t>
      </w:r>
      <w:r w:rsidR="00231E1E">
        <w:t xml:space="preserve">d 2007-2013 (förlängt till 30 juni </w:t>
      </w:r>
      <w:r w:rsidRPr="004406DE">
        <w:t>2014) ingått i kartan, fortsättningsvis skall definieras som sådana stödberättigande regioner som enligt artikel 107.3.c fördraget om Europeiska unionens funktionssätt får definieras nationellt inom ramen för den tillåtna befolkningsandelen.</w:t>
      </w:r>
    </w:p>
    <w:p w:rsidR="004406DE" w:rsidRPr="004406DE" w:rsidRDefault="004406DE" w:rsidP="00023C6C">
      <w:pPr>
        <w:ind w:firstLine="284"/>
      </w:pPr>
      <w:r w:rsidRPr="004406DE">
        <w:t>Ministerarbetsgruppen för förvaltning och regionalutveckling beslöt dock den 22 januari 2014 att de åländska regionerna inte skall ingå i den finländska</w:t>
      </w:r>
      <w:r w:rsidR="00231E1E">
        <w:t xml:space="preserve"> kartan över stödområden 2014-</w:t>
      </w:r>
      <w:r w:rsidRPr="004406DE">
        <w:t>2020, vilket innebär att invest</w:t>
      </w:r>
      <w:r w:rsidRPr="004406DE">
        <w:t>e</w:t>
      </w:r>
      <w:r w:rsidRPr="004406DE">
        <w:t>ringsstöd från den 1 jul</w:t>
      </w:r>
      <w:r w:rsidR="00231E1E">
        <w:t>i 2014 beviljas i enlighet med k</w:t>
      </w:r>
      <w:r w:rsidRPr="004406DE">
        <w:t>ommissionens fö</w:t>
      </w:r>
      <w:r w:rsidRPr="004406DE">
        <w:t>r</w:t>
      </w:r>
      <w:r w:rsidRPr="004406DE">
        <w:t>ordning (EU) nr 651/2014 genom vilka vissa kategorier av stöd förklaras förenliga med den inre marknaden enligt artiklarn</w:t>
      </w:r>
      <w:r w:rsidR="00231E1E">
        <w:t xml:space="preserve">a 107 och 108 i fördraget </w:t>
      </w:r>
      <w:r w:rsidR="00231E1E" w:rsidRPr="004406DE">
        <w:t xml:space="preserve">om Europeiska unionens funktionssätt </w:t>
      </w:r>
      <w:r w:rsidR="00231E1E">
        <w:t>samt k</w:t>
      </w:r>
      <w:r w:rsidRPr="004406DE">
        <w:t>ommissionens förordning (EU) nr 1407/2013 om tillämpningen av artiklarna 107 och 108 i fördraget på stöd av mindre betydelse.</w:t>
      </w:r>
    </w:p>
    <w:p w:rsidR="004406DE" w:rsidRPr="004406DE" w:rsidRDefault="004406DE" w:rsidP="00023C6C">
      <w:pPr>
        <w:ind w:firstLine="284"/>
      </w:pPr>
      <w:r w:rsidRPr="004406DE">
        <w:t xml:space="preserve">Kommissionen utfärdade under 2014 nya riktlinjer för statligt stöd inom jordbruks- och skogsbrukssektorn för </w:t>
      </w:r>
      <w:r w:rsidR="00231E1E">
        <w:t xml:space="preserve">åren 2014-2020 (2014/C 204/01). </w:t>
      </w:r>
      <w:r w:rsidRPr="004406DE">
        <w:t>Landskapsregeringen har under året deltagit i kommissionens samråd om utkastet till dessa kriterier och även framfört sina synpunkter till Jord- och skogsbruksministeriet. Kommissionen har även parallellt med de nya rik</w:t>
      </w:r>
      <w:r w:rsidRPr="004406DE">
        <w:t>t</w:t>
      </w:r>
      <w:r w:rsidRPr="004406DE">
        <w:t>linj</w:t>
      </w:r>
      <w:r w:rsidR="00231E1E">
        <w:t xml:space="preserve">erna utfärdat en ny förordning (EU) nr 1407/2013 </w:t>
      </w:r>
      <w:r w:rsidRPr="004406DE">
        <w:t>om stöd av mindre betydelse för åren 2014-2020. Som en följd av de nya statsstödsreglerna har landskapsregeringen påbörj</w:t>
      </w:r>
      <w:r w:rsidR="00231E1E">
        <w:t>at en revidering av landskapslagen</w:t>
      </w:r>
      <w:r w:rsidRPr="004406DE">
        <w:t xml:space="preserve"> om stöd för skogsbruksåtgärder.</w:t>
      </w:r>
    </w:p>
    <w:p w:rsidR="004406DE" w:rsidRPr="004406DE" w:rsidRDefault="004406DE" w:rsidP="004406DE">
      <w:pPr>
        <w:pStyle w:val="Rubrik3"/>
      </w:pPr>
      <w:bookmarkStart w:id="58" w:name="_Toc412712678"/>
      <w:bookmarkStart w:id="59" w:name="_Toc410897661"/>
      <w:r w:rsidRPr="00386441">
        <w:t>3.2.3 EU 2020 ur ett utbildnings- och kulturperspektiv</w:t>
      </w:r>
      <w:bookmarkEnd w:id="58"/>
      <w:r w:rsidRPr="00386441">
        <w:t xml:space="preserve"> </w:t>
      </w:r>
      <w:bookmarkEnd w:id="59"/>
    </w:p>
    <w:p w:rsidR="004406DE" w:rsidRPr="004406DE" w:rsidRDefault="004406DE" w:rsidP="005242BE">
      <w:r w:rsidRPr="004406DE">
        <w:t>Europa 2020 är en strategi för att uppnå visionen om EU:s sociala mar</w:t>
      </w:r>
      <w:r w:rsidRPr="004406DE">
        <w:t>k</w:t>
      </w:r>
      <w:r w:rsidRPr="004406DE">
        <w:t xml:space="preserve">nadsekonomi: Smart och hållbar tillväxt för alla med hög sysselsättning, produktivitet och social sammanhållning. I strategin ingår tre prioriteringar: </w:t>
      </w:r>
      <w:r w:rsidRPr="004C6216">
        <w:rPr>
          <w:i/>
        </w:rPr>
        <w:t>Smart tillväxt</w:t>
      </w:r>
      <w:r w:rsidRPr="004406DE">
        <w:t xml:space="preserve"> – utveckla en ekonomi baserad på kunskap och innovation, </w:t>
      </w:r>
      <w:r w:rsidRPr="004C6216">
        <w:rPr>
          <w:i/>
        </w:rPr>
        <w:t>Hållbar tillväxt</w:t>
      </w:r>
      <w:r w:rsidRPr="004406DE">
        <w:t xml:space="preserve"> – främja resurseffektivare, grönare och konkurrenskraft</w:t>
      </w:r>
      <w:r w:rsidRPr="004406DE">
        <w:t>i</w:t>
      </w:r>
      <w:r w:rsidRPr="004406DE">
        <w:t xml:space="preserve">gare ekonomi och </w:t>
      </w:r>
      <w:r w:rsidRPr="004C6216">
        <w:rPr>
          <w:i/>
        </w:rPr>
        <w:t>Tillväxt för alla</w:t>
      </w:r>
      <w:r w:rsidRPr="004406DE">
        <w:t xml:space="preserve"> – stimulera en ekonomi med hög sysse</w:t>
      </w:r>
      <w:r w:rsidRPr="004406DE">
        <w:t>l</w:t>
      </w:r>
      <w:r w:rsidRPr="004406DE">
        <w:t xml:space="preserve">sättning och social </w:t>
      </w:r>
      <w:r w:rsidR="00967FAF">
        <w:t xml:space="preserve">samt </w:t>
      </w:r>
      <w:r w:rsidRPr="004406DE">
        <w:t xml:space="preserve">territoriell sammanhållning. </w:t>
      </w:r>
    </w:p>
    <w:p w:rsidR="004406DE" w:rsidRPr="004406DE" w:rsidRDefault="004406DE" w:rsidP="00023C6C">
      <w:pPr>
        <w:ind w:firstLine="284"/>
      </w:pPr>
      <w:r w:rsidRPr="004406DE">
        <w:t>Sett ur ett utbildningsperspektiv stärker prioriteringarna i EU 2020</w:t>
      </w:r>
      <w:r w:rsidR="007A5388">
        <w:t>-</w:t>
      </w:r>
      <w:r w:rsidRPr="004406DE">
        <w:t xml:space="preserve">strategin varandra och är en förutsättning för en progressiv utveckling och forskning inom utbildnings- och kulturområdet i landskapet. </w:t>
      </w:r>
    </w:p>
    <w:p w:rsidR="004406DE" w:rsidRPr="004406DE" w:rsidRDefault="004406DE" w:rsidP="00023C6C">
      <w:pPr>
        <w:ind w:firstLine="284"/>
      </w:pPr>
      <w:r w:rsidRPr="004406DE">
        <w:t>Det europeiska utbildningssamarbetet har som mål att förbättra kvalitet och effektivitet i utbildningen, främja livslångt lärande, jämställdhet, social gemenskap, aktivt medborgarskap och rörlighet mellan länderna och al</w:t>
      </w:r>
      <w:r w:rsidRPr="004406DE">
        <w:t>l</w:t>
      </w:r>
      <w:r w:rsidRPr="004406DE">
        <w:t>mänt stöda kreativitet, innovationer och företagsamhet. Utbildningssama</w:t>
      </w:r>
      <w:r w:rsidRPr="004406DE">
        <w:t>r</w:t>
      </w:r>
      <w:r w:rsidRPr="004406DE">
        <w:t>betet främjas genom finansiella stödformer och program, vilka även ko</w:t>
      </w:r>
      <w:r w:rsidRPr="004406DE">
        <w:t>m</w:t>
      </w:r>
      <w:r w:rsidRPr="004406DE">
        <w:t>mit Åland till del inom programmet Erasmus+ omfattande de tidigare stö</w:t>
      </w:r>
      <w:r w:rsidRPr="004406DE">
        <w:t>d</w:t>
      </w:r>
      <w:r w:rsidRPr="004406DE">
        <w:t xml:space="preserve">programmen </w:t>
      </w:r>
      <w:proofErr w:type="spellStart"/>
      <w:r w:rsidRPr="004406DE">
        <w:t>Comenius</w:t>
      </w:r>
      <w:proofErr w:type="spellEnd"/>
      <w:r w:rsidRPr="004406DE">
        <w:t xml:space="preserve"> (allmänbildande grundutbildning), Erasmus (hö</w:t>
      </w:r>
      <w:r w:rsidRPr="004406DE">
        <w:t>g</w:t>
      </w:r>
      <w:r w:rsidRPr="004406DE">
        <w:t xml:space="preserve">skoleutbildning), Leonardo da Vinci (fortbildning och forskning) och Grundtvig (vuxenutbildning). </w:t>
      </w:r>
    </w:p>
    <w:p w:rsidR="004406DE" w:rsidRPr="004406DE" w:rsidRDefault="004406DE" w:rsidP="00023C6C">
      <w:pPr>
        <w:ind w:firstLine="284"/>
      </w:pPr>
      <w:r w:rsidRPr="004406DE">
        <w:t>För att främja</w:t>
      </w:r>
      <w:r w:rsidR="00CC2F78">
        <w:t xml:space="preserve"> rörligheten och förenkla för EU-</w:t>
      </w:r>
      <w:r w:rsidRPr="004406DE">
        <w:t xml:space="preserve">medborgare att studera och söka jobb i </w:t>
      </w:r>
      <w:r w:rsidR="007A5388">
        <w:t xml:space="preserve">de olika medlemsstaterna </w:t>
      </w:r>
      <w:r w:rsidRPr="004406DE">
        <w:t xml:space="preserve">har </w:t>
      </w:r>
      <w:r w:rsidR="007A5388">
        <w:t xml:space="preserve">redskap </w:t>
      </w:r>
      <w:r w:rsidRPr="004406DE">
        <w:t>skapats för överf</w:t>
      </w:r>
      <w:r w:rsidRPr="004406DE">
        <w:t>ö</w:t>
      </w:r>
      <w:r w:rsidRPr="004406DE">
        <w:t>ring av examina och kompetenser för studier och arbete. Ett europeiskt s</w:t>
      </w:r>
      <w:r w:rsidRPr="004406DE">
        <w:t>y</w:t>
      </w:r>
      <w:r w:rsidRPr="004406DE">
        <w:t>stem för jämförelse av studieprestationer och erkännande av högskolest</w:t>
      </w:r>
      <w:r w:rsidRPr="004406DE">
        <w:t>u</w:t>
      </w:r>
      <w:r w:rsidRPr="004406DE">
        <w:t>dier som fullgjorts utomlands (ECTS) och ett system för meritöverföring inom yrkesutbildningen (ECVET) tillämpas i stigande takt även på Åland med landskapsregeringen som beslutande förvaltningsmyndighet. I samråd med berörda nationella och nordiska utbildningsmyndigheter avser lan</w:t>
      </w:r>
      <w:r w:rsidRPr="004406DE">
        <w:t>d</w:t>
      </w:r>
      <w:r w:rsidRPr="004406DE">
        <w:lastRenderedPageBreak/>
        <w:t>skapsregeringen framöver följa arbetet med att utifrån ett gemensamt eur</w:t>
      </w:r>
      <w:r w:rsidRPr="004406DE">
        <w:t>o</w:t>
      </w:r>
      <w:r w:rsidRPr="004406DE">
        <w:t>peiskt ramverk för kvalifikationer (EQF) skapa nationella ramverk (NQF) för erkän</w:t>
      </w:r>
      <w:r w:rsidR="00B0002C">
        <w:t xml:space="preserve">nande av studier och yrken. </w:t>
      </w:r>
    </w:p>
    <w:p w:rsidR="004406DE" w:rsidRPr="004406DE" w:rsidRDefault="004406DE" w:rsidP="00023C6C">
      <w:pPr>
        <w:ind w:firstLine="284"/>
        <w:rPr>
          <w:i/>
        </w:rPr>
      </w:pPr>
      <w:r w:rsidRPr="004406DE">
        <w:t>Då det inom ett yrke ställs specifika krav på utbildning eller yrkeserf</w:t>
      </w:r>
      <w:r w:rsidRPr="004406DE">
        <w:t>a</w:t>
      </w:r>
      <w:r w:rsidRPr="004406DE">
        <w:t>renhet (reglerat yrke) tillämpas inom unionen ett direktiv om erkännande av yrkeskvalifikationer (2005/36/EG). Direktivet anger regler enligt vilka en medlemsstat ska erkänna utbildning eller yrkeskvalifikationer som en u</w:t>
      </w:r>
      <w:r w:rsidRPr="004406DE">
        <w:t>n</w:t>
      </w:r>
      <w:r w:rsidRPr="004406DE">
        <w:t>ionsmedborgare har förvärvat i en annan medlemsstat. Nyligen antagna ändringar i direktivet (2013/55/EU) innebär att ändringar i de nationella författningarna s</w:t>
      </w:r>
      <w:r w:rsidR="00AA2C33">
        <w:t>ka vara i kraft i januari 2016.</w:t>
      </w:r>
    </w:p>
    <w:p w:rsidR="004406DE" w:rsidRPr="004406DE" w:rsidRDefault="004406DE" w:rsidP="00023C6C">
      <w:pPr>
        <w:ind w:firstLine="284"/>
      </w:pPr>
      <w:r w:rsidRPr="004406DE">
        <w:t>Visionen om att utveckla ett samhälle och en ekonomi baserad på ku</w:t>
      </w:r>
      <w:r w:rsidRPr="004406DE">
        <w:t>n</w:t>
      </w:r>
      <w:r w:rsidRPr="004406DE">
        <w:t>skap och innovation och EU:s nyckelkompetenser för ett livslångt lärande utgör grund för landskapsregeringens aktuella utbildningspolitiska program med övergripande mål och innehåll för verksamheten fr.o.m. grundskole- t.o.m. högskolenivå i landskapet. Programmet avser betona att barn, un</w:t>
      </w:r>
      <w:r w:rsidRPr="004406DE">
        <w:t>g</w:t>
      </w:r>
      <w:r w:rsidRPr="004406DE">
        <w:t>domar och vuxna ges möjligheter till god och bred utbildning, aktivt me</w:t>
      </w:r>
      <w:r w:rsidRPr="004406DE">
        <w:t>d</w:t>
      </w:r>
      <w:r w:rsidRPr="004406DE">
        <w:t>borgarskap, personlig utveckling, välbefinnande och färdigheter för sysse</w:t>
      </w:r>
      <w:r w:rsidRPr="004406DE">
        <w:t>l</w:t>
      </w:r>
      <w:r w:rsidRPr="004406DE">
        <w:t xml:space="preserve">sättning i arbetslivet. </w:t>
      </w:r>
    </w:p>
    <w:p w:rsidR="004406DE" w:rsidRPr="004406DE" w:rsidRDefault="004406DE" w:rsidP="00023C6C">
      <w:pPr>
        <w:ind w:firstLine="284"/>
      </w:pPr>
      <w:r w:rsidRPr="004406DE">
        <w:t>Även i landskapsregeringens ungdomspolitiska program går de priorit</w:t>
      </w:r>
      <w:r w:rsidRPr="004406DE">
        <w:t>e</w:t>
      </w:r>
      <w:r w:rsidRPr="004406DE">
        <w:t>rade områdena hand i hand med de gemensamma riktlinjer som man enats om inom EU:s ungdomspolitik</w:t>
      </w:r>
      <w:r w:rsidR="00864699">
        <w:t>, bl</w:t>
      </w:r>
      <w:r w:rsidRPr="004406DE">
        <w:t>a</w:t>
      </w:r>
      <w:r w:rsidR="00864699">
        <w:t>nd annat</w:t>
      </w:r>
      <w:r w:rsidRPr="004406DE">
        <w:t xml:space="preserve"> inom programmet Unga på väg, där utbildning och sysselsättning för unga människor betonas. Polit</w:t>
      </w:r>
      <w:r w:rsidRPr="004406DE">
        <w:t>i</w:t>
      </w:r>
      <w:r w:rsidRPr="004406DE">
        <w:t>ken och strategierna lyfter fram utbildning, jobb, kreativitet och entrepr</w:t>
      </w:r>
      <w:r w:rsidRPr="004406DE">
        <w:t>e</w:t>
      </w:r>
      <w:r w:rsidRPr="004406DE">
        <w:t>nörskap, social integration, hälsa och idrott, samhällsmedverkan och volo</w:t>
      </w:r>
      <w:r w:rsidRPr="004406DE">
        <w:t>n</w:t>
      </w:r>
      <w:r w:rsidRPr="004406DE">
        <w:t xml:space="preserve">tärverksamhet. </w:t>
      </w:r>
    </w:p>
    <w:p w:rsidR="004406DE" w:rsidRPr="004406DE" w:rsidRDefault="004406DE" w:rsidP="00023C6C">
      <w:pPr>
        <w:ind w:firstLine="284"/>
      </w:pPr>
      <w:r w:rsidRPr="004406DE">
        <w:t>I linje med sina programförklaringar och på basis av en lokal kartläg</w:t>
      </w:r>
      <w:r w:rsidRPr="004406DE">
        <w:t>g</w:t>
      </w:r>
      <w:r w:rsidRPr="004406DE">
        <w:t>ning av myndighetssamarbetet beträffande ungdomar som varken studerar eller arbetar, och som av den anledningen riskerar att marginaliseras, har landskapsregeringen uppmanat berörda avdelningar, myndigheter och andra aktörer att vidta åtgärder inom respektive ansvarsområde. Utbildnings- och kulturavdelningen, med ansvar för ungdomsfrågor, har i uppdrag att sa</w:t>
      </w:r>
      <w:r w:rsidRPr="004406DE">
        <w:t>m</w:t>
      </w:r>
      <w:r w:rsidRPr="004406DE">
        <w:t>ordna och koordinera arbetet på ett övergripande plan. Uppdraget kommer eventuellt att genomföras med stöd av insatser inom ett EU-projekt i sa</w:t>
      </w:r>
      <w:r w:rsidRPr="004406DE">
        <w:t>m</w:t>
      </w:r>
      <w:r w:rsidRPr="004406DE">
        <w:t>arbete med flera länder runt Östersjön.</w:t>
      </w:r>
    </w:p>
    <w:p w:rsidR="004406DE" w:rsidRPr="004406DE" w:rsidRDefault="001F09E3" w:rsidP="00023C6C">
      <w:pPr>
        <w:ind w:firstLine="284"/>
      </w:pPr>
      <w:r>
        <w:t>EU 2020-</w:t>
      </w:r>
      <w:r w:rsidR="004406DE" w:rsidRPr="004406DE">
        <w:t xml:space="preserve">strategin </w:t>
      </w:r>
      <w:r w:rsidR="004406DE" w:rsidRPr="007A5388">
        <w:rPr>
          <w:i/>
        </w:rPr>
        <w:t>Smart tillväxt</w:t>
      </w:r>
      <w:r w:rsidR="004406DE" w:rsidRPr="004406DE">
        <w:t xml:space="preserve"> – utveckla en ekonomi baserad på ku</w:t>
      </w:r>
      <w:r w:rsidR="004406DE" w:rsidRPr="004406DE">
        <w:t>n</w:t>
      </w:r>
      <w:r w:rsidR="004406DE" w:rsidRPr="004406DE">
        <w:t>skap och innovation är utmanande även för landskapsregeringens satsnin</w:t>
      </w:r>
      <w:r w:rsidR="004406DE" w:rsidRPr="004406DE">
        <w:t>g</w:t>
      </w:r>
      <w:r w:rsidR="004406DE" w:rsidRPr="004406DE">
        <w:t>ar på studieväglednings- och yrkesvägledningsfunktioner och integration</w:t>
      </w:r>
      <w:r w:rsidR="004406DE" w:rsidRPr="004406DE">
        <w:t>s</w:t>
      </w:r>
      <w:r w:rsidR="004406DE" w:rsidRPr="004406DE">
        <w:t>åtgärder. Landskapsregeringen har ingått avtal med Medborgarinstitutet i Mariehamn för olika pågående treårsperioder om ordnandet av utbildning i svenska för invandrare och övriga som flyttat till landskapet som har ett annat modersmål än svenska. Avtalen gäller utbildning i svenska för infly</w:t>
      </w:r>
      <w:r w:rsidR="004406DE" w:rsidRPr="004406DE">
        <w:t>t</w:t>
      </w:r>
      <w:r w:rsidR="004406DE" w:rsidRPr="004406DE">
        <w:t>tade som är arbetslösa eller hotas av arbetslöshet, för analfabeter och infly</w:t>
      </w:r>
      <w:r w:rsidR="004406DE" w:rsidRPr="004406DE">
        <w:t>t</w:t>
      </w:r>
      <w:r w:rsidR="004406DE" w:rsidRPr="004406DE">
        <w:t>tade med ett annat alfabet och för inflyttade som har en arbetsplats. Utbil</w:t>
      </w:r>
      <w:r w:rsidR="004406DE" w:rsidRPr="004406DE">
        <w:t>d</w:t>
      </w:r>
      <w:r w:rsidR="004406DE" w:rsidRPr="004406DE">
        <w:t>ningen syftar till att främja mångkulturalism och ge vuxna inflyttade med annat modersmål än svenska grundläggande baskunskaper i det svenska språket som redskap för kommunikation och aktivt deltagande i det åländska vardags-, samhälls- och arbetslivet. På dessa grunder ska utbil</w:t>
      </w:r>
      <w:r w:rsidR="004406DE" w:rsidRPr="004406DE">
        <w:t>d</w:t>
      </w:r>
      <w:r w:rsidR="004406DE" w:rsidRPr="004406DE">
        <w:t>ningen även innehålla avsnitt som berör arbets- och anställningsärenden samt hälso- och sjukvårdsfrågor. Landskapsregeringen har betonat att undervisning i svenska som sker på arbetsplatser med utländsk arbetskraft stöder arbetsgivarnas åtaganden, främjar arbetstagarnas framgång och är utvecklande för arbetsgemenskapen.</w:t>
      </w:r>
    </w:p>
    <w:p w:rsidR="004406DE" w:rsidRPr="004406DE" w:rsidRDefault="004406DE" w:rsidP="00023C6C">
      <w:pPr>
        <w:ind w:firstLine="284"/>
      </w:pPr>
      <w:r w:rsidRPr="004406DE">
        <w:t>På idrottsområdet är landskapsregeringen delaktig i en nationell up</w:t>
      </w:r>
      <w:r w:rsidRPr="004406DE">
        <w:t>p</w:t>
      </w:r>
      <w:r w:rsidRPr="004406DE">
        <w:t>följning av Europarådets konvention mot manipulation av idrottstävlingar som bland annat syftar till att organisera arbetet mot så kallad matchf</w:t>
      </w:r>
      <w:r w:rsidR="00B0002C">
        <w:t>ixning och olaglig vadslagning.</w:t>
      </w:r>
    </w:p>
    <w:p w:rsidR="004406DE" w:rsidRPr="004406DE" w:rsidRDefault="004406DE" w:rsidP="004406DE">
      <w:pPr>
        <w:pStyle w:val="Rubrik3"/>
      </w:pPr>
      <w:bookmarkStart w:id="60" w:name="_Toc410897662"/>
      <w:bookmarkStart w:id="61" w:name="_Toc412712679"/>
      <w:r w:rsidRPr="00386441">
        <w:lastRenderedPageBreak/>
        <w:t>3.2.4 Upphovsrätt</w:t>
      </w:r>
      <w:bookmarkEnd w:id="60"/>
      <w:bookmarkEnd w:id="61"/>
    </w:p>
    <w:p w:rsidR="004406DE" w:rsidRPr="00B7545F" w:rsidRDefault="008B3251" w:rsidP="005242BE">
      <w:r>
        <w:t>K</w:t>
      </w:r>
      <w:r w:rsidR="004406DE" w:rsidRPr="00B7545F">
        <w:t xml:space="preserve">ommissionen håller som bäst på att bereda en revidering av nuvarande upphovsrättsdirektiv från år 2001. Ett nytt initiativ </w:t>
      </w:r>
      <w:proofErr w:type="gramStart"/>
      <w:r w:rsidR="00B7545F" w:rsidRPr="00B7545F">
        <w:t>förv</w:t>
      </w:r>
      <w:r w:rsidR="004406DE" w:rsidRPr="00B7545F">
        <w:t>äntas</w:t>
      </w:r>
      <w:proofErr w:type="gramEnd"/>
      <w:r w:rsidR="004406DE" w:rsidRPr="00B7545F">
        <w:t xml:space="preserve"> </w:t>
      </w:r>
      <w:proofErr w:type="gramStart"/>
      <w:r w:rsidR="004406DE" w:rsidRPr="00B7545F">
        <w:t>presenteras</w:t>
      </w:r>
      <w:proofErr w:type="gramEnd"/>
      <w:r w:rsidR="004406DE" w:rsidRPr="00B7545F">
        <w:t xml:space="preserve"> i oktober 2015. Landskapsregeringen har i kontakter med kommissionen b</w:t>
      </w:r>
      <w:r w:rsidR="004406DE" w:rsidRPr="00B7545F">
        <w:t>e</w:t>
      </w:r>
      <w:r w:rsidR="004406DE" w:rsidRPr="00B7545F">
        <w:t>tonat vikten av att förtydliga nuvarande rättsläge. För tillfället är det rätt</w:t>
      </w:r>
      <w:r w:rsidR="004406DE" w:rsidRPr="00B7545F">
        <w:t>s</w:t>
      </w:r>
      <w:r w:rsidR="004406DE" w:rsidRPr="00B7545F">
        <w:t>ligt oklart i vilken grad</w:t>
      </w:r>
      <w:r w:rsidR="007A5388">
        <w:t xml:space="preserve"> </w:t>
      </w:r>
      <w:r w:rsidR="004406DE" w:rsidRPr="00B7545F">
        <w:t>rättighetsägare och distributörer kan erbjuda TV-kort och liknande tjänster till utländska konsumenter inom ramen för sina territoriella licenser. Detta gör att företag ofta väljer det säkrare alternativet att exkludera konsumenter i utlandet, vilket drabbar åländska användare som vill ta del av framför allt svenska tjänster.</w:t>
      </w:r>
    </w:p>
    <w:p w:rsidR="004406DE" w:rsidRPr="004329DC" w:rsidRDefault="004406DE" w:rsidP="00023C6C">
      <w:pPr>
        <w:ind w:firstLine="284"/>
      </w:pPr>
      <w:r w:rsidRPr="004406DE">
        <w:t>Landskapsregeringen har</w:t>
      </w:r>
      <w:r w:rsidR="00B7545F">
        <w:t xml:space="preserve"> i ma</w:t>
      </w:r>
      <w:r w:rsidR="00B2727C">
        <w:t>rs</w:t>
      </w:r>
      <w:r w:rsidR="00B7545F">
        <w:t xml:space="preserve"> 2014</w:t>
      </w:r>
      <w:r w:rsidRPr="004406DE">
        <w:t xml:space="preserve"> medverkat i </w:t>
      </w:r>
      <w:r w:rsidR="00B2727C">
        <w:t>kommissionens</w:t>
      </w:r>
      <w:r w:rsidRPr="004406DE">
        <w:t xml:space="preserve"> o</w:t>
      </w:r>
      <w:r w:rsidRPr="004406DE">
        <w:t>f</w:t>
      </w:r>
      <w:r w:rsidRPr="004406DE">
        <w:t>fent</w:t>
      </w:r>
      <w:r w:rsidR="00B2727C">
        <w:t>liga</w:t>
      </w:r>
      <w:r w:rsidRPr="004406DE">
        <w:t xml:space="preserve"> samråd gällande EU:s bestämmelser om upphovsrättsligt skydd. Landskapsregeringen kon</w:t>
      </w:r>
      <w:r w:rsidR="00B7545F">
        <w:t>staterade bland annat att ”</w:t>
      </w:r>
      <w:r w:rsidRPr="00AA2C33">
        <w:rPr>
          <w:i/>
        </w:rPr>
        <w:t>Internetbaserade TV-sändningar från Sverige går inte att se på Åland om det inte är fråga om ett program producerat av Sverige. Åland har ingått ett avtal med Sverige om att få se TV-sändningar men i det avtalet ingår inte rätten att se internetb</w:t>
      </w:r>
      <w:r w:rsidRPr="00AA2C33">
        <w:rPr>
          <w:i/>
        </w:rPr>
        <w:t>a</w:t>
      </w:r>
      <w:r w:rsidRPr="00AA2C33">
        <w:rPr>
          <w:i/>
        </w:rPr>
        <w:t xml:space="preserve">serade TV-sändningar. Från åländsk sida har önskemålet funnits att se även internetbaserade sändningar men Sverige har nekat med hänvisning till att Sverige, då </w:t>
      </w:r>
      <w:r w:rsidRPr="00B2727C">
        <w:rPr>
          <w:i/>
        </w:rPr>
        <w:t>man köper in utländska program, ingår upphovsrättsa</w:t>
      </w:r>
      <w:r w:rsidRPr="00B2727C">
        <w:rPr>
          <w:i/>
        </w:rPr>
        <w:t>v</w:t>
      </w:r>
      <w:r w:rsidRPr="00B2727C">
        <w:rPr>
          <w:i/>
        </w:rPr>
        <w:t xml:space="preserve">tal där sändningsrättigheten för internetsändningar är begränsad endast till </w:t>
      </w:r>
      <w:r w:rsidRPr="004329DC">
        <w:rPr>
          <w:i/>
        </w:rPr>
        <w:t>svenskt territorium</w:t>
      </w:r>
      <w:r w:rsidRPr="004329DC">
        <w:t>”.</w:t>
      </w:r>
    </w:p>
    <w:p w:rsidR="004406DE" w:rsidRPr="00115132" w:rsidRDefault="004406DE" w:rsidP="00023C6C">
      <w:pPr>
        <w:ind w:firstLine="284"/>
      </w:pPr>
      <w:r w:rsidRPr="004329DC">
        <w:t>Inom ramen för ett nytt mediepolitiskt program prioriterar landskapsr</w:t>
      </w:r>
      <w:r w:rsidRPr="004329DC">
        <w:t>e</w:t>
      </w:r>
      <w:r w:rsidRPr="004329DC">
        <w:t xml:space="preserve">geringen sin strävan att finna lösningar för möjligheten att ta emot TV-program från Sverige över internet. </w:t>
      </w:r>
      <w:r w:rsidRPr="00115132">
        <w:t>Landskapsregeringen finner det vara angeläget att upphovsrättslagstiftningen harmoniseras inom EU och avser därmed att fortsättningsvis aktivt följa det arbete som görs på detta område såväl inom EU som inom Norden.</w:t>
      </w:r>
    </w:p>
    <w:p w:rsidR="004406DE" w:rsidRPr="00115132" w:rsidRDefault="00150D02" w:rsidP="00023C6C">
      <w:pPr>
        <w:ind w:firstLine="284"/>
      </w:pPr>
      <w:r w:rsidRPr="00115132">
        <w:t xml:space="preserve">För en mer detaljerad redogörelse </w:t>
      </w:r>
      <w:r w:rsidR="000B507D" w:rsidRPr="00115132">
        <w:t>av</w:t>
      </w:r>
      <w:r w:rsidRPr="00115132">
        <w:t xml:space="preserve"> upphovsrättsliga frågor i ett vidare perspektiv,</w:t>
      </w:r>
      <w:r w:rsidR="004329DC" w:rsidRPr="00115132">
        <w:t xml:space="preserve"> se kapitel </w:t>
      </w:r>
      <w:r w:rsidR="007F4388" w:rsidRPr="00115132">
        <w:t>1</w:t>
      </w:r>
      <w:r w:rsidR="00861BD6" w:rsidRPr="00115132">
        <w:t>0</w:t>
      </w:r>
      <w:r w:rsidR="007F4388" w:rsidRPr="00115132">
        <w:t xml:space="preserve"> </w:t>
      </w:r>
      <w:r w:rsidR="004329DC" w:rsidRPr="00115132">
        <w:t>i landskapsre</w:t>
      </w:r>
      <w:r w:rsidRPr="00115132">
        <w:t>g</w:t>
      </w:r>
      <w:r w:rsidR="004329DC" w:rsidRPr="00115132">
        <w:t>eri</w:t>
      </w:r>
      <w:r w:rsidRPr="00115132">
        <w:t xml:space="preserve">ngens redogörelse </w:t>
      </w:r>
      <w:r w:rsidR="000B507D" w:rsidRPr="00115132">
        <w:t xml:space="preserve">nr </w:t>
      </w:r>
      <w:r w:rsidR="00115132" w:rsidRPr="00115132">
        <w:t>1</w:t>
      </w:r>
      <w:r w:rsidR="000B507D" w:rsidRPr="00115132">
        <w:t>/2014-2015.</w:t>
      </w:r>
    </w:p>
    <w:p w:rsidR="004406DE" w:rsidRPr="00115132" w:rsidRDefault="004406DE" w:rsidP="004406DE">
      <w:pPr>
        <w:pStyle w:val="Rubrik3"/>
      </w:pPr>
      <w:bookmarkStart w:id="62" w:name="_Toc410897663"/>
      <w:bookmarkStart w:id="63" w:name="_Toc412712680"/>
      <w:r w:rsidRPr="00115132">
        <w:t>3.2.5 Konsoliderad bolagsskattebas</w:t>
      </w:r>
      <w:bookmarkEnd w:id="62"/>
      <w:bookmarkEnd w:id="63"/>
    </w:p>
    <w:p w:rsidR="004406DE" w:rsidRPr="004406DE" w:rsidRDefault="004406DE" w:rsidP="005242BE">
      <w:r w:rsidRPr="00115132">
        <w:t>Kommissionen har i initiativet till rådets direktiv KOM(2011) 121 slutlig föreslagit att en gemensam konsoliderad bolagsskattebas (CCCTB/ Co</w:t>
      </w:r>
      <w:r w:rsidRPr="00115132">
        <w:t>m</w:t>
      </w:r>
      <w:r w:rsidRPr="00115132">
        <w:t xml:space="preserve">mon </w:t>
      </w:r>
      <w:proofErr w:type="spellStart"/>
      <w:r w:rsidRPr="00115132">
        <w:t>Consolidated</w:t>
      </w:r>
      <w:proofErr w:type="spellEnd"/>
      <w:r w:rsidRPr="00115132">
        <w:t xml:space="preserve"> Corporate Tax </w:t>
      </w:r>
      <w:proofErr w:type="spellStart"/>
      <w:r w:rsidRPr="00115132">
        <w:t>Base</w:t>
      </w:r>
      <w:proofErr w:type="spellEnd"/>
      <w:r w:rsidRPr="00115132">
        <w:t>) införs inom</w:t>
      </w:r>
      <w:r w:rsidRPr="004406DE">
        <w:t xml:space="preserve"> EU. Kommissionens syfte med initiativet är att bekämpa vissa skatterelaterade hinder för tillväxt på den inre marknaden. Initiativet innehåller bestämmelser för beräkningen av det skattepliktiga resultatet, för konsolidering av koncerners skattepli</w:t>
      </w:r>
      <w:r w:rsidRPr="004406DE">
        <w:t>k</w:t>
      </w:r>
      <w:r w:rsidRPr="004406DE">
        <w:t>tiga resultat samt bestämmelser för fördelningen av den konsoliderade ska</w:t>
      </w:r>
      <w:r w:rsidRPr="004406DE">
        <w:t>t</w:t>
      </w:r>
      <w:r w:rsidRPr="004406DE">
        <w:t>tebasen till de medlemsstater där företagen inom koncernen har sin ver</w:t>
      </w:r>
      <w:r w:rsidRPr="004406DE">
        <w:t>k</w:t>
      </w:r>
      <w:r w:rsidRPr="004406DE">
        <w:t xml:space="preserve">samhet. Enligt initiativet ska koncerner frivilligt kunna välja att gå med i systemet om en gemensam konsoliderad bolagsskattebas. </w:t>
      </w:r>
    </w:p>
    <w:p w:rsidR="004406DE" w:rsidRPr="004406DE" w:rsidRDefault="004406DE" w:rsidP="00023C6C">
      <w:pPr>
        <w:ind w:firstLine="284"/>
      </w:pPr>
      <w:r w:rsidRPr="004406DE">
        <w:t>Flera medlemsstater har varit kritiska till initiativet bland annat på grund av oro för minskade skatteintäkter. Initiativet har även ifrågasatts i förhå</w:t>
      </w:r>
      <w:r w:rsidRPr="004406DE">
        <w:t>l</w:t>
      </w:r>
      <w:r w:rsidRPr="004406DE">
        <w:t>lande till subsidiaritets</w:t>
      </w:r>
      <w:r w:rsidR="007A5388">
        <w:t xml:space="preserve">- </w:t>
      </w:r>
      <w:r w:rsidRPr="004406DE">
        <w:t>och proportionalitetsprincipen samt om nyttan med initiativet verkligen kan uppnås. Medlemsstaterna är inte heller eniga om frivilligheten, olika detaljer samt vilka fördelningsnycklar som ska tillä</w:t>
      </w:r>
      <w:r w:rsidRPr="004406DE">
        <w:t>m</w:t>
      </w:r>
      <w:r w:rsidRPr="004406DE">
        <w:t>pas för den nationella fördelningen av skattebasen. Den viktigaste princi</w:t>
      </w:r>
      <w:r w:rsidRPr="004406DE">
        <w:t>p</w:t>
      </w:r>
      <w:r w:rsidRPr="004406DE">
        <w:t>frågan är den grund som kommissionen hänvisar till i initiativet</w:t>
      </w:r>
      <w:r w:rsidR="00864699">
        <w:t>, det vill säga</w:t>
      </w:r>
      <w:r w:rsidRPr="004406DE">
        <w:t xml:space="preserve"> grunden för EU:s behörighet för att besluta om dessa regler som hör till den direkta beskattningens område. Medlemsstaterna har lagstiftning</w:t>
      </w:r>
      <w:r w:rsidRPr="004406DE">
        <w:t>s</w:t>
      </w:r>
      <w:r w:rsidRPr="004406DE">
        <w:t>behörigheten för den direkta beskattningen dock så att den nationella la</w:t>
      </w:r>
      <w:r w:rsidRPr="004406DE">
        <w:t>g</w:t>
      </w:r>
      <w:r w:rsidRPr="004406DE">
        <w:t>stiftningen ska vara neutral i förhållande till EU-rätten och inte förhindrar den fria rörelsen inom EU/EES-området. Om initiativet antas skulle alltså landskapets lagstiftningsbehörighet inom skatteområdet inskränkas e</w:t>
      </w:r>
      <w:r w:rsidRPr="004406DE">
        <w:t>f</w:t>
      </w:r>
      <w:r w:rsidRPr="004406DE">
        <w:t>tersom behörighet till viss del inom det direkta beskattningsområdet öve</w:t>
      </w:r>
      <w:r w:rsidRPr="004406DE">
        <w:t>r</w:t>
      </w:r>
      <w:r w:rsidRPr="004406DE">
        <w:lastRenderedPageBreak/>
        <w:t>förs på unionen. Den tekniska konsekvensen av detta är att landskapet till viss del förlorar möjligheten att påverka fördelningen av beskattningen och beräkningen av samfunds beskattningsbara inkomst såsom vilka avdrag som får göras i beskattningen. För vidare information se Ålands landskap</w:t>
      </w:r>
      <w:r w:rsidRPr="004406DE">
        <w:t>s</w:t>
      </w:r>
      <w:r w:rsidR="008B3251">
        <w:t xml:space="preserve">regerings promemoria om </w:t>
      </w:r>
      <w:r w:rsidRPr="004406DE">
        <w:t>kommissionens initiativ KOM(2011) 121 slutlig. Ålands landskapsregering motsatte sig initiativet.</w:t>
      </w:r>
    </w:p>
    <w:p w:rsidR="004406DE" w:rsidRPr="004406DE" w:rsidRDefault="004406DE" w:rsidP="00023C6C">
      <w:pPr>
        <w:ind w:firstLine="284"/>
      </w:pPr>
      <w:r w:rsidRPr="004406DE">
        <w:t>Kompromissförslag har bearbetats av kommissionens arbetsgrupp (där experter från alla 27 medlemsstater ingår) under 2014, men fortsatt stor o</w:t>
      </w:r>
      <w:r w:rsidRPr="004406DE">
        <w:t>e</w:t>
      </w:r>
      <w:r w:rsidRPr="004406DE">
        <w:t xml:space="preserve">nighet råder mellan medlemsstaterna. Kommissionen har lyft upp CCCTB som ett prioriterat </w:t>
      </w:r>
      <w:r w:rsidRPr="00AE3D85">
        <w:t>område under år 2015 genom att initiera en handling</w:t>
      </w:r>
      <w:r w:rsidRPr="00AE3D85">
        <w:t>s</w:t>
      </w:r>
      <w:r w:rsidRPr="00AE3D85">
        <w:t>plan mot ska</w:t>
      </w:r>
      <w:r w:rsidR="00864699">
        <w:t>tteflykt och skattebrott där bl</w:t>
      </w:r>
      <w:r w:rsidRPr="00AE3D85">
        <w:t>a</w:t>
      </w:r>
      <w:r w:rsidR="00864699">
        <w:t>nd annat</w:t>
      </w:r>
      <w:r w:rsidRPr="00AE3D85">
        <w:t xml:space="preserve"> en nystart av arbetet med CCCTB ingår. Arbetet kommer även till viss del att koordineras med ett omfattande projekt inom OECD, BEPS-projektet (</w:t>
      </w:r>
      <w:proofErr w:type="spellStart"/>
      <w:r w:rsidRPr="00AE3D85">
        <w:t>Base</w:t>
      </w:r>
      <w:proofErr w:type="spellEnd"/>
      <w:r w:rsidRPr="00AE3D85">
        <w:t xml:space="preserve"> Erosion and Profit </w:t>
      </w:r>
      <w:proofErr w:type="spellStart"/>
      <w:r w:rsidRPr="00AE3D85">
        <w:t>Shifting</w:t>
      </w:r>
      <w:proofErr w:type="spellEnd"/>
      <w:r w:rsidRPr="00AE3D85">
        <w:t>) som delvis berör liknande beskattningsfrågor. Arbetet inom OECD beräknas leda till en rapport med rekommendationer till nationella lagstiftningsåtgärder och även ett multinationellt skatteavtal. Landskapsr</w:t>
      </w:r>
      <w:r w:rsidRPr="00AE3D85">
        <w:t>e</w:t>
      </w:r>
      <w:r w:rsidRPr="00AE3D85">
        <w:t>geringen kommer att aktivt fortsätta bevaka händelseutvecklingen av arb</w:t>
      </w:r>
      <w:r w:rsidRPr="00AE3D85">
        <w:t>e</w:t>
      </w:r>
      <w:r w:rsidRPr="00AE3D85">
        <w:t>tet med CCCTB och BEPS under 2015, och vid behov vidta åtgärder för att påverka arbetet.</w:t>
      </w:r>
    </w:p>
    <w:p w:rsidR="004406DE" w:rsidRPr="004406DE" w:rsidRDefault="004406DE" w:rsidP="00386441">
      <w:pPr>
        <w:pStyle w:val="Rubrik3"/>
      </w:pPr>
      <w:bookmarkStart w:id="64" w:name="_Toc410897664"/>
      <w:bookmarkStart w:id="65" w:name="_Toc412712681"/>
      <w:r w:rsidRPr="004406DE">
        <w:t>3.2.6 Framtida mervärdesskattesystem</w:t>
      </w:r>
      <w:bookmarkEnd w:id="64"/>
      <w:bookmarkEnd w:id="65"/>
    </w:p>
    <w:p w:rsidR="004406DE" w:rsidRPr="004406DE" w:rsidRDefault="004406DE" w:rsidP="005242BE">
      <w:r w:rsidRPr="004406DE">
        <w:t>Kommissionen har i flera omgångar sedan 2010 aviserat en avsikt att m</w:t>
      </w:r>
      <w:r w:rsidRPr="004406DE">
        <w:t>o</w:t>
      </w:r>
      <w:r w:rsidRPr="004406DE">
        <w:t xml:space="preserve">dernisera mervärdesbeskattningen inom unionen. Kommissionen har </w:t>
      </w:r>
      <w:r w:rsidR="00864699">
        <w:t>bland annat</w:t>
      </w:r>
      <w:r w:rsidRPr="004406DE">
        <w:t xml:space="preserve"> lämnat en grönbok om mervärdesskattens framtid – Ett enklare, stab</w:t>
      </w:r>
      <w:r w:rsidRPr="004406DE">
        <w:t>i</w:t>
      </w:r>
      <w:r w:rsidRPr="004406DE">
        <w:t xml:space="preserve">lare och mera effektivt mervärdesskattesystem, KOM(2010) 695 slutlig </w:t>
      </w:r>
      <w:r w:rsidR="00864699">
        <w:t>samt</w:t>
      </w:r>
      <w:r w:rsidRPr="004406DE">
        <w:t xml:space="preserve"> ett meddelande om mervärdesskattens framtid, KOM(2011) 851/3. Några konkreta lagstiftningsinitiativ ingår inte men däremot de grundlä</w:t>
      </w:r>
      <w:r w:rsidRPr="004406DE">
        <w:t>g</w:t>
      </w:r>
      <w:r w:rsidRPr="004406DE">
        <w:t>gande egenskaper som ska känneteckna det nya mervärdesskattesystemet för att skapa ett enklare och mer effektivt mervärdesskattesystem i EU. V</w:t>
      </w:r>
      <w:r w:rsidRPr="004406DE">
        <w:t>i</w:t>
      </w:r>
      <w:r w:rsidRPr="004406DE">
        <w:t>dare beskrivs de principer som bör vägleda översynen av undantag från skatteplikt och reducerade skattesatser för att uppnå ett neutralt mervä</w:t>
      </w:r>
      <w:r w:rsidRPr="004406DE">
        <w:t>r</w:t>
      </w:r>
      <w:r w:rsidRPr="004406DE">
        <w:t xml:space="preserve">desskattesystem. </w:t>
      </w:r>
    </w:p>
    <w:p w:rsidR="004406DE" w:rsidRPr="004406DE" w:rsidRDefault="004406DE" w:rsidP="00023C6C">
      <w:pPr>
        <w:ind w:firstLine="284"/>
      </w:pPr>
      <w:r w:rsidRPr="004406DE">
        <w:t>Under år 2014 lämnades inget initiativ om mervärdesbeskattning av kommissionen, trots att ett initiativ enligt arbetsprogrammet för året skulle lämnas. Enligt kommissionens arbetsprogram för 2015 ska arbetet inom mervärdesskatteområdet fortsätta, bl</w:t>
      </w:r>
      <w:r w:rsidR="00864699">
        <w:t>and annat</w:t>
      </w:r>
      <w:r w:rsidRPr="004406DE">
        <w:t xml:space="preserve"> för att täppa till skattegapet. Landskapsregeringen följer fortsatt arbetet i kommissionen, med syfte att bevaka landskapets intressen.</w:t>
      </w:r>
    </w:p>
    <w:p w:rsidR="004406DE" w:rsidRPr="004406DE" w:rsidRDefault="004406DE" w:rsidP="00386441">
      <w:pPr>
        <w:pStyle w:val="Rubrik3"/>
      </w:pPr>
      <w:bookmarkStart w:id="66" w:name="_Toc410897665"/>
      <w:bookmarkStart w:id="67" w:name="_Toc412712682"/>
      <w:r w:rsidRPr="004406DE">
        <w:t>3.2.7 EU-program 2014-2020</w:t>
      </w:r>
      <w:bookmarkEnd w:id="66"/>
      <w:bookmarkEnd w:id="67"/>
    </w:p>
    <w:p w:rsidR="004406DE" w:rsidRPr="004406DE" w:rsidRDefault="004406DE" w:rsidP="005242BE">
      <w:r w:rsidRPr="004406DE">
        <w:t>Landskapsregeringen lämnade våren 2014 ett separat meddelande till la</w:t>
      </w:r>
      <w:r w:rsidRPr="004406DE">
        <w:t>g</w:t>
      </w:r>
      <w:r w:rsidRPr="004406DE">
        <w:t>tinget om strukturfonderna. Landskapsregeringens förslag till operativpr</w:t>
      </w:r>
      <w:r w:rsidRPr="004406DE">
        <w:t>o</w:t>
      </w:r>
      <w:r w:rsidRPr="004406DE">
        <w:t>gram för Europeiska regionala utvecklingsfonden (Eruf) och Europeiska socialfonden (ESF) antogs av landskapsregeringen den 13 maj 2014 och skickades till kommissionen via kommissionens databas SFC 2014. Pr</w:t>
      </w:r>
      <w:r w:rsidRPr="004406DE">
        <w:t>o</w:t>
      </w:r>
      <w:r w:rsidRPr="004406DE">
        <w:t>grammet godkändes av kommissionen den 18 december 2014 och kommer att börja implementeras under 2015.</w:t>
      </w:r>
    </w:p>
    <w:p w:rsidR="004406DE" w:rsidRPr="004406DE" w:rsidRDefault="004406DE" w:rsidP="00023C6C">
      <w:pPr>
        <w:ind w:firstLine="284"/>
      </w:pPr>
      <w:r w:rsidRPr="004406DE">
        <w:t>Den övergripande målsättningen för programmet är att utveckla ku</w:t>
      </w:r>
      <w:r w:rsidRPr="004406DE">
        <w:t>n</w:t>
      </w:r>
      <w:r w:rsidRPr="004406DE">
        <w:t>skapen och förbättra kompetensen inom arbetslivet, öka sysselsättningen, produktiviteten och innovationskapaciteten. Målet är att förnya och divers</w:t>
      </w:r>
      <w:r w:rsidRPr="004406DE">
        <w:t>i</w:t>
      </w:r>
      <w:r w:rsidRPr="004406DE">
        <w:t>fiera det åländska näringslivet och att bidra till ett välutbildat, jämställt och aktivt inkluderande samhälle. Strategin är att skapa förutsättningar för och stöda innovationer och kompetens i företag och organisationer på Åland för att få näringslivet att växa smart och hållbart. Fokus läggs på långsiktighet, samverkan på olika plan, kapitalförsörjning i tidiga faser av företagets livscykel och kompetensförsörjning.</w:t>
      </w:r>
      <w:r w:rsidR="00864699">
        <w:t xml:space="preserve"> </w:t>
      </w:r>
      <w:r w:rsidRPr="004406DE">
        <w:t>Programstrategin koncentrerar sat</w:t>
      </w:r>
      <w:r w:rsidRPr="004406DE">
        <w:t>s</w:t>
      </w:r>
      <w:r w:rsidRPr="004406DE">
        <w:lastRenderedPageBreak/>
        <w:t>ningarna till två prioriterade områden ”</w:t>
      </w:r>
      <w:r w:rsidRPr="00864699">
        <w:rPr>
          <w:i/>
        </w:rPr>
        <w:t>Entreprenörskap och innovation</w:t>
      </w:r>
      <w:r w:rsidRPr="004406DE">
        <w:t>” (Eruf) och ”</w:t>
      </w:r>
      <w:r w:rsidRPr="00864699">
        <w:rPr>
          <w:i/>
        </w:rPr>
        <w:t>Delaktighet och kompetens</w:t>
      </w:r>
      <w:r w:rsidRPr="004406DE">
        <w:t xml:space="preserve">” (ESF).  </w:t>
      </w:r>
    </w:p>
    <w:p w:rsidR="004406DE" w:rsidRPr="004406DE" w:rsidRDefault="004406DE" w:rsidP="00023C6C">
      <w:pPr>
        <w:ind w:firstLine="284"/>
      </w:pPr>
      <w:r w:rsidRPr="004406DE">
        <w:t xml:space="preserve">De valda investeringsprioriteringarna för regionalfonden är att främja företagsinvesteringar </w:t>
      </w:r>
      <w:r w:rsidR="00370419">
        <w:t xml:space="preserve">bland annat </w:t>
      </w:r>
      <w:r w:rsidRPr="004406DE">
        <w:t xml:space="preserve">inom innovation och forskning </w:t>
      </w:r>
      <w:r w:rsidR="00370419">
        <w:t>samt</w:t>
      </w:r>
      <w:r w:rsidRPr="004406DE">
        <w:t xml:space="preserve"> att stödja små och medelstora företags förmåga att inleda tillväxt- och innova</w:t>
      </w:r>
      <w:r w:rsidRPr="004406DE">
        <w:t>t</w:t>
      </w:r>
      <w:r w:rsidRPr="004406DE">
        <w:t>ionsarbeten.</w:t>
      </w:r>
    </w:p>
    <w:p w:rsidR="004406DE" w:rsidRPr="004406DE" w:rsidRDefault="004406DE" w:rsidP="005242BE">
      <w:r w:rsidRPr="004406DE">
        <w:t>Den huvudsakliga målgruppen för åtgärderna är små och medelstora för</w:t>
      </w:r>
      <w:r w:rsidRPr="004406DE">
        <w:t>e</w:t>
      </w:r>
      <w:r w:rsidRPr="004406DE">
        <w:t>tag, nyetablerade teknologiföretag samt teknikintensiva eller innovativa små tjänsteföretag vilka har potential att utvecklas till internationella til</w:t>
      </w:r>
      <w:r w:rsidRPr="004406DE">
        <w:t>l</w:t>
      </w:r>
      <w:r w:rsidRPr="004406DE">
        <w:t>växtföretag, högskolor/universitet, intresse- och branschorganisationer samt offentliga aktörer. Programmet genomförs med projektstöd till offentliga organ och organisationer samt genom offentligt riskkapital till företag.</w:t>
      </w:r>
    </w:p>
    <w:p w:rsidR="004406DE" w:rsidRPr="004406DE" w:rsidRDefault="004406DE" w:rsidP="00023C6C">
      <w:pPr>
        <w:ind w:firstLine="284"/>
      </w:pPr>
      <w:r w:rsidRPr="004406DE">
        <w:t>För socialfondens del är prioriteringarna att främja tillgång till anstäl</w:t>
      </w:r>
      <w:r w:rsidRPr="004406DE">
        <w:t>l</w:t>
      </w:r>
      <w:r w:rsidRPr="004406DE">
        <w:t>ning för arbetssökande och icke-förvärvsarbetande, inbegripet långtidsa</w:t>
      </w:r>
      <w:r w:rsidRPr="004406DE">
        <w:t>r</w:t>
      </w:r>
      <w:r w:rsidRPr="004406DE">
        <w:t>betslösa och personer långt från arbetsmarknaden, även genom lokala sysselsättningsinitiat</w:t>
      </w:r>
      <w:r w:rsidR="00AA2C33">
        <w:t>iv och arbetskraftens rörlighet. Prioriteringarna syftar även till</w:t>
      </w:r>
      <w:r w:rsidRPr="004406DE">
        <w:t xml:space="preserve"> aktiv delaktighet samt att stärka lika tillgång till livslångt lärande, höja arbetskraftens kompetens och förbättra utbildningens relevans för a</w:t>
      </w:r>
      <w:r w:rsidRPr="004406DE">
        <w:t>r</w:t>
      </w:r>
      <w:r w:rsidRPr="004406DE">
        <w:t>betsmarknaden.</w:t>
      </w:r>
      <w:r w:rsidR="00AA2C33">
        <w:t xml:space="preserve"> </w:t>
      </w:r>
      <w:r w:rsidRPr="004406DE">
        <w:t>Den huvudsakliga målgruppen är enskilda individer, a</w:t>
      </w:r>
      <w:r w:rsidRPr="004406DE">
        <w:t>r</w:t>
      </w:r>
      <w:r w:rsidRPr="004406DE">
        <w:t>betslösa personer, både de som är registrerade arbetssökande men även de som är inaktiva och som riskerar att falla utanför de stödsystem som finns idag och personer som riskerar exkludering av olika anledningar.</w:t>
      </w:r>
    </w:p>
    <w:p w:rsidR="004406DE" w:rsidRPr="004406DE" w:rsidRDefault="004406DE" w:rsidP="00023C6C">
      <w:pPr>
        <w:ind w:firstLine="284"/>
      </w:pPr>
      <w:r w:rsidRPr="004406DE">
        <w:t>Programmet omfattar 4 995 500 euro varav 2 322 538 euro kommer från Europeiska regionala utvecklingsfonden och 2 672 962 euro från Europ</w:t>
      </w:r>
      <w:r w:rsidRPr="004406DE">
        <w:t>e</w:t>
      </w:r>
      <w:r w:rsidRPr="004406DE">
        <w:t>iska socialfonden. Av detta avsätts 30 procent till offentligt riskkapital.</w:t>
      </w:r>
    </w:p>
    <w:p w:rsidR="004406DE" w:rsidRPr="00BD31C9" w:rsidRDefault="004406DE" w:rsidP="005242BE">
      <w:r w:rsidRPr="004406DE">
        <w:t xml:space="preserve">Programinsatserna bedöms stöda Östersjöstrategin mot målet att uppnå ett ökat välstånd framförallt genom projekt som bidrar till att genomföra Europa 2020-strategin och till att </w:t>
      </w:r>
      <w:r w:rsidRPr="00BD31C9">
        <w:t>förbättra regionens globala konkurren</w:t>
      </w:r>
      <w:r w:rsidRPr="00BD31C9">
        <w:t>s</w:t>
      </w:r>
      <w:r w:rsidRPr="00BD31C9">
        <w:t>kraft. Därmed bidrar programmet till en hållbar tillväxt och utveckling av Östersjöregionen.</w:t>
      </w:r>
    </w:p>
    <w:p w:rsidR="00A87735" w:rsidRPr="00BD31C9" w:rsidRDefault="004406DE" w:rsidP="00A87735">
      <w:pPr>
        <w:pStyle w:val="Rubrik3"/>
      </w:pPr>
      <w:bookmarkStart w:id="68" w:name="_Toc410897666"/>
      <w:bookmarkStart w:id="69" w:name="_Toc412712683"/>
      <w:r w:rsidRPr="00BD31C9">
        <w:t>3.2.8 Jordbruk</w:t>
      </w:r>
      <w:bookmarkStart w:id="70" w:name="_Toc410897667"/>
      <w:bookmarkEnd w:id="68"/>
      <w:bookmarkEnd w:id="69"/>
    </w:p>
    <w:p w:rsidR="00A87735" w:rsidRPr="00BD31C9" w:rsidRDefault="00A87735" w:rsidP="00A87735">
      <w:r w:rsidRPr="00BD31C9">
        <w:t>Efter en intensiv reformperiod inför finansieringsperioden 2014-2020 vä</w:t>
      </w:r>
      <w:r w:rsidRPr="00BD31C9">
        <w:t>n</w:t>
      </w:r>
      <w:r w:rsidRPr="00BD31C9">
        <w:rPr>
          <w:bCs/>
        </w:rPr>
        <w:t xml:space="preserve">tar en </w:t>
      </w:r>
      <w:r w:rsidRPr="00BD31C9">
        <w:t>genomförandeperiod i</w:t>
      </w:r>
      <w:r w:rsidRPr="00BD31C9">
        <w:rPr>
          <w:bCs/>
        </w:rPr>
        <w:t>nom jordbruksområdet. K</w:t>
      </w:r>
      <w:r w:rsidRPr="00BD31C9">
        <w:t xml:space="preserve">ommissionen fattade den 13 februari beslut om det Åländska landsbygdsutvecklingsprogrammet och programmet är därmed redo att börja implementeras </w:t>
      </w:r>
      <w:r w:rsidRPr="00BD31C9">
        <w:rPr>
          <w:bCs/>
        </w:rPr>
        <w:t>i landskapet</w:t>
      </w:r>
      <w:r w:rsidRPr="00BD31C9">
        <w:t>. B</w:t>
      </w:r>
      <w:r w:rsidRPr="00BD31C9">
        <w:t>e</w:t>
      </w:r>
      <w:r w:rsidRPr="00BD31C9">
        <w:t>slutet kom efter ett intensivt programarbete som sträckt sig över två år</w:t>
      </w:r>
      <w:r w:rsidRPr="00BD31C9">
        <w:rPr>
          <w:bCs/>
        </w:rPr>
        <w:t>, då</w:t>
      </w:r>
      <w:r w:rsidRPr="00BD31C9">
        <w:t xml:space="preserve"> lagstiftningsarbetet inom E</w:t>
      </w:r>
      <w:r w:rsidRPr="00BD31C9">
        <w:rPr>
          <w:bCs/>
        </w:rPr>
        <w:t>U</w:t>
      </w:r>
      <w:r w:rsidRPr="00BD31C9">
        <w:t xml:space="preserve"> kraftigt dragit ut på tiden. Trots den utdragna processen kunde det åländska programmet godkännas i den andra o</w:t>
      </w:r>
      <w:r w:rsidRPr="00BD31C9">
        <w:t>m</w:t>
      </w:r>
      <w:r w:rsidRPr="00BD31C9">
        <w:t>gången beslut av landsbygdsprogram vilke</w:t>
      </w:r>
      <w:r w:rsidRPr="00BD31C9">
        <w:rPr>
          <w:bCs/>
        </w:rPr>
        <w:t>t</w:t>
      </w:r>
      <w:r w:rsidRPr="00BD31C9">
        <w:t xml:space="preserve"> kan konstateras vara relativt t</w:t>
      </w:r>
      <w:r w:rsidRPr="00BD31C9">
        <w:t>i</w:t>
      </w:r>
      <w:r w:rsidRPr="00BD31C9">
        <w:t>digt i processen, då ytterligare ett 90-tal program av totalt 118 väntar på b</w:t>
      </w:r>
      <w:r w:rsidRPr="00BD31C9">
        <w:t>e</w:t>
      </w:r>
      <w:r w:rsidRPr="00BD31C9">
        <w:t>slut som förväntas fattas efter sommaren. Kommissionen uttryckte sin til</w:t>
      </w:r>
      <w:r w:rsidRPr="00BD31C9">
        <w:t>l</w:t>
      </w:r>
      <w:r w:rsidRPr="00BD31C9">
        <w:t>fredsställeles över beslutet om godkännandet där man poängterar styrkan i systemet att man kan tillämpa generella viktiga prioriteringar i programmen men samtidigt kunna anpassa programmen till specifika förutsättningar i regioner med skiftande behov och nämner Åland som exempel på detta.</w:t>
      </w:r>
    </w:p>
    <w:p w:rsidR="00A87735" w:rsidRPr="00A87735" w:rsidRDefault="00A87735" w:rsidP="00A87735">
      <w:pPr>
        <w:ind w:firstLine="284"/>
        <w:rPr>
          <w:rFonts w:cs="Arial"/>
          <w:bCs/>
          <w:sz w:val="26"/>
          <w:szCs w:val="26"/>
        </w:rPr>
      </w:pPr>
      <w:r w:rsidRPr="00BD31C9">
        <w:t>Landskapsregeringen kommer även att följa det fortsatta arbetet med r</w:t>
      </w:r>
      <w:r w:rsidRPr="00BD31C9">
        <w:t>e</w:t>
      </w:r>
      <w:r w:rsidRPr="00BD31C9">
        <w:t>videringen av de styrande förordningarna kring ekologisk produktion som inleddes i mars 2014 men där EU-instanserna ännu inte kunnat enas kring ett slutligt initiativ. Initiativet kommer</w:t>
      </w:r>
      <w:r w:rsidRPr="00A87735">
        <w:t xml:space="preserve"> att diskuteras intensivt under våren då kommissionen har satt en tidsfrist om 6 månader för att uppnå en öve</w:t>
      </w:r>
      <w:r w:rsidRPr="00A87735">
        <w:t>r</w:t>
      </w:r>
      <w:r w:rsidRPr="00A87735">
        <w:t>enskommelse, annars ämnar kommissionen dra tillbaka initiativet. Rådet förväntas behandla initiativet i maj och parlamentet i juni.</w:t>
      </w:r>
    </w:p>
    <w:p w:rsidR="004406DE" w:rsidRPr="004406DE" w:rsidRDefault="004406DE" w:rsidP="00A87735">
      <w:pPr>
        <w:pStyle w:val="Rubrik3"/>
      </w:pPr>
      <w:bookmarkStart w:id="71" w:name="_Toc412712684"/>
      <w:r w:rsidRPr="00386441">
        <w:lastRenderedPageBreak/>
        <w:t>3.2.9 Skog</w:t>
      </w:r>
      <w:bookmarkEnd w:id="70"/>
      <w:bookmarkEnd w:id="71"/>
    </w:p>
    <w:p w:rsidR="004406DE" w:rsidRPr="004406DE" w:rsidRDefault="004406DE" w:rsidP="005242BE">
      <w:r w:rsidRPr="004406DE">
        <w:t>Av kommissionens arbetsprogram för 2015 framkommer inga nya initiativ inom skogsbruksområdet. Däremot fortsätter arbetet med en ny EU-skogsstrategi och förhandlingar om ett rättsligt bindande avtal om skogar i Europa. Landskapsregeringen har för avsikt att följa dessa processer, men har begränsade resurser för att aktivt delta i arbetet.</w:t>
      </w:r>
    </w:p>
    <w:p w:rsidR="004406DE" w:rsidRPr="004406DE" w:rsidRDefault="004406DE" w:rsidP="00023C6C">
      <w:pPr>
        <w:ind w:firstLine="284"/>
      </w:pPr>
      <w:r w:rsidRPr="004406DE">
        <w:t>Kommissionen presenterade i april 2014 en ny EU-skogsstrategi för skogarna</w:t>
      </w:r>
      <w:r w:rsidR="00370419">
        <w:t xml:space="preserve"> och den skogsbaserade sektorn, COM(2013) 659 slutlig</w:t>
      </w:r>
      <w:r w:rsidRPr="004406DE">
        <w:t>. Strategin – som inte är en bindande rättsakt för medlemsstaterna – behandlas för til</w:t>
      </w:r>
      <w:r w:rsidRPr="004406DE">
        <w:t>l</w:t>
      </w:r>
      <w:r w:rsidRPr="004406DE">
        <w:t>fället av Europaparlamentet. Skogsstrategin har även behandlats i Nordiska rådets Miljö- och naturresursutskott och landskapsregeringen har där fra</w:t>
      </w:r>
      <w:r w:rsidRPr="004406DE">
        <w:t>m</w:t>
      </w:r>
      <w:r w:rsidRPr="004406DE">
        <w:t>fört sina synpunkter. Det betonas speciellt att skogsbruket är en nationell behörighet där EU:s insats bör vara begränsad och att strategin måste utgå från lokala förhållanden och inte medföra ökad administration och byr</w:t>
      </w:r>
      <w:r w:rsidRPr="004406DE">
        <w:t>å</w:t>
      </w:r>
      <w:r w:rsidRPr="004406DE">
        <w:t>krati.</w:t>
      </w:r>
    </w:p>
    <w:p w:rsidR="004406DE" w:rsidRPr="004406DE" w:rsidRDefault="004406DE" w:rsidP="00023C6C">
      <w:pPr>
        <w:ind w:firstLine="284"/>
      </w:pPr>
      <w:r w:rsidRPr="004406DE">
        <w:t xml:space="preserve">En ministerkonferens om skydd av skogarna i Europa (FOREST EUROPE) hölls i Oslo 2011, varefter ministrar från 46 signatärstater samt kommissionen som representant för EU beslöt inleda förhandlingar om ett rättsligt bindande avtal om skogar i Europa. </w:t>
      </w:r>
      <w:r w:rsidR="00864699">
        <w:t>Målsättningen med avtalet är bl</w:t>
      </w:r>
      <w:r w:rsidRPr="004406DE">
        <w:t>a</w:t>
      </w:r>
      <w:r w:rsidR="00864699">
        <w:t>nd annat</w:t>
      </w:r>
      <w:r w:rsidRPr="004406DE">
        <w:t xml:space="preserve"> att stärka en hållbar utveckling och samhällelig välfärd, säke</w:t>
      </w:r>
      <w:r w:rsidRPr="004406DE">
        <w:t>r</w:t>
      </w:r>
      <w:r w:rsidRPr="004406DE">
        <w:t>ställa skogens produkter och ekosystemtjänster, öka skogens roll för att lösa globala utmaningar, skydda och förbättra skogarnas vitalitet och biod</w:t>
      </w:r>
      <w:r w:rsidRPr="004406DE">
        <w:t>i</w:t>
      </w:r>
      <w:r w:rsidRPr="004406DE">
        <w:t xml:space="preserve">versitet </w:t>
      </w:r>
      <w:r w:rsidR="00913155">
        <w:t>samt</w:t>
      </w:r>
      <w:r w:rsidRPr="004406DE">
        <w:t xml:space="preserve"> anpas</w:t>
      </w:r>
      <w:r w:rsidR="00913155">
        <w:t>sning till klimatförändringen. A</w:t>
      </w:r>
      <w:r w:rsidRPr="004406DE">
        <w:t>vtalet ska utgöra en ram för nationellt och internationellt samarbete. Avtalsparterna förväntas uta</w:t>
      </w:r>
      <w:r w:rsidRPr="004406DE">
        <w:t>r</w:t>
      </w:r>
      <w:r w:rsidRPr="004406DE">
        <w:t>beta lagstiftning, program eller andra policydokument för alla kriterier samt övervaka och rapportera om situationen och verkställigheten. Avtalet är till karaktären ett s</w:t>
      </w:r>
      <w:r w:rsidR="00370419">
        <w:t>å kallat b</w:t>
      </w:r>
      <w:r w:rsidRPr="004406DE">
        <w:t>landavtal, där bestämmelserna som ingår dels hör till medlemsstaternas, dels till EU:s behörighet. Eftersom avtalet reglerar frågor inom landskapets behörighetsområde kommer lagtingets bifall att krävas för att det ska bli gällande i landskapet. Landskapsregeringen har i april 2013 lämnat ett utlåtande med synpunkter till Jord- och skogsbruk</w:t>
      </w:r>
      <w:r w:rsidRPr="004406DE">
        <w:t>s</w:t>
      </w:r>
      <w:r w:rsidRPr="004406DE">
        <w:t>ministeriet. Avsikten var att förhandlingarna kring det rättsligt bindande a</w:t>
      </w:r>
      <w:r w:rsidRPr="004406DE">
        <w:t>v</w:t>
      </w:r>
      <w:r w:rsidRPr="004406DE">
        <w:t xml:space="preserve">talet skulle vara slutförda sommaren 2013, men förhandlingarna avbröts </w:t>
      </w:r>
      <w:r w:rsidR="00370419">
        <w:t>på grund av</w:t>
      </w:r>
      <w:r w:rsidRPr="004406DE">
        <w:t xml:space="preserve"> oenighet. </w:t>
      </w:r>
      <w:r w:rsidR="00537B61">
        <w:t>Lettland, som innehar ordförandeskapet för EU:s m</w:t>
      </w:r>
      <w:r w:rsidR="00537B61">
        <w:t>i</w:t>
      </w:r>
      <w:r w:rsidR="00537B61">
        <w:t>nisterråd under det första halvåret 2015, har meddelat att de önskar åte</w:t>
      </w:r>
      <w:r w:rsidR="00537B61">
        <w:t>r</w:t>
      </w:r>
      <w:r w:rsidR="00537B61">
        <w:t>uppta förhandlingar</w:t>
      </w:r>
      <w:r w:rsidRPr="004406DE">
        <w:t>.</w:t>
      </w:r>
    </w:p>
    <w:p w:rsidR="004406DE" w:rsidRPr="004406DE" w:rsidRDefault="004406DE" w:rsidP="004406DE">
      <w:pPr>
        <w:pStyle w:val="Rubrik3"/>
      </w:pPr>
      <w:bookmarkStart w:id="72" w:name="_Toc410897668"/>
      <w:bookmarkStart w:id="73" w:name="_Toc412712685"/>
      <w:r w:rsidRPr="00386441">
        <w:t>3.2.10 Fiske</w:t>
      </w:r>
      <w:bookmarkEnd w:id="72"/>
      <w:bookmarkEnd w:id="73"/>
    </w:p>
    <w:p w:rsidR="004406DE" w:rsidRPr="004406DE" w:rsidRDefault="004406DE" w:rsidP="005242BE">
      <w:r w:rsidRPr="004406DE">
        <w:t>I december 2011 presenterade kommissionen ett initiativ till ny finansi</w:t>
      </w:r>
      <w:r w:rsidRPr="004406DE">
        <w:t>e</w:t>
      </w:r>
      <w:r w:rsidRPr="004406DE">
        <w:t>ringsförordning för fiskeripolitiken för perioden 2014-2020. I maj 2014 a</w:t>
      </w:r>
      <w:r w:rsidRPr="004406DE">
        <w:t>n</w:t>
      </w:r>
      <w:r w:rsidRPr="004406DE">
        <w:t>togs förordningen för Europeiska havs- och fiskerifonden för perioden 2014-2020. Landskapsregeringen har under året utarbetat ett förslag för g</w:t>
      </w:r>
      <w:r w:rsidRPr="004406DE">
        <w:t>e</w:t>
      </w:r>
      <w:r w:rsidRPr="004406DE">
        <w:t>nomförande av ett nytt fiskeriprogram; förslaget har varit på remiss i n</w:t>
      </w:r>
      <w:r w:rsidRPr="004406DE">
        <w:t>o</w:t>
      </w:r>
      <w:r w:rsidRPr="004406DE">
        <w:t>vember 2014. Liksom under tidigare programperioder ingår det åländska programgenomförandet i det finska operativa programmet. Detta program väntas bli antaget i februari-mars 2015.</w:t>
      </w:r>
    </w:p>
    <w:p w:rsidR="004406DE" w:rsidRPr="004406DE" w:rsidRDefault="004406DE" w:rsidP="004406DE">
      <w:pPr>
        <w:pStyle w:val="Rubrik3"/>
      </w:pPr>
      <w:bookmarkStart w:id="74" w:name="_Toc410897669"/>
      <w:bookmarkStart w:id="75" w:name="_Toc412712686"/>
      <w:r w:rsidRPr="00386441">
        <w:t>3.2.11 Sjöfart</w:t>
      </w:r>
      <w:bookmarkEnd w:id="74"/>
      <w:bookmarkEnd w:id="75"/>
    </w:p>
    <w:p w:rsidR="004406DE" w:rsidRPr="004406DE" w:rsidRDefault="004406DE" w:rsidP="005242BE">
      <w:r w:rsidRPr="004406DE">
        <w:t>Kommissionen presenterade ett initiativ i juni 2013 med krav på att företag ska övervaka, rapportera och verifiera koldioxidutsläpp från de fartyg över 5000 bruttoton</w:t>
      </w:r>
      <w:r w:rsidRPr="004406DE">
        <w:rPr>
          <w:lang w:val="sv-FI"/>
        </w:rPr>
        <w:t xml:space="preserve"> </w:t>
      </w:r>
      <w:r w:rsidRPr="004406DE">
        <w:t>som opererar till, från eller mellan hamnar inom EU. Ko</w:t>
      </w:r>
      <w:r w:rsidRPr="004406DE">
        <w:t>m</w:t>
      </w:r>
      <w:r w:rsidRPr="004406DE">
        <w:t>missionens ambition är att genom transparens göra det möjligt för mar</w:t>
      </w:r>
      <w:r w:rsidRPr="004406DE">
        <w:t>k</w:t>
      </w:r>
      <w:r w:rsidRPr="004406DE">
        <w:t>nadsaktörer att välja de billigaste och mest energieffektiva fartygen, och därigenom pressa branschen till mindre koldioxidutsläpp. Enligt kommis</w:t>
      </w:r>
      <w:r w:rsidRPr="004406DE">
        <w:t>s</w:t>
      </w:r>
      <w:r w:rsidRPr="004406DE">
        <w:lastRenderedPageBreak/>
        <w:t xml:space="preserve">ionens egen bedömning kan koldioxidutsläppen på detta sätt minska med två procent år 2030, jämfört med om inga åtgärder vidtas. </w:t>
      </w:r>
    </w:p>
    <w:p w:rsidR="004406DE" w:rsidRPr="004406DE" w:rsidRDefault="004406DE" w:rsidP="00023C6C">
      <w:pPr>
        <w:ind w:firstLine="284"/>
      </w:pPr>
      <w:r w:rsidRPr="004406DE">
        <w:t>Landskapsregeringen</w:t>
      </w:r>
      <w:r w:rsidRPr="004406DE">
        <w:rPr>
          <w:b/>
        </w:rPr>
        <w:t xml:space="preserve"> </w:t>
      </w:r>
      <w:r w:rsidRPr="004406DE">
        <w:t>ansåg att kravet på ra</w:t>
      </w:r>
      <w:r w:rsidR="00913155">
        <w:t xml:space="preserve">pportering av data klassad som </w:t>
      </w:r>
      <w:r w:rsidRPr="00913155">
        <w:rPr>
          <w:i/>
        </w:rPr>
        <w:t xml:space="preserve">transport </w:t>
      </w:r>
      <w:proofErr w:type="spellStart"/>
      <w:r w:rsidRPr="00913155">
        <w:rPr>
          <w:i/>
        </w:rPr>
        <w:t>work</w:t>
      </w:r>
      <w:proofErr w:type="spellEnd"/>
      <w:r w:rsidRPr="004406DE">
        <w:t xml:space="preserve"> (lasten i ton x nautiska mil) var problematiskt. En viss oro fanns att den här typen av rapportering skulle komma att oproportione</w:t>
      </w:r>
      <w:r w:rsidRPr="004406DE">
        <w:t>r</w:t>
      </w:r>
      <w:r w:rsidRPr="004406DE">
        <w:t>ligt gynna större fartyg med tung last. Stora fartyg kan ha mycket lägre u</w:t>
      </w:r>
      <w:r w:rsidRPr="004406DE">
        <w:t>t</w:t>
      </w:r>
      <w:r w:rsidRPr="004406DE">
        <w:t>släpp per lastenhet än mindre; de större fartygen kan dock enbart trafikera EU:s största hamnar Rotterdam, Antwerpen, Hamburg och Bremerhaven. Mindre hamnar och små rederier skulle således missgynnas oproportione</w:t>
      </w:r>
      <w:r w:rsidRPr="004406DE">
        <w:t>r</w:t>
      </w:r>
      <w:r w:rsidRPr="004406DE">
        <w:t>ligt av en sådan mätmetod.</w:t>
      </w:r>
    </w:p>
    <w:p w:rsidR="004406DE" w:rsidRPr="004406DE" w:rsidRDefault="004406DE" w:rsidP="00023C6C">
      <w:pPr>
        <w:ind w:firstLine="284"/>
      </w:pPr>
      <w:r w:rsidRPr="004406DE">
        <w:t xml:space="preserve">Trots samarbete mellan landskapsregeringen och ansvariga ministerier i Finland fick förslaget om flexiblare regler för datainsamling på annat sätt än genom metoden </w:t>
      </w:r>
      <w:r w:rsidRPr="00913155">
        <w:rPr>
          <w:i/>
        </w:rPr>
        <w:t xml:space="preserve">transport </w:t>
      </w:r>
      <w:proofErr w:type="spellStart"/>
      <w:r w:rsidRPr="00913155">
        <w:rPr>
          <w:i/>
        </w:rPr>
        <w:t>work</w:t>
      </w:r>
      <w:proofErr w:type="spellEnd"/>
      <w:r w:rsidRPr="004406DE">
        <w:t xml:space="preserve"> inte gehör. Dock finns förståelse från kommissionens sida och kompromissen </w:t>
      </w:r>
      <w:r w:rsidR="00370419">
        <w:t xml:space="preserve">som uppnåddes </w:t>
      </w:r>
      <w:r w:rsidRPr="004406DE">
        <w:t xml:space="preserve">ger </w:t>
      </w:r>
      <w:r w:rsidR="00370419">
        <w:t xml:space="preserve">en </w:t>
      </w:r>
      <w:r w:rsidRPr="004406DE">
        <w:t>viss flexib</w:t>
      </w:r>
      <w:r w:rsidRPr="004406DE">
        <w:t>i</w:t>
      </w:r>
      <w:r w:rsidRPr="004406DE">
        <w:t xml:space="preserve">litet för kommissionen att ta fram och anpassa beräkningsmetoden för </w:t>
      </w:r>
      <w:r w:rsidRPr="00913155">
        <w:rPr>
          <w:i/>
        </w:rPr>
        <w:t xml:space="preserve">transport </w:t>
      </w:r>
      <w:proofErr w:type="spellStart"/>
      <w:r w:rsidRPr="00913155">
        <w:rPr>
          <w:i/>
        </w:rPr>
        <w:t>work</w:t>
      </w:r>
      <w:proofErr w:type="spellEnd"/>
      <w:r w:rsidRPr="004406DE">
        <w:t xml:space="preserve"> för de olika fartygstyperna. Initiativet antogs av ministerr</w:t>
      </w:r>
      <w:r w:rsidRPr="004406DE">
        <w:t>å</w:t>
      </w:r>
      <w:r w:rsidRPr="004406DE">
        <w:t>det i december 2014, vilket innebär att förordningen träder i kraft 1 juli 2015 och den första utsläppsrapporten ska utarbetas 2018.</w:t>
      </w:r>
    </w:p>
    <w:p w:rsidR="004406DE" w:rsidRPr="004406DE" w:rsidRDefault="004406DE" w:rsidP="004406DE">
      <w:pPr>
        <w:pStyle w:val="Rubrik3"/>
      </w:pPr>
      <w:bookmarkStart w:id="76" w:name="_Toc410897670"/>
      <w:bookmarkStart w:id="77" w:name="_Toc412712687"/>
      <w:r w:rsidRPr="00386441">
        <w:t>3.2.12 Miljö</w:t>
      </w:r>
      <w:bookmarkEnd w:id="76"/>
      <w:bookmarkEnd w:id="77"/>
    </w:p>
    <w:p w:rsidR="004406DE" w:rsidRPr="004406DE" w:rsidRDefault="004406DE" w:rsidP="005242BE">
      <w:r w:rsidRPr="004406DE">
        <w:t>I kommissionens arbetsprogram för 2014 ingick ett initiativ kallat ”</w:t>
      </w:r>
      <w:r w:rsidRPr="00D01552">
        <w:rPr>
          <w:i/>
        </w:rPr>
        <w:t>Resur</w:t>
      </w:r>
      <w:r w:rsidRPr="00D01552">
        <w:rPr>
          <w:i/>
        </w:rPr>
        <w:t>s</w:t>
      </w:r>
      <w:r w:rsidRPr="00D01552">
        <w:rPr>
          <w:i/>
        </w:rPr>
        <w:t>effektivitet och avfall</w:t>
      </w:r>
      <w:r w:rsidRPr="004406DE">
        <w:t>”. Initiativet baserades på framsteg från genomföra</w:t>
      </w:r>
      <w:r w:rsidRPr="004406DE">
        <w:t>n</w:t>
      </w:r>
      <w:r w:rsidRPr="004406DE">
        <w:t>det av färdplanen för ett resurseffektivt Europa, och fastställde de huvu</w:t>
      </w:r>
      <w:r w:rsidRPr="004406DE">
        <w:t>d</w:t>
      </w:r>
      <w:r w:rsidRPr="004406DE">
        <w:t>sakliga byggstenar som behövs för att EU:s ekonomiska potential ska kunna bli mer produktiv, samtidigt som färre resurser används och steg tas mot en cirkulär ekonomi. Initiativet inbegrep en total översyn av EU:s a</w:t>
      </w:r>
      <w:r w:rsidRPr="004406DE">
        <w:t>v</w:t>
      </w:r>
      <w:r w:rsidRPr="004406DE">
        <w:t>fallslagstiftning, inklusive en bedömning av alternativ för att ökad sa</w:t>
      </w:r>
      <w:r w:rsidRPr="004406DE">
        <w:t>m</w:t>
      </w:r>
      <w:r w:rsidRPr="004406DE">
        <w:t xml:space="preserve">stämmighet dem </w:t>
      </w:r>
      <w:r w:rsidR="00D01552">
        <w:t>e</w:t>
      </w:r>
      <w:r w:rsidRPr="004406DE">
        <w:t>mellan.</w:t>
      </w:r>
    </w:p>
    <w:p w:rsidR="004406DE" w:rsidRPr="004406DE" w:rsidRDefault="004406DE" w:rsidP="00023C6C">
      <w:pPr>
        <w:ind w:firstLine="284"/>
      </w:pPr>
      <w:r w:rsidRPr="004406DE">
        <w:t>Kommis</w:t>
      </w:r>
      <w:r w:rsidR="00D01552">
        <w:t>sionen antog således i juli</w:t>
      </w:r>
      <w:r w:rsidRPr="004406DE">
        <w:t xml:space="preserve"> COM(2014) 397, ett förslag om än</w:t>
      </w:r>
      <w:r w:rsidRPr="004406DE">
        <w:t>d</w:t>
      </w:r>
      <w:r w:rsidRPr="004406DE">
        <w:t>ring av ett antal direktiv inom området för avfall, även kallat Avfall</w:t>
      </w:r>
      <w:r w:rsidRPr="004406DE">
        <w:t>s</w:t>
      </w:r>
      <w:r w:rsidRPr="004406DE">
        <w:t xml:space="preserve">paketet. Landskapsregeringen </w:t>
      </w:r>
      <w:r w:rsidR="006A424E">
        <w:t>tog</w:t>
      </w:r>
      <w:r w:rsidRPr="004406DE">
        <w:t xml:space="preserve"> efter samråd med lagtinget </w:t>
      </w:r>
      <w:r w:rsidR="006A424E">
        <w:t>ställning till</w:t>
      </w:r>
      <w:r w:rsidRPr="004406DE">
        <w:t xml:space="preserve"> avfallspaketet – ställningstagandet skickades även till miljöministeriet. I ställningstagandet angavs att landskapsregeringen i princip stöder initiat</w:t>
      </w:r>
      <w:r w:rsidRPr="004406DE">
        <w:t>i</w:t>
      </w:r>
      <w:r w:rsidRPr="004406DE">
        <w:t xml:space="preserve">vet, </w:t>
      </w:r>
      <w:r w:rsidR="00864699">
        <w:t>exempelvis</w:t>
      </w:r>
      <w:r w:rsidRPr="004406DE">
        <w:t xml:space="preserve"> vad avser införandet av en gemensam definition av ko</w:t>
      </w:r>
      <w:r w:rsidRPr="004406DE">
        <w:t>m</w:t>
      </w:r>
      <w:r w:rsidRPr="004406DE">
        <w:t>munalt avfall, att biologiskt nedbrytbart avfall ska samlas in separat och att återvinningsbart avfall inte ska deponeras eller energiåtervinnas. Lan</w:t>
      </w:r>
      <w:r w:rsidRPr="004406DE">
        <w:t>d</w:t>
      </w:r>
      <w:r w:rsidRPr="004406DE">
        <w:t>skapsregeringen ansåg dock att det bör finnas möjlighet att avvika från a</w:t>
      </w:r>
      <w:r w:rsidRPr="004406DE">
        <w:t>v</w:t>
      </w:r>
      <w:r w:rsidRPr="004406DE">
        <w:t>fallshierarkin när så är lämpligt; visst avfall är inte lämpligt för materia</w:t>
      </w:r>
      <w:r w:rsidRPr="004406DE">
        <w:t>l</w:t>
      </w:r>
      <w:r w:rsidRPr="004406DE">
        <w:t>återvinning på grund av sitt innehåll av skadliga ämnen och bör istället f</w:t>
      </w:r>
      <w:r w:rsidRPr="004406DE">
        <w:t>a</w:t>
      </w:r>
      <w:r w:rsidRPr="004406DE">
        <w:t>sas ut ur kretsloppet. Initiativet hade inneburit en betydande omarbetning av den åländska lagstiftningen. Den nya kommissionen beslutade dock efter sitt tillträde i november 2014 att dra tillbaka ett antal initiativ, däribland a</w:t>
      </w:r>
      <w:r w:rsidRPr="004406DE">
        <w:t>v</w:t>
      </w:r>
      <w:r w:rsidRPr="004406DE">
        <w:t>fallspaketet. Kommissionen avser nu presentera ett nytt initiativ med mer fokus på resultat än på regler senare under året. Landskapsregeringen fort</w:t>
      </w:r>
      <w:r w:rsidRPr="004406DE">
        <w:t>s</w:t>
      </w:r>
      <w:r w:rsidRPr="004406DE">
        <w:t>ätter således bevaka ärendet.</w:t>
      </w:r>
    </w:p>
    <w:p w:rsidR="004406DE" w:rsidRPr="00BD31C9" w:rsidRDefault="004406DE" w:rsidP="00023C6C">
      <w:pPr>
        <w:ind w:firstLine="284"/>
      </w:pPr>
      <w:r w:rsidRPr="004406DE">
        <w:t xml:space="preserve">I mars </w:t>
      </w:r>
      <w:r w:rsidR="006A424E">
        <w:t>tog</w:t>
      </w:r>
      <w:r w:rsidRPr="004406DE">
        <w:t xml:space="preserve"> landskapsregeringen efter samråd med lagtinget </w:t>
      </w:r>
      <w:r w:rsidR="006A424E">
        <w:t>ställning till i</w:t>
      </w:r>
      <w:r w:rsidRPr="004406DE">
        <w:t>nitiativ COM(2013) 919 om begränsning av utsläpp till luften av vissa fö</w:t>
      </w:r>
      <w:r w:rsidRPr="004406DE">
        <w:t>r</w:t>
      </w:r>
      <w:r w:rsidRPr="004406DE">
        <w:t xml:space="preserve">oreningar från medelstora förbränningsanläggningar. I ställningstagandet angavs att landskapsregeringen i princip stöder initiativet då det är viktigt att i hela Europa minska utsläppen till luft från förbränningsanläggningar med en bränsleeffekt på 1-50 MW. Landskapsregeringen ansåg dock att det är mycket viktigt att kraven är kostnadseffektiva så att </w:t>
      </w:r>
      <w:r w:rsidRPr="00BD31C9">
        <w:t>särskilt gränsvä</w:t>
      </w:r>
      <w:r w:rsidRPr="00BD31C9">
        <w:t>r</w:t>
      </w:r>
      <w:r w:rsidRPr="00BD31C9">
        <w:t>dena för partikelutsläppen inte leder till så höga kostnader att ve</w:t>
      </w:r>
      <w:r w:rsidR="00413D4C" w:rsidRPr="00BD31C9">
        <w:t>rksamheten inte kan fortsätta. Vidare ansågs att d</w:t>
      </w:r>
      <w:r w:rsidRPr="00BD31C9">
        <w:t>e administrativa kraven på registrering måste utformas så att de är möjliga att genomföra i det miljöprövningss</w:t>
      </w:r>
      <w:r w:rsidRPr="00BD31C9">
        <w:t>y</w:t>
      </w:r>
      <w:r w:rsidRPr="00BD31C9">
        <w:t xml:space="preserve">stem som redan finns. </w:t>
      </w:r>
      <w:r w:rsidR="006F5375" w:rsidRPr="00BD31C9">
        <w:t>Landskapsregeringen bedöm</w:t>
      </w:r>
      <w:r w:rsidRPr="00BD31C9">
        <w:t xml:space="preserve">de </w:t>
      </w:r>
      <w:r w:rsidR="00413D4C" w:rsidRPr="00BD31C9">
        <w:t>i ställningstagandet</w:t>
      </w:r>
      <w:r w:rsidRPr="00BD31C9">
        <w:t xml:space="preserve"> </w:t>
      </w:r>
      <w:r w:rsidRPr="00BD31C9">
        <w:lastRenderedPageBreak/>
        <w:t>att initiativet skulle föranleda viss</w:t>
      </w:r>
      <w:r w:rsidR="00413D4C" w:rsidRPr="00BD31C9">
        <w:t xml:space="preserve"> </w:t>
      </w:r>
      <w:r w:rsidRPr="00BD31C9">
        <w:t xml:space="preserve">ändring av </w:t>
      </w:r>
      <w:r w:rsidR="00413D4C" w:rsidRPr="00BD31C9">
        <w:t>miljöskyddslagen samt att kraven på förbränningsanläggningar troligen måste utformas i form av fö</w:t>
      </w:r>
      <w:r w:rsidR="00413D4C" w:rsidRPr="00BD31C9">
        <w:t>r</w:t>
      </w:r>
      <w:r w:rsidR="00413D4C" w:rsidRPr="00BD31C9">
        <w:t>ordningsbestämmelser.</w:t>
      </w:r>
    </w:p>
    <w:p w:rsidR="004406DE" w:rsidRPr="004406DE" w:rsidRDefault="004406DE" w:rsidP="00023C6C">
      <w:pPr>
        <w:ind w:firstLine="284"/>
        <w:rPr>
          <w:lang w:val="sv-FI"/>
        </w:rPr>
      </w:pPr>
      <w:r w:rsidRPr="00BD31C9">
        <w:rPr>
          <w:lang w:val="sv-FI"/>
        </w:rPr>
        <w:t xml:space="preserve">Utöver de </w:t>
      </w:r>
      <w:proofErr w:type="gramStart"/>
      <w:r w:rsidRPr="00BD31C9">
        <w:rPr>
          <w:lang w:val="sv-FI"/>
        </w:rPr>
        <w:t>ovannämnda</w:t>
      </w:r>
      <w:proofErr w:type="gramEnd"/>
      <w:r w:rsidRPr="00BD31C9">
        <w:rPr>
          <w:lang w:val="sv-FI"/>
        </w:rPr>
        <w:t xml:space="preserve"> samrådsärendena översändes till lagtinget i fe</w:t>
      </w:r>
      <w:r w:rsidRPr="00BD31C9">
        <w:rPr>
          <w:lang w:val="sv-FI"/>
        </w:rPr>
        <w:t>b</w:t>
      </w:r>
      <w:r w:rsidRPr="00BD31C9">
        <w:rPr>
          <w:lang w:val="sv-FI"/>
        </w:rPr>
        <w:t>ruari som in</w:t>
      </w:r>
      <w:r w:rsidR="00175C36" w:rsidRPr="00BD31C9">
        <w:rPr>
          <w:lang w:val="sv-FI"/>
        </w:rPr>
        <w:t xml:space="preserve">formationsärende ett beslut om </w:t>
      </w:r>
      <w:r w:rsidRPr="00BD31C9">
        <w:rPr>
          <w:lang w:val="sv-FI"/>
        </w:rPr>
        <w:t>COM(2013) 761</w:t>
      </w:r>
      <w:r w:rsidR="00175C36" w:rsidRPr="00BD31C9">
        <w:rPr>
          <w:lang w:val="sv-FI"/>
        </w:rPr>
        <w:t>, f</w:t>
      </w:r>
      <w:r w:rsidRPr="00BD31C9">
        <w:rPr>
          <w:lang w:val="sv-FI"/>
        </w:rPr>
        <w:t>örslag till Europaparlamentet och rådets direktiv om ändring av direktiv 94/62/EG om förpackningar och förpackningsavfall för att minska anv</w:t>
      </w:r>
      <w:r w:rsidR="00634A10" w:rsidRPr="00BD31C9">
        <w:rPr>
          <w:lang w:val="sv-FI"/>
        </w:rPr>
        <w:t xml:space="preserve">ändningen av tunna plastpåsar. </w:t>
      </w:r>
      <w:r w:rsidRPr="00BD31C9">
        <w:rPr>
          <w:lang w:val="sv-FI"/>
        </w:rPr>
        <w:t>I ställningstagandet angavs att landskapsregeringen omfattar in</w:t>
      </w:r>
      <w:r w:rsidRPr="00BD31C9">
        <w:rPr>
          <w:lang w:val="sv-FI"/>
        </w:rPr>
        <w:t>i</w:t>
      </w:r>
      <w:r w:rsidRPr="00BD31C9">
        <w:rPr>
          <w:lang w:val="sv-FI"/>
        </w:rPr>
        <w:t>tiativet som möjliggör att Åland kan förbjuda plastkassar om ma</w:t>
      </w:r>
      <w:r w:rsidR="00175C36" w:rsidRPr="00BD31C9">
        <w:rPr>
          <w:lang w:val="sv-FI"/>
        </w:rPr>
        <w:t xml:space="preserve">n går in för ett sådant beslut. </w:t>
      </w:r>
      <w:r w:rsidRPr="00BD31C9">
        <w:rPr>
          <w:lang w:val="sv-FI"/>
        </w:rPr>
        <w:t xml:space="preserve">Initiativet </w:t>
      </w:r>
      <w:r w:rsidR="00066B81" w:rsidRPr="00BD31C9">
        <w:rPr>
          <w:lang w:val="sv-FI"/>
        </w:rPr>
        <w:t>– om vilket EU-institutionerna nådde en öve</w:t>
      </w:r>
      <w:r w:rsidR="00066B81" w:rsidRPr="00BD31C9">
        <w:rPr>
          <w:lang w:val="sv-FI"/>
        </w:rPr>
        <w:t>r</w:t>
      </w:r>
      <w:r w:rsidR="00066B81" w:rsidRPr="00BD31C9">
        <w:rPr>
          <w:lang w:val="sv-FI"/>
        </w:rPr>
        <w:t>enskommelse i december 2014 – s</w:t>
      </w:r>
      <w:r w:rsidRPr="00BD31C9">
        <w:rPr>
          <w:lang w:val="sv-FI"/>
        </w:rPr>
        <w:t>yftar till att förebygga uppkomsten av förpackningsavfall för att förhindra dess inverkan på miljön. Initiativet</w:t>
      </w:r>
      <w:r w:rsidRPr="004406DE">
        <w:rPr>
          <w:lang w:val="sv-FI"/>
        </w:rPr>
        <w:t xml:space="preserve"> gä</w:t>
      </w:r>
      <w:r w:rsidRPr="004406DE">
        <w:rPr>
          <w:lang w:val="sv-FI"/>
        </w:rPr>
        <w:t>l</w:t>
      </w:r>
      <w:r w:rsidRPr="004406DE">
        <w:rPr>
          <w:lang w:val="sv-FI"/>
        </w:rPr>
        <w:t xml:space="preserve">ler plastbärkassar med en tjocklek mindre än 50 mikrometer, vilket innebär att större delen av alla plastbärkassar berörs. </w:t>
      </w:r>
    </w:p>
    <w:p w:rsidR="004406DE" w:rsidRPr="004406DE" w:rsidRDefault="004406DE" w:rsidP="004406DE">
      <w:pPr>
        <w:pStyle w:val="Rubrik3"/>
      </w:pPr>
      <w:bookmarkStart w:id="78" w:name="_Toc410897671"/>
      <w:bookmarkStart w:id="79" w:name="_Toc412712688"/>
      <w:r w:rsidRPr="00386441">
        <w:t>3.2.13 Energi</w:t>
      </w:r>
      <w:bookmarkEnd w:id="78"/>
      <w:bookmarkEnd w:id="79"/>
    </w:p>
    <w:p w:rsidR="004406DE" w:rsidRPr="004406DE" w:rsidRDefault="004406DE" w:rsidP="005242BE">
      <w:r w:rsidRPr="004406DE">
        <w:t>Generellt krävs långsiktiga målsättningar i energifrågor för att minska de klimatpåverkande utsläppen. Genom de initiativ som presenteras i ko</w:t>
      </w:r>
      <w:r w:rsidRPr="004406DE">
        <w:t>m</w:t>
      </w:r>
      <w:r w:rsidRPr="004406DE">
        <w:t>missionens arbetsprogram för 2015 är ambitionen fortsatt hög för att alla energikonsumenter ska ha tillgång till en fullt integrerad energimarknad och den extra säkerhet som energiförbindelser till andra medlemsstater medför. En viktig målsättning är att genomföra en integrerad inre energ</w:t>
      </w:r>
      <w:r w:rsidRPr="004406DE">
        <w:t>i</w:t>
      </w:r>
      <w:r w:rsidRPr="004406DE">
        <w:t>marknad. Fortsatt prioriterad är även ökad energieffektivitet i syfte att fö</w:t>
      </w:r>
      <w:r w:rsidRPr="004406DE">
        <w:t>r</w:t>
      </w:r>
      <w:r w:rsidRPr="004406DE">
        <w:t>bättra konkurrenskraften och hållbarheten. Energieffektivitet är ett av de mest kostnadseffektiva sätten att trygga energiförsörjningen och minska u</w:t>
      </w:r>
      <w:r w:rsidRPr="004406DE">
        <w:t>t</w:t>
      </w:r>
      <w:r w:rsidRPr="004406DE">
        <w:t>släppen av växthusgaser och andra föroreningar.</w:t>
      </w:r>
    </w:p>
    <w:p w:rsidR="00E1202C" w:rsidRPr="00E1202C" w:rsidRDefault="004406DE" w:rsidP="00023C6C">
      <w:pPr>
        <w:autoSpaceDE w:val="0"/>
        <w:autoSpaceDN w:val="0"/>
        <w:adjustRightInd w:val="0"/>
        <w:ind w:firstLine="284"/>
      </w:pPr>
      <w:r w:rsidRPr="004406DE">
        <w:t>Landskapsregeringen har under året följt med kommissionens arbete för att presentera ett initiativ för en ny klimat- och energiram för perioden fram till 2030. EU har en tydlig ram för energi- och klimatpolitiken fram till 2020. Denna ram samordnar olika politiska mål, som att minska växthu</w:t>
      </w:r>
      <w:r w:rsidRPr="004406DE">
        <w:t>s</w:t>
      </w:r>
      <w:r w:rsidRPr="004406DE">
        <w:t xml:space="preserve">gasutsläppen, trygga energiförsörjningen </w:t>
      </w:r>
      <w:r w:rsidR="00634A10">
        <w:t>samt att</w:t>
      </w:r>
      <w:r w:rsidRPr="004406DE">
        <w:t xml:space="preserve"> främja tillväxt</w:t>
      </w:r>
      <w:r w:rsidR="00634A10">
        <w:t>en</w:t>
      </w:r>
      <w:r w:rsidRPr="004406DE">
        <w:t>, konku</w:t>
      </w:r>
      <w:r w:rsidRPr="004406DE">
        <w:t>r</w:t>
      </w:r>
      <w:r w:rsidRPr="004406DE">
        <w:t>renskraft</w:t>
      </w:r>
      <w:r w:rsidR="00634A10">
        <w:t>en</w:t>
      </w:r>
      <w:r w:rsidRPr="004406DE">
        <w:t xml:space="preserve"> och sysselsättning</w:t>
      </w:r>
      <w:r w:rsidR="00634A10">
        <w:t>en.</w:t>
      </w:r>
      <w:r w:rsidRPr="004406DE">
        <w:t xml:space="preserve"> Även om EU är på väg att nå målen för 2020, att skapa en inre energimarknad och uppfylla andra energipolitiska mål, är det nu tid för att utforma en ny ram för klimat- och </w:t>
      </w:r>
      <w:r w:rsidRPr="00E1202C">
        <w:t xml:space="preserve">energipolitiken fram till 2030. En tidig överenskommelse om ramen för 2030 är viktig </w:t>
      </w:r>
      <w:bookmarkStart w:id="80" w:name="_Toc410897672"/>
      <w:r w:rsidR="00B77EBA" w:rsidRPr="00E1202C">
        <w:t xml:space="preserve">av flera skäl: </w:t>
      </w:r>
      <w:r w:rsidR="00E1202C" w:rsidRPr="00E1202C">
        <w:t xml:space="preserve"> </w:t>
      </w:r>
    </w:p>
    <w:p w:rsidR="00E1202C" w:rsidRPr="00E1202C" w:rsidRDefault="00B77EBA" w:rsidP="00967FAF">
      <w:pPr>
        <w:numPr>
          <w:ilvl w:val="0"/>
          <w:numId w:val="15"/>
        </w:numPr>
        <w:autoSpaceDE w:val="0"/>
        <w:autoSpaceDN w:val="0"/>
        <w:adjustRightInd w:val="0"/>
        <w:ind w:left="567" w:hanging="207"/>
      </w:pPr>
      <w:r w:rsidRPr="00E1202C">
        <w:t>Långa investeringscykler innebär att infrastruktur som finansieras under den närmaste tiden kommer att finnas kvar 2030 och däref</w:t>
      </w:r>
      <w:r w:rsidR="00E1202C" w:rsidRPr="00E1202C">
        <w:t>ter;</w:t>
      </w:r>
    </w:p>
    <w:p w:rsidR="00E1202C" w:rsidRPr="00E1202C" w:rsidRDefault="00B77EBA" w:rsidP="00967FAF">
      <w:pPr>
        <w:numPr>
          <w:ilvl w:val="0"/>
          <w:numId w:val="15"/>
        </w:numPr>
        <w:autoSpaceDE w:val="0"/>
        <w:autoSpaceDN w:val="0"/>
        <w:adjustRightInd w:val="0"/>
        <w:ind w:left="567" w:hanging="207"/>
      </w:pPr>
      <w:r w:rsidRPr="00E1202C">
        <w:t>Ett förtydligande av målen för 2030 kommer att stödja utvecklingen mot en konkurrenskraftig</w:t>
      </w:r>
      <w:r w:rsidR="00E1202C" w:rsidRPr="00E1202C">
        <w:t>er</w:t>
      </w:r>
      <w:r w:rsidRPr="00E1202C">
        <w:t xml:space="preserve"> ekonomi och ett tryggt energisystem g</w:t>
      </w:r>
      <w:r w:rsidRPr="00E1202C">
        <w:t>e</w:t>
      </w:r>
      <w:r w:rsidRPr="00E1202C">
        <w:t xml:space="preserve">nom att skapa ökad efterfrågan på effektiv och koldioxidsnål teknik och </w:t>
      </w:r>
      <w:r w:rsidR="00E1202C" w:rsidRPr="00E1202C">
        <w:t xml:space="preserve">därigenom </w:t>
      </w:r>
      <w:r w:rsidRPr="00E1202C">
        <w:t>främja forskning, ut</w:t>
      </w:r>
      <w:r w:rsidR="00E1202C" w:rsidRPr="00E1202C">
        <w:t>veckling och innovation;</w:t>
      </w:r>
      <w:r w:rsidRPr="00E1202C">
        <w:t xml:space="preserve"> </w:t>
      </w:r>
    </w:p>
    <w:p w:rsidR="00B77EBA" w:rsidRPr="00E1202C" w:rsidRDefault="00B77EBA" w:rsidP="00967FAF">
      <w:pPr>
        <w:numPr>
          <w:ilvl w:val="0"/>
          <w:numId w:val="15"/>
        </w:numPr>
        <w:autoSpaceDE w:val="0"/>
        <w:autoSpaceDN w:val="0"/>
        <w:adjustRightInd w:val="0"/>
        <w:ind w:left="567" w:hanging="207"/>
      </w:pPr>
      <w:r w:rsidRPr="00E1202C">
        <w:t xml:space="preserve">Förhandlingarna om ett rättsligt bindande internationellt klimatavtal har varit svåra, men fortfarande förväntas ett internationellt avtal i </w:t>
      </w:r>
      <w:r w:rsidR="00E1202C" w:rsidRPr="00E1202C">
        <w:t>slutet av 2015. Ett klimatavtal – där</w:t>
      </w:r>
      <w:r w:rsidRPr="00E1202C">
        <w:t xml:space="preserve"> </w:t>
      </w:r>
      <w:r w:rsidR="00E1202C" w:rsidRPr="00E1202C">
        <w:t xml:space="preserve">stater som </w:t>
      </w:r>
      <w:r w:rsidRPr="00E1202C">
        <w:t>står för de största d</w:t>
      </w:r>
      <w:r w:rsidRPr="00E1202C">
        <w:t>e</w:t>
      </w:r>
      <w:r w:rsidRPr="00E1202C">
        <w:t>larna av utsläppen</w:t>
      </w:r>
      <w:r w:rsidR="00E1202C" w:rsidRPr="00E1202C">
        <w:t xml:space="preserve"> ingår – är </w:t>
      </w:r>
      <w:r w:rsidRPr="00E1202C">
        <w:t>viktigt för att uppnå målsättning</w:t>
      </w:r>
      <w:r w:rsidR="00E1202C" w:rsidRPr="00E1202C">
        <w:t>en att hindra ökningen av CO2-</w:t>
      </w:r>
      <w:r w:rsidRPr="00E1202C">
        <w:t>utsläppen till 2030</w:t>
      </w:r>
      <w:r w:rsidR="00E1202C" w:rsidRPr="00E1202C">
        <w:t>. Klimatavtalet skulle samtidigt utgöra f</w:t>
      </w:r>
      <w:r w:rsidRPr="00E1202C">
        <w:t>ärdplan</w:t>
      </w:r>
      <w:r w:rsidR="00E1202C" w:rsidRPr="00E1202C">
        <w:t>en</w:t>
      </w:r>
      <w:r w:rsidRPr="00E1202C">
        <w:t xml:space="preserve"> </w:t>
      </w:r>
      <w:r w:rsidR="00E1202C" w:rsidRPr="00E1202C">
        <w:t xml:space="preserve">för energipolitiken fram </w:t>
      </w:r>
      <w:r w:rsidRPr="00E1202C">
        <w:t>till 2050. EU bör innan dess enas om en rad frågor, bland annat den egna ambi</w:t>
      </w:r>
      <w:r w:rsidRPr="00E1202C">
        <w:t>t</w:t>
      </w:r>
      <w:r w:rsidRPr="00E1202C">
        <w:t xml:space="preserve">ionsnivån för en aktiv dialog med andra </w:t>
      </w:r>
      <w:r w:rsidR="00E1202C" w:rsidRPr="00E1202C">
        <w:t>stater</w:t>
      </w:r>
      <w:r w:rsidRPr="00E1202C">
        <w:t>.</w:t>
      </w:r>
    </w:p>
    <w:p w:rsidR="004406DE" w:rsidRPr="00E1202C" w:rsidRDefault="004406DE" w:rsidP="00B77EBA">
      <w:pPr>
        <w:pStyle w:val="Rubrik3"/>
      </w:pPr>
      <w:bookmarkStart w:id="81" w:name="_Toc412712689"/>
      <w:r w:rsidRPr="00E1202C">
        <w:t>3.2.14 EU-strategin för Östersjöområdet</w:t>
      </w:r>
      <w:bookmarkEnd w:id="80"/>
      <w:bookmarkEnd w:id="81"/>
      <w:r w:rsidRPr="00E1202C">
        <w:t xml:space="preserve"> </w:t>
      </w:r>
      <w:r w:rsidRPr="00E1202C">
        <w:tab/>
      </w:r>
    </w:p>
    <w:p w:rsidR="004406DE" w:rsidRPr="004406DE" w:rsidRDefault="004406DE" w:rsidP="005242BE">
      <w:r w:rsidRPr="004406DE">
        <w:t>Europeiska rådet antog i november 2009 en strategi för Östersjöområdet inklusive en tillhörande åtgärdsplan. Landskapsregeringen har aktiverat sig i några av de prioriteringsområden som finns med i åtgärdsplanen.</w:t>
      </w:r>
    </w:p>
    <w:p w:rsidR="004406DE" w:rsidRPr="004406DE" w:rsidRDefault="004406DE" w:rsidP="00023C6C">
      <w:pPr>
        <w:ind w:firstLine="284"/>
      </w:pPr>
      <w:r w:rsidRPr="004406DE">
        <w:lastRenderedPageBreak/>
        <w:t xml:space="preserve">I Östersjöstrategin betonas att genomförandet av </w:t>
      </w:r>
      <w:proofErr w:type="spellStart"/>
      <w:r w:rsidRPr="004406DE">
        <w:t>HELCOM</w:t>
      </w:r>
      <w:r w:rsidR="00197878">
        <w:t>:</w:t>
      </w:r>
      <w:r w:rsidRPr="004406DE">
        <w:t>s</w:t>
      </w:r>
      <w:proofErr w:type="spellEnd"/>
      <w:r w:rsidRPr="004406DE">
        <w:t xml:space="preserve"> Åtgärd</w:t>
      </w:r>
      <w:r w:rsidRPr="004406DE">
        <w:t>s</w:t>
      </w:r>
      <w:r w:rsidRPr="004406DE">
        <w:t>program för Östersjön (BSAP) är en av de viktigaste strategiska åtgärderna för att nå en miljömässig hållbarhet. Landskapsregeringen har tydligt i sitt politiska handlingsprogram och i sina budgetmål betonat vikten av att up</w:t>
      </w:r>
      <w:r w:rsidRPr="004406DE">
        <w:t>p</w:t>
      </w:r>
      <w:r w:rsidRPr="004406DE">
        <w:t xml:space="preserve">fylla målen och åtgärderna i BSAP. </w:t>
      </w:r>
      <w:proofErr w:type="spellStart"/>
      <w:r w:rsidRPr="004406DE">
        <w:t>HELCOM</w:t>
      </w:r>
      <w:r w:rsidR="00197878">
        <w:t>:</w:t>
      </w:r>
      <w:r w:rsidRPr="004406DE">
        <w:t>s</w:t>
      </w:r>
      <w:proofErr w:type="spellEnd"/>
      <w:r w:rsidRPr="004406DE">
        <w:t xml:space="preserve"> målsättningar reviderades under 2013 vid ett ministermöte i Köpenhamn, där landskapets miljöm</w:t>
      </w:r>
      <w:r w:rsidRPr="004406DE">
        <w:t>i</w:t>
      </w:r>
      <w:r w:rsidRPr="004406DE">
        <w:t>nister deltog. De nya målsättningarna inom HELCOM kommer att vara ett viktigt underlag då landskapsregeringen tar fram utsläppsmål för olika se</w:t>
      </w:r>
      <w:r w:rsidRPr="004406DE">
        <w:t>k</w:t>
      </w:r>
      <w:r w:rsidRPr="004406DE">
        <w:t>torer och verksamheter under 2015. Inom ramen för prioriteringsområdet ”</w:t>
      </w:r>
      <w:r w:rsidRPr="00197878">
        <w:rPr>
          <w:i/>
        </w:rPr>
        <w:t>Hållbart jordbruk, skogsbruk och fiske</w:t>
      </w:r>
      <w:r w:rsidRPr="004406DE">
        <w:t>” har landskapsregeringen under 2014 aktiv</w:t>
      </w:r>
      <w:r w:rsidR="00646EA0">
        <w:t xml:space="preserve">t deltagit i framtagandet av </w:t>
      </w:r>
      <w:r w:rsidRPr="004406DE">
        <w:t>kommissionens riktlinjer för ett hål</w:t>
      </w:r>
      <w:r w:rsidRPr="004406DE">
        <w:t>l</w:t>
      </w:r>
      <w:r w:rsidRPr="004406DE">
        <w:t>bart vattenbruk i relation till vattendirektivet och det marina direktivet.  Landskapsregeringen har också varit med och gett synpunkter vid utarb</w:t>
      </w:r>
      <w:r w:rsidRPr="004406DE">
        <w:t>e</w:t>
      </w:r>
      <w:r w:rsidR="00197878">
        <w:t>tandet av en ny HELCOM-</w:t>
      </w:r>
      <w:r w:rsidRPr="004406DE">
        <w:t xml:space="preserve">rekommendation för vattenbruk i Östersjön. </w:t>
      </w:r>
    </w:p>
    <w:p w:rsidR="004406DE" w:rsidRPr="00781793" w:rsidRDefault="004406DE" w:rsidP="00023C6C">
      <w:pPr>
        <w:ind w:firstLine="284"/>
        <w:rPr>
          <w:color w:val="FF0000"/>
        </w:rPr>
      </w:pPr>
      <w:r w:rsidRPr="004406DE">
        <w:t>Vad gäller området ”</w:t>
      </w:r>
      <w:r w:rsidRPr="00197878">
        <w:rPr>
          <w:i/>
        </w:rPr>
        <w:t>Miljövänlig sjöfart</w:t>
      </w:r>
      <w:r w:rsidRPr="004406DE">
        <w:t>” har landskapsregeringen u</w:t>
      </w:r>
      <w:r w:rsidRPr="004406DE">
        <w:t>n</w:t>
      </w:r>
      <w:r w:rsidRPr="004406DE">
        <w:t>derstött införande</w:t>
      </w:r>
      <w:r w:rsidR="00197878">
        <w:t>t</w:t>
      </w:r>
      <w:r w:rsidRPr="004406DE">
        <w:t xml:space="preserve"> av strängare regler vad gäller luftutsläpp från fartygstr</w:t>
      </w:r>
      <w:r w:rsidRPr="004406DE">
        <w:t>a</w:t>
      </w:r>
      <w:r w:rsidRPr="004406DE">
        <w:t>fik, dock med tydlig betoning att reglerna måste vara ekonomiskt geno</w:t>
      </w:r>
      <w:r w:rsidRPr="004406DE">
        <w:t>m</w:t>
      </w:r>
      <w:r w:rsidRPr="004406DE">
        <w:t>förbara och leda till bibehållen konkurrenskraft för rederierna. Åland har aktivt drivit frågan om att utsläpp från avloppsvatten (toalettavfall) från passagerarfartyg ska förbjudas i he</w:t>
      </w:r>
      <w:r w:rsidR="00197878">
        <w:t>la Östersjön senast år</w:t>
      </w:r>
      <w:r w:rsidRPr="004406DE">
        <w:t xml:space="preserve"> 2018.</w:t>
      </w:r>
      <w:r w:rsidR="008C1BE1">
        <w:t xml:space="preserve"> </w:t>
      </w:r>
      <w:r w:rsidR="00781793" w:rsidRPr="00AE3D85">
        <w:t>Landskap</w:t>
      </w:r>
      <w:r w:rsidR="00781793" w:rsidRPr="00AE3D85">
        <w:t>s</w:t>
      </w:r>
      <w:r w:rsidR="00781793" w:rsidRPr="00AE3D85">
        <w:t>regeringen har</w:t>
      </w:r>
      <w:r w:rsidR="008C1BE1" w:rsidRPr="00AE3D85">
        <w:t xml:space="preserve"> tillskrivit berörda nordiska miljöministrar med en uppm</w:t>
      </w:r>
      <w:r w:rsidR="008C1BE1" w:rsidRPr="00AE3D85">
        <w:t>a</w:t>
      </w:r>
      <w:r w:rsidR="008C1BE1" w:rsidRPr="00AE3D85">
        <w:t>ning att arbeta för ett förbud mot utsläpp av avloppsvatten från fartyg</w:t>
      </w:r>
      <w:r w:rsidR="00BD71FD">
        <w:t>,</w:t>
      </w:r>
      <w:r w:rsidR="008C1BE1" w:rsidRPr="00AE3D85">
        <w:t xml:space="preserve"> samt har även i ett ställningstagande bett den parlamentariska Östersjökonfere</w:t>
      </w:r>
      <w:r w:rsidR="008C1BE1" w:rsidRPr="00AE3D85">
        <w:t>n</w:t>
      </w:r>
      <w:r w:rsidR="008C1BE1" w:rsidRPr="00AE3D85">
        <w:t>sen (BSPC) samt Östersjöstaternas råd (CBSS) att arbeta för att den u</w:t>
      </w:r>
      <w:r w:rsidR="008C1BE1" w:rsidRPr="00AE3D85">
        <w:t>r</w:t>
      </w:r>
      <w:r w:rsidR="008C1BE1" w:rsidRPr="00AE3D85">
        <w:t xml:space="preserve">sprungliga tidtabellen </w:t>
      </w:r>
      <w:proofErr w:type="gramStart"/>
      <w:r w:rsidR="008C1BE1" w:rsidRPr="00AE3D85">
        <w:t>bibehålls</w:t>
      </w:r>
      <w:proofErr w:type="gramEnd"/>
      <w:r w:rsidR="008C1BE1" w:rsidRPr="00AE3D85">
        <w:t xml:space="preserve"> för implementeringen av förbudet.</w:t>
      </w:r>
    </w:p>
    <w:p w:rsidR="004406DE" w:rsidRPr="004406DE" w:rsidRDefault="004406DE" w:rsidP="004406DE">
      <w:pPr>
        <w:pStyle w:val="Rubrik3"/>
      </w:pPr>
      <w:bookmarkStart w:id="82" w:name="_Toc410897673"/>
      <w:bookmarkStart w:id="83" w:name="_Toc412712690"/>
      <w:r w:rsidRPr="00386441">
        <w:t>3.2.15 Onlinespel</w:t>
      </w:r>
      <w:bookmarkEnd w:id="82"/>
      <w:bookmarkEnd w:id="83"/>
    </w:p>
    <w:p w:rsidR="009E2F08" w:rsidRDefault="009E2F08" w:rsidP="005242BE">
      <w:r>
        <w:t>Sedan kommissionen den 24 mars 2011 lade fram en grönbok om onlin</w:t>
      </w:r>
      <w:r>
        <w:t>e</w:t>
      </w:r>
      <w:r w:rsidR="00197878">
        <w:t xml:space="preserve">spel på inre marknaden </w:t>
      </w:r>
      <w:r>
        <w:t>KOM (2011) 128 slutlig har penningspel och beh</w:t>
      </w:r>
      <w:r>
        <w:t>o</w:t>
      </w:r>
      <w:r>
        <w:t>vet av en samordnad lagstiftning flitigt diskuterats inom EU. Det främsta syftet med grönboken var att skapa en bild dels av situationen på EU:s marknad för onlinespel och dels av lagstiftningen i de olika staterna. Man ville samtidigt undersöka om det kan behövas särskilda åtgärder på EU-nivå för att nå bättre samstämmighet i regleringen av penningspel. På basis av de svar som inkom vid samrådet och efterföljande diskussioner konstat</w:t>
      </w:r>
      <w:r>
        <w:t>e</w:t>
      </w:r>
      <w:r>
        <w:t>rade kommissionen att det inte är lämpligt att i detta skede föreslå sekto</w:t>
      </w:r>
      <w:r>
        <w:t>r</w:t>
      </w:r>
      <w:r>
        <w:t xml:space="preserve">specifik EU-lagstiftning. </w:t>
      </w:r>
    </w:p>
    <w:p w:rsidR="009E2F08" w:rsidRDefault="009E2F08" w:rsidP="00023C6C">
      <w:pPr>
        <w:ind w:firstLine="284"/>
      </w:pPr>
      <w:r>
        <w:t>Den 23 oktober 2012 presenterade kommissionen en handlingsplan för onlinespel, Kommissionens meddelande till Europaparlamentet, Rådet, Ekonomiska och sociala kommittén samt Regionkommittén – En övergr</w:t>
      </w:r>
      <w:r>
        <w:t>i</w:t>
      </w:r>
      <w:r>
        <w:t>pand</w:t>
      </w:r>
      <w:r w:rsidR="00197878">
        <w:t xml:space="preserve">e europeisk ram för onlinespel </w:t>
      </w:r>
      <w:r w:rsidR="00646EA0">
        <w:t xml:space="preserve">KOM (2012) 596 slutlig. </w:t>
      </w:r>
      <w:r>
        <w:t>I meddelandet föreslår kommissionen inte EU-omfattande lagstiftning för onlinespel men nog en rad åtgärder och gemensamma principer för sådan verksamhet. I meddelandet uppmanas bland annat medlemsstaterna att inrätta speltil</w:t>
      </w:r>
      <w:r>
        <w:t>l</w:t>
      </w:r>
      <w:r>
        <w:t>synsmyndigheter med tydliga behörigheter och att säkerställa samarbete med andra relevanta behöriga myndigheter.</w:t>
      </w:r>
      <w:r w:rsidR="00197878">
        <w:t xml:space="preserve"> </w:t>
      </w:r>
    </w:p>
    <w:p w:rsidR="009E2F08" w:rsidRDefault="009E2F08" w:rsidP="00023C6C">
      <w:pPr>
        <w:ind w:firstLine="284"/>
      </w:pPr>
      <w:r>
        <w:t>I juli 2014 följde kommissionen upp handlingsplanen för onlinespel med rekommendationer (2014/478/EU) för effektivt konsumentskydd vid onlinespel om pengar. Syfte</w:t>
      </w:r>
      <w:r w:rsidR="00197878">
        <w:t>t</w:t>
      </w:r>
      <w:r>
        <w:t xml:space="preserve"> med </w:t>
      </w:r>
      <w:r w:rsidR="00197878">
        <w:t>rekommendationerna</w:t>
      </w:r>
      <w:r>
        <w:t xml:space="preserve"> är främst att fö</w:t>
      </w:r>
      <w:r>
        <w:t>r</w:t>
      </w:r>
      <w:r>
        <w:t>bättra konsumentskyddet</w:t>
      </w:r>
      <w:r w:rsidR="00197878">
        <w:t xml:space="preserve"> på området onlinespeltjänster, förbättra </w:t>
      </w:r>
      <w:r>
        <w:t>skydd</w:t>
      </w:r>
      <w:r w:rsidR="00197878">
        <w:t>et av minde</w:t>
      </w:r>
      <w:r>
        <w:t xml:space="preserve">råriga samt </w:t>
      </w:r>
      <w:r w:rsidR="00197878">
        <w:t xml:space="preserve">att framta </w:t>
      </w:r>
      <w:r>
        <w:t>ansvarsfulla kommersiella meddelanden gällande speltjänster inom EU. Medlems</w:t>
      </w:r>
      <w:r w:rsidR="00197878">
        <w:t>staterna</w:t>
      </w:r>
      <w:r>
        <w:t xml:space="preserve"> ombads rapportera till kommissionen hur de nationella regelverken är utformade.</w:t>
      </w:r>
    </w:p>
    <w:p w:rsidR="004406DE" w:rsidRPr="004406DE" w:rsidRDefault="009E2F08" w:rsidP="00023C6C">
      <w:pPr>
        <w:ind w:firstLine="284"/>
      </w:pPr>
      <w:r>
        <w:t>Landskapsregeringen inledde 2013 ett arbete som syftar till en total r</w:t>
      </w:r>
      <w:r>
        <w:t>e</w:t>
      </w:r>
      <w:r>
        <w:t xml:space="preserve">videring av den åländska lotterilagstiftningen. Huvudsyftet är att inrätta en oberoende tillsynsmyndighet (lotteriinspektionen) med uppgift att övervaka </w:t>
      </w:r>
      <w:r>
        <w:lastRenderedPageBreak/>
        <w:t>penningspel. Lagberedningen presenterade ett lagförslag hösten 2014. U</w:t>
      </w:r>
      <w:r>
        <w:t>n</w:t>
      </w:r>
      <w:r>
        <w:t>der vintern 2014-15 har lagberedningen iakttagit och integrerat remissvaren i lagförslaget. Lagförslaget är i januari 2015 på extern lag</w:t>
      </w:r>
      <w:r w:rsidR="00737EF3">
        <w:t>granskning och ska</w:t>
      </w:r>
      <w:r>
        <w:t xml:space="preserve"> preliminärt presenteras för lagtinget i mars.</w:t>
      </w:r>
    </w:p>
    <w:p w:rsidR="004406DE" w:rsidRPr="004406DE" w:rsidRDefault="004406DE" w:rsidP="004406DE">
      <w:pPr>
        <w:pStyle w:val="Rubrik3"/>
      </w:pPr>
      <w:bookmarkStart w:id="84" w:name="_Toc410897674"/>
      <w:bookmarkStart w:id="85" w:name="_Toc412712691"/>
      <w:r w:rsidRPr="00386441">
        <w:t>3.2.16 Bryta det sociala arvet - investera i barnens framtid</w:t>
      </w:r>
      <w:bookmarkEnd w:id="84"/>
      <w:bookmarkEnd w:id="85"/>
    </w:p>
    <w:p w:rsidR="004406DE" w:rsidRPr="004406DE" w:rsidRDefault="004406DE" w:rsidP="005242BE">
      <w:r w:rsidRPr="004406DE">
        <w:t>Arbetet med att ta fram det familjepolitiska helhetsprogrammet som beaktar kommissionens tidigare initiativ till rekommendation om insatser för att förbättra situationen för barn i en ekonomiskt utsatt situation pågår. Ett fö</w:t>
      </w:r>
      <w:r w:rsidRPr="004406DE">
        <w:t>r</w:t>
      </w:r>
      <w:r w:rsidRPr="004406DE">
        <w:t>slag till förnyat hemvårdsstöd finns och under våren 2015 kommer lan</w:t>
      </w:r>
      <w:r w:rsidRPr="004406DE">
        <w:t>d</w:t>
      </w:r>
      <w:r w:rsidRPr="004406DE">
        <w:t>skapsregeringen att ta fram ett åländskt familjepolitiskt program med ett tydligt barnperspektiv. Arbetet sker i en parlamentariskt tillsatt arbetsgrupp för att genom bred politisk förankring skapa en långsiktig bärighet för arb</w:t>
      </w:r>
      <w:r w:rsidRPr="004406DE">
        <w:t>e</w:t>
      </w:r>
      <w:r w:rsidRPr="004406DE">
        <w:t>tet med en åländsk familjepolitik.</w:t>
      </w:r>
    </w:p>
    <w:p w:rsidR="004406DE" w:rsidRPr="004406DE" w:rsidRDefault="004406DE" w:rsidP="00023C6C">
      <w:pPr>
        <w:ind w:firstLine="284"/>
      </w:pPr>
      <w:r w:rsidRPr="004406DE">
        <w:t>I slutet av år 2014 gavs en delrapport gällande uppföljningen av ”</w:t>
      </w:r>
      <w:r w:rsidRPr="00D80405">
        <w:rPr>
          <w:i/>
        </w:rPr>
        <w:t>Ek</w:t>
      </w:r>
      <w:r w:rsidRPr="00D80405">
        <w:rPr>
          <w:i/>
        </w:rPr>
        <w:t>o</w:t>
      </w:r>
      <w:r w:rsidRPr="00D80405">
        <w:rPr>
          <w:i/>
        </w:rPr>
        <w:t>nomisk utsatthet och social trygghet</w:t>
      </w:r>
      <w:r w:rsidRPr="004406DE">
        <w:t>”. I delrapporten analyserades tillgän</w:t>
      </w:r>
      <w:r w:rsidRPr="004406DE">
        <w:t>g</w:t>
      </w:r>
      <w:r w:rsidRPr="004406DE">
        <w:t>ligt statistiskt material kompletterat med djupintervjuer med särskilt fokus på barnfamiljer i låginkomstfamiljer. Delrapporten visar att de åländska e</w:t>
      </w:r>
      <w:r w:rsidRPr="004406DE">
        <w:t>n</w:t>
      </w:r>
      <w:r w:rsidRPr="004406DE">
        <w:t>samförsörjarna och barnfamiljerna med flera barn är särskilt ekonomiskt u</w:t>
      </w:r>
      <w:r w:rsidRPr="004406DE">
        <w:t>t</w:t>
      </w:r>
      <w:r w:rsidRPr="004406DE">
        <w:t>satta. Intervjuer med berörda barn och föräldrar beskriver tydligt hur de vardagliga utmaningarna ter sig för dem som lever i det åländska samhället under mycket knappa ekonomiska förhållanden. Den andra delen som pr</w:t>
      </w:r>
      <w:r w:rsidRPr="004406DE">
        <w:t>e</w:t>
      </w:r>
      <w:r w:rsidRPr="004406DE">
        <w:t xml:space="preserve">senteras under våren 2015 kommer att omfatta en analys av specialbeställda individuppgifter gällande bland annat inkomster, de åländska mottagarna av barnbidrag, utkomststöd och bostadsbidrag. Utredningen syftar till </w:t>
      </w:r>
      <w:r w:rsidR="00EF6325">
        <w:t xml:space="preserve">att </w:t>
      </w:r>
      <w:r w:rsidRPr="004406DE">
        <w:t>ge underlag till åtgärder för att kunna förbättra situationen för barn i ekon</w:t>
      </w:r>
      <w:r w:rsidRPr="004406DE">
        <w:t>o</w:t>
      </w:r>
      <w:r w:rsidRPr="004406DE">
        <w:t xml:space="preserve">miskt utsatta familjer. </w:t>
      </w:r>
    </w:p>
    <w:p w:rsidR="004406DE" w:rsidRPr="004406DE" w:rsidRDefault="004406DE" w:rsidP="004406DE">
      <w:pPr>
        <w:pStyle w:val="Rubrik3"/>
      </w:pPr>
      <w:bookmarkStart w:id="86" w:name="_Toc410897675"/>
      <w:bookmarkStart w:id="87" w:name="_Toc412712692"/>
      <w:r w:rsidRPr="00386441">
        <w:t>3.2.17 Jämställdhet</w:t>
      </w:r>
      <w:bookmarkEnd w:id="86"/>
      <w:bookmarkEnd w:id="87"/>
    </w:p>
    <w:p w:rsidR="004406DE" w:rsidRPr="004406DE" w:rsidRDefault="004406DE" w:rsidP="005242BE">
      <w:r w:rsidRPr="004406DE">
        <w:t>Jämställdhet mellan kvinnor och män är ett av Lissabonfördragets grun</w:t>
      </w:r>
      <w:r w:rsidRPr="004406DE">
        <w:t>d</w:t>
      </w:r>
      <w:r w:rsidRPr="004406DE">
        <w:t>läggande mål.</w:t>
      </w:r>
      <w:r w:rsidR="00646EA0">
        <w:t xml:space="preserve"> </w:t>
      </w:r>
      <w:r w:rsidRPr="004406DE">
        <w:t>Jämställdhetsarbete på EU-nivå utgörs av vidareutveckling av lagstiftning, jämställdhetsintegrering och särskilda åtgärder för frä</w:t>
      </w:r>
      <w:r w:rsidRPr="004406DE">
        <w:t>m</w:t>
      </w:r>
      <w:r w:rsidRPr="004406DE">
        <w:t>jande av jämställdhet.</w:t>
      </w:r>
    </w:p>
    <w:p w:rsidR="004406DE" w:rsidRPr="004406DE" w:rsidRDefault="004406DE" w:rsidP="00023C6C">
      <w:pPr>
        <w:ind w:firstLine="284"/>
      </w:pPr>
      <w:r w:rsidRPr="004406DE">
        <w:t>Arbetet för jämställdhetsintegrering inom EU kompletteras av EU:s jämställdhetsstrategi för 2010-2015 som har följande prioriteringar: Lika möjlighet till ekonomisk självständighet för kvinnor och män, lika lön för lika arbete, jämställdhet i beslutsfattande, värdighet, integritet och ett slut på könsbaserat våld samt jämställdhet i EU:s yttre åtgärder.</w:t>
      </w:r>
      <w:r w:rsidR="00D80405">
        <w:t xml:space="preserve"> </w:t>
      </w:r>
      <w:r w:rsidRPr="004406DE">
        <w:t>Därtill anges ytterligare som ett prioriterat mål arbetet med övergripande frågor som b</w:t>
      </w:r>
      <w:r w:rsidRPr="004406DE">
        <w:t>e</w:t>
      </w:r>
      <w:r w:rsidRPr="004406DE">
        <w:t>rör könsstereotypa mönster, lagstiftning samt åtgärder till förbättrad la</w:t>
      </w:r>
      <w:r w:rsidRPr="004406DE">
        <w:t>g</w:t>
      </w:r>
      <w:r w:rsidRPr="004406DE">
        <w:t>stiftning i styrningen av jämställdhetsarbete på EU-nivå.</w:t>
      </w:r>
    </w:p>
    <w:p w:rsidR="004406DE" w:rsidRPr="004406DE" w:rsidRDefault="004406DE" w:rsidP="00023C6C">
      <w:pPr>
        <w:ind w:firstLine="284"/>
      </w:pPr>
      <w:r w:rsidRPr="004406DE">
        <w:t>Främjande av jämställdhet kräver tillgång till grundläggande fakta såsom statistik indelad enligt kön. Bilagan till landskapets budget 2015 ”</w:t>
      </w:r>
      <w:r w:rsidRPr="00D80405">
        <w:rPr>
          <w:i/>
        </w:rPr>
        <w:t>Kvinnor och män i livets olika skeden – könsskillnader med rötter i barn- och ungdomsåren</w:t>
      </w:r>
      <w:r w:rsidRPr="004406DE">
        <w:t>” är en uppföljning av ”</w:t>
      </w:r>
      <w:r w:rsidRPr="00D80405">
        <w:rPr>
          <w:i/>
        </w:rPr>
        <w:t>Kvinnors och mäns livsvillkor och hälsa</w:t>
      </w:r>
      <w:r w:rsidRPr="004406DE">
        <w:t>” från år 2014. Analys av statistiken görs som underlag för eventuella åtgärder och insatser.</w:t>
      </w:r>
    </w:p>
    <w:p w:rsidR="004406DE" w:rsidRPr="00BD31C9" w:rsidRDefault="004406DE" w:rsidP="00023C6C">
      <w:pPr>
        <w:ind w:firstLine="284"/>
      </w:pPr>
      <w:r w:rsidRPr="00D54C5A">
        <w:t>Hanteringen av löneskillnaderna mellan kvinnor och män var ett prior</w:t>
      </w:r>
      <w:r w:rsidRPr="00D54C5A">
        <w:t>i</w:t>
      </w:r>
      <w:r w:rsidRPr="00D54C5A">
        <w:t>terat område för kommissionens arbetsprogram för 2014. Landskapsreg</w:t>
      </w:r>
      <w:r w:rsidRPr="00D54C5A">
        <w:t>e</w:t>
      </w:r>
      <w:r w:rsidRPr="00D54C5A">
        <w:t>ringen har under året påbörjat arbetet med lönekartläggningar och arrang</w:t>
      </w:r>
      <w:r w:rsidRPr="00D54C5A">
        <w:t>e</w:t>
      </w:r>
      <w:r w:rsidRPr="00D54C5A">
        <w:t>rade under hösten ett seminarium ”</w:t>
      </w:r>
      <w:r w:rsidRPr="00D54C5A">
        <w:rPr>
          <w:i/>
        </w:rPr>
        <w:t>Lika lön för likvärdigt arbete</w:t>
      </w:r>
      <w:r w:rsidR="00646EA0" w:rsidRPr="00D54C5A">
        <w:t xml:space="preserve">” där olika aspekter av </w:t>
      </w:r>
      <w:r w:rsidRPr="00D54C5A">
        <w:t xml:space="preserve">frågan </w:t>
      </w:r>
      <w:r w:rsidR="00646EA0" w:rsidRPr="00D54C5A">
        <w:t xml:space="preserve">om lika lön </w:t>
      </w:r>
      <w:r w:rsidRPr="00D54C5A">
        <w:t xml:space="preserve">togs upp och debatterades. </w:t>
      </w:r>
      <w:r w:rsidR="00EF6325" w:rsidRPr="00D54C5A">
        <w:t>Ikraftvarande</w:t>
      </w:r>
      <w:r w:rsidRPr="00D54C5A">
        <w:t xml:space="preserve"> jämställdhetslagstiftning förutsätter lika lön för lika eller likvärdigt arbete. En arbetsgrupp med medlemmar från arbetsmarknadsparterna har påbörjat det inledande arbetet med arbetsvärdering. Resultatet från arbetsvärderin</w:t>
      </w:r>
      <w:r w:rsidRPr="00D54C5A">
        <w:t>g</w:t>
      </w:r>
      <w:r w:rsidRPr="00D54C5A">
        <w:t>en ska användas som underlag för kommande förhandlingar och gropjust</w:t>
      </w:r>
      <w:r w:rsidRPr="00D54C5A">
        <w:t>e</w:t>
      </w:r>
      <w:r w:rsidRPr="00D54C5A">
        <w:lastRenderedPageBreak/>
        <w:t xml:space="preserve">ringar för att på sikt rätta till </w:t>
      </w:r>
      <w:r w:rsidRPr="00BD31C9">
        <w:t>eventuella omotiverade skillnader i lönesät</w:t>
      </w:r>
      <w:r w:rsidRPr="00BD31C9">
        <w:t>t</w:t>
      </w:r>
      <w:r w:rsidRPr="00BD31C9">
        <w:t>ning</w:t>
      </w:r>
      <w:r w:rsidR="00934DD5" w:rsidRPr="00BD31C9">
        <w:t>en</w:t>
      </w:r>
      <w:r w:rsidRPr="00BD31C9">
        <w:t xml:space="preserve"> mellan likvärdiga tjänster. </w:t>
      </w:r>
      <w:r w:rsidR="00D54C5A" w:rsidRPr="00BD31C9">
        <w:t>Efter utförd arbetsvärdering och lönekar</w:t>
      </w:r>
      <w:r w:rsidR="00D54C5A" w:rsidRPr="00BD31C9">
        <w:t>t</w:t>
      </w:r>
      <w:r w:rsidR="00D54C5A" w:rsidRPr="00BD31C9">
        <w:t xml:space="preserve">läggning </w:t>
      </w:r>
      <w:r w:rsidR="00082640" w:rsidRPr="00BD31C9">
        <w:t>ska</w:t>
      </w:r>
      <w:r w:rsidR="00D54C5A" w:rsidRPr="00BD31C9">
        <w:t xml:space="preserve"> avtalsparterna </w:t>
      </w:r>
      <w:r w:rsidR="00082640" w:rsidRPr="00BD31C9">
        <w:t>e</w:t>
      </w:r>
      <w:r w:rsidR="00D54C5A" w:rsidRPr="00BD31C9">
        <w:t>n</w:t>
      </w:r>
      <w:r w:rsidR="00082640" w:rsidRPr="00BD31C9">
        <w:t>a</w:t>
      </w:r>
      <w:r w:rsidR="00D54C5A" w:rsidRPr="00BD31C9">
        <w:t>s om ett löneutvecklingsprogram som lan</w:t>
      </w:r>
      <w:r w:rsidR="00D54C5A" w:rsidRPr="00BD31C9">
        <w:t>d</w:t>
      </w:r>
      <w:r w:rsidR="00D54C5A" w:rsidRPr="00BD31C9">
        <w:t xml:space="preserve">skapsregeringen </w:t>
      </w:r>
      <w:r w:rsidR="00082640" w:rsidRPr="00BD31C9">
        <w:t>ska verkställa</w:t>
      </w:r>
      <w:r w:rsidR="00D54C5A" w:rsidRPr="00BD31C9">
        <w:t xml:space="preserve"> senast den 1 juni 2020. </w:t>
      </w:r>
      <w:r w:rsidRPr="00BD31C9">
        <w:t>Landskapsregerin</w:t>
      </w:r>
      <w:r w:rsidRPr="00BD31C9">
        <w:t>g</w:t>
      </w:r>
      <w:r w:rsidRPr="00BD31C9">
        <w:t>en konstaterar att utjämningen av löneskillnader är ett långsiktigt, målme</w:t>
      </w:r>
      <w:r w:rsidRPr="00BD31C9">
        <w:t>d</w:t>
      </w:r>
      <w:r w:rsidRPr="00BD31C9">
        <w:t>vetet och strukturerat arbete. Anslag för löneutjämning har reserverats.</w:t>
      </w:r>
    </w:p>
    <w:p w:rsidR="004406DE" w:rsidRPr="00EE65FB" w:rsidRDefault="004406DE" w:rsidP="00023C6C">
      <w:pPr>
        <w:ind w:firstLine="284"/>
      </w:pPr>
      <w:r w:rsidRPr="00BD31C9">
        <w:t xml:space="preserve">Målsättningarna och </w:t>
      </w:r>
      <w:r w:rsidR="00934DD5" w:rsidRPr="00BD31C9">
        <w:t xml:space="preserve">de </w:t>
      </w:r>
      <w:r w:rsidRPr="00BD31C9">
        <w:t>prioriterade</w:t>
      </w:r>
      <w:r w:rsidRPr="00D54C5A">
        <w:t xml:space="preserve"> områden</w:t>
      </w:r>
      <w:r w:rsidR="00934DD5" w:rsidRPr="00D54C5A">
        <w:t>a</w:t>
      </w:r>
      <w:r w:rsidRPr="00EE65FB">
        <w:t xml:space="preserve"> i landskapsregeringens ramprogram för jämställdhet sammanfaller med prioriteringarna i EU:s jämställdhetsstrategi för 2010-2015. Jämställdhetsintegrering och särskilda insatser är arbetsmetoder för att uppnå de jämställdhetspolitiska målen på Åland. Jämställdhetsintegrering motverkar att jämställdhetsarbetet drivs vid sidan av ordinarie verksamheter.</w:t>
      </w:r>
    </w:p>
    <w:p w:rsidR="00B0002C" w:rsidRDefault="004406DE" w:rsidP="00023C6C">
      <w:pPr>
        <w:ind w:firstLine="284"/>
      </w:pPr>
      <w:r w:rsidRPr="004406DE">
        <w:t>Ett kontinuerligt hållbart utvecklingsarbete, utbildning i jämställdhets- och genuskunskap, normer, strukturer och värderingar samt kunskap om förändringsarbete och dess villkor för olika målgrupper är en basförutsät</w:t>
      </w:r>
      <w:r w:rsidRPr="004406DE">
        <w:t>t</w:t>
      </w:r>
      <w:r w:rsidRPr="004406DE">
        <w:t>ning för hållbar jämställdhet</w:t>
      </w:r>
      <w:r w:rsidR="003114A1">
        <w:t>. Under år 2015 påbörjas en tre</w:t>
      </w:r>
      <w:r w:rsidRPr="004406DE">
        <w:t>årig kompeten</w:t>
      </w:r>
      <w:r w:rsidRPr="004406DE">
        <w:t>s</w:t>
      </w:r>
      <w:r w:rsidRPr="004406DE">
        <w:t>utveckling i genus och jämställdhet med fokus på må</w:t>
      </w:r>
      <w:r w:rsidR="00B0002C">
        <w:t xml:space="preserve">lgrupper inom </w:t>
      </w:r>
      <w:r w:rsidR="00A039AD">
        <w:t xml:space="preserve">den </w:t>
      </w:r>
      <w:r w:rsidR="00B0002C">
        <w:t>o</w:t>
      </w:r>
      <w:r w:rsidR="00B0002C">
        <w:t>f</w:t>
      </w:r>
      <w:r w:rsidR="00B0002C">
        <w:t>fentlig</w:t>
      </w:r>
      <w:r w:rsidR="00A039AD">
        <w:t>a</w:t>
      </w:r>
      <w:r w:rsidR="00B0002C">
        <w:t xml:space="preserve"> sektor</w:t>
      </w:r>
      <w:r w:rsidR="00A039AD">
        <w:t>n</w:t>
      </w:r>
      <w:r w:rsidR="00B0002C">
        <w:t>.</w:t>
      </w:r>
    </w:p>
    <w:p w:rsidR="004406DE" w:rsidRPr="0040709D" w:rsidRDefault="004406DE" w:rsidP="00023C6C">
      <w:pPr>
        <w:ind w:firstLine="284"/>
      </w:pPr>
      <w:r w:rsidRPr="004406DE">
        <w:t>Det redan påbörjade arbetet med genus- och jämställdhetsintegrering i den åländska barnomsorgsverksamheten fortsätter med målsättningen att skapa en verksamhet med hög och likvärdig kvalitet för flickor och pojkar</w:t>
      </w:r>
      <w:r w:rsidRPr="0040709D">
        <w:t xml:space="preserve">. </w:t>
      </w:r>
      <w:r w:rsidR="00646EA0">
        <w:t>Arbetet med jämställd fritid</w:t>
      </w:r>
      <w:r w:rsidRPr="0040709D">
        <w:t xml:space="preserve"> </w:t>
      </w:r>
      <w:r w:rsidR="00934DD5">
        <w:t xml:space="preserve">har som </w:t>
      </w:r>
      <w:r w:rsidRPr="0040709D">
        <w:t xml:space="preserve">målsättning att skapa förutsättningar </w:t>
      </w:r>
      <w:r w:rsidR="00646EA0">
        <w:t>för</w:t>
      </w:r>
      <w:r w:rsidRPr="0040709D">
        <w:t xml:space="preserve"> en trygg och jämställd fritid</w:t>
      </w:r>
      <w:r w:rsidR="00646EA0">
        <w:t xml:space="preserve"> </w:t>
      </w:r>
      <w:r w:rsidR="00646EA0" w:rsidRPr="0040709D">
        <w:t>för unga kvinnor och män</w:t>
      </w:r>
      <w:r w:rsidRPr="0040709D">
        <w:t>.</w:t>
      </w:r>
    </w:p>
    <w:p w:rsidR="004406DE" w:rsidRPr="004406DE" w:rsidRDefault="004406DE" w:rsidP="00023C6C">
      <w:pPr>
        <w:ind w:firstLine="284"/>
      </w:pPr>
      <w:r w:rsidRPr="004406DE">
        <w:t>I överenstämmelse med Europarådets konvention har en av landskap</w:t>
      </w:r>
      <w:r w:rsidRPr="004406DE">
        <w:t>s</w:t>
      </w:r>
      <w:r w:rsidRPr="004406DE">
        <w:t>regeringen tillsatt arbetsgrupp arbetat med uppdraget att omsätta den ku</w:t>
      </w:r>
      <w:r w:rsidRPr="004406DE">
        <w:t>n</w:t>
      </w:r>
      <w:r w:rsidRPr="004406DE">
        <w:t>skap som finns idag gällande våld i nära relationer till konkreta insatser och skapa ett resurs- och kompetenscentrum mot våld i nära relationer där myndigheternas samverkansmodell utövas. Arbetet presenteras för lan</w:t>
      </w:r>
      <w:r w:rsidRPr="004406DE">
        <w:t>d</w:t>
      </w:r>
      <w:r w:rsidRPr="004406DE">
        <w:t>skapsregeringen februari 2015. Åtgärder för förverkligandet påbörjas under året.</w:t>
      </w:r>
    </w:p>
    <w:p w:rsidR="004406DE" w:rsidRPr="004406DE" w:rsidRDefault="004406DE" w:rsidP="004406DE">
      <w:pPr>
        <w:pStyle w:val="Rubrik3"/>
      </w:pPr>
      <w:bookmarkStart w:id="88" w:name="_Toc410897676"/>
      <w:bookmarkStart w:id="89" w:name="_Toc412712693"/>
      <w:r w:rsidRPr="00386441">
        <w:t>3.2.18 Fond för europeiskt bistånd för dem som har det sämst ställt</w:t>
      </w:r>
      <w:bookmarkEnd w:id="88"/>
      <w:bookmarkEnd w:id="89"/>
      <w:r w:rsidRPr="00386441">
        <w:t xml:space="preserve"> </w:t>
      </w:r>
    </w:p>
    <w:p w:rsidR="004406DE" w:rsidRPr="004406DE" w:rsidRDefault="004406DE" w:rsidP="005242BE">
      <w:r w:rsidRPr="004406DE">
        <w:t>Finlands regering beslutade under våren 2014 om organiseringen av fonden för bistånd till dem som har det sämst ställt i Finland. Arbets- och näring</w:t>
      </w:r>
      <w:r w:rsidRPr="004406DE">
        <w:t>s</w:t>
      </w:r>
      <w:r w:rsidRPr="004406DE">
        <w:t xml:space="preserve">ministeriet ansvarar för fonden, </w:t>
      </w:r>
      <w:r w:rsidR="00934DD5">
        <w:t xml:space="preserve">medan </w:t>
      </w:r>
      <w:r w:rsidRPr="004406DE">
        <w:t>förvaltningen och genomförandet av programme</w:t>
      </w:r>
      <w:r w:rsidR="00331589">
        <w:t xml:space="preserve">t </w:t>
      </w:r>
      <w:proofErr w:type="gramStart"/>
      <w:r w:rsidR="00331589">
        <w:t>handhas</w:t>
      </w:r>
      <w:proofErr w:type="gramEnd"/>
      <w:r w:rsidR="00331589">
        <w:t xml:space="preserve"> av Landsbygdsverket. </w:t>
      </w:r>
      <w:r w:rsidRPr="004406DE">
        <w:t>Ur programmet delas med hjälp av partnerorganisationer ut livsmedel till de sämst ställda. Områdets oper</w:t>
      </w:r>
      <w:r w:rsidRPr="004406DE">
        <w:t>a</w:t>
      </w:r>
      <w:r w:rsidRPr="004406DE">
        <w:t>tiva område omfattar hela Finland, inklusive Åland. Ålands andel är högst 0,5 procent av sammanhållningsfonden, varför det i utkastet föreslås att åländska organisationer beaktas vid valet av partnerorganisation inom r</w:t>
      </w:r>
      <w:r w:rsidRPr="004406DE">
        <w:t>a</w:t>
      </w:r>
      <w:r w:rsidRPr="004406DE">
        <w:t>men för sin egen kvot, dock så att bistånd delas ut endast i den mån det finns behov av det.</w:t>
      </w:r>
    </w:p>
    <w:p w:rsidR="004406DE" w:rsidRDefault="004406DE" w:rsidP="00023C6C">
      <w:pPr>
        <w:ind w:firstLine="284"/>
      </w:pPr>
      <w:r w:rsidRPr="004406DE">
        <w:t>Landskapets målsättning är att i första hand tillgodose de behov som finns vad gäller bistånd till dem som har det sämst ställt genom lokala r</w:t>
      </w:r>
      <w:r w:rsidRPr="004406DE">
        <w:t>e</w:t>
      </w:r>
      <w:r w:rsidRPr="004406DE">
        <w:t>surser och samarbeten.</w:t>
      </w:r>
    </w:p>
    <w:p w:rsidR="00115132" w:rsidRPr="004406DE" w:rsidRDefault="00115132" w:rsidP="00023C6C">
      <w:pPr>
        <w:ind w:firstLine="284"/>
      </w:pPr>
    </w:p>
    <w:p w:rsidR="004406DE" w:rsidRPr="004406DE" w:rsidRDefault="004406DE" w:rsidP="004406DE">
      <w:pPr>
        <w:pStyle w:val="Rubrik2"/>
      </w:pPr>
      <w:bookmarkStart w:id="90" w:name="_Toc410897677"/>
      <w:bookmarkStart w:id="91" w:name="_Toc412712694"/>
      <w:r w:rsidRPr="00386441">
        <w:t>3.3 Sammanfattning av landskapsregeringens nya pri</w:t>
      </w:r>
      <w:r w:rsidRPr="00386441">
        <w:t>o</w:t>
      </w:r>
      <w:r w:rsidRPr="00386441">
        <w:t>riteringar i kommissionens arbetsprogram för 2015</w:t>
      </w:r>
      <w:bookmarkEnd w:id="90"/>
      <w:bookmarkEnd w:id="91"/>
    </w:p>
    <w:p w:rsidR="004406DE" w:rsidRPr="004406DE" w:rsidRDefault="004406DE" w:rsidP="005242BE">
      <w:r w:rsidRPr="004406DE">
        <w:t>Nedan finns en tabell över de kommissionsinitiativ som landskapsregerin</w:t>
      </w:r>
      <w:r w:rsidRPr="004406DE">
        <w:t>g</w:t>
      </w:r>
      <w:r w:rsidRPr="004406DE">
        <w:t>en prioriterar i kommissionens arbetsprogram för 2015. Landskapsreg</w:t>
      </w:r>
      <w:r w:rsidRPr="004406DE">
        <w:t>e</w:t>
      </w:r>
      <w:r w:rsidRPr="004406DE">
        <w:t>ringen kommer att följa dessa initiativ och vid behov diarieföra dem.</w:t>
      </w:r>
    </w:p>
    <w:p w:rsidR="004406DE" w:rsidRDefault="004406DE" w:rsidP="004406DE">
      <w:pPr>
        <w:pStyle w:val="ANormal"/>
      </w:pPr>
    </w:p>
    <w:p w:rsidR="00115132" w:rsidRPr="004406DE" w:rsidRDefault="00115132" w:rsidP="004406DE">
      <w:pPr>
        <w:pStyle w:val="ANormal"/>
      </w:pPr>
    </w:p>
    <w:p w:rsidR="004406DE" w:rsidRPr="004406DE" w:rsidRDefault="004406DE" w:rsidP="004406DE">
      <w:pPr>
        <w:pStyle w:val="ANormal"/>
        <w:rPr>
          <w:b/>
          <w:bCs/>
        </w:rPr>
      </w:pPr>
      <w:r w:rsidRPr="004406DE">
        <w:rPr>
          <w:b/>
          <w:bCs/>
        </w:rPr>
        <w:lastRenderedPageBreak/>
        <w:t>Tabell 1: Initiativ som landskapsregeringen kommer att prioritera</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3260"/>
      </w:tblGrid>
      <w:tr w:rsidR="004406DE" w:rsidRPr="004406DE" w:rsidTr="00A41B6E">
        <w:tc>
          <w:tcPr>
            <w:tcW w:w="1985" w:type="dxa"/>
            <w:shd w:val="clear" w:color="auto" w:fill="auto"/>
          </w:tcPr>
          <w:p w:rsidR="004406DE" w:rsidRPr="004406DE" w:rsidRDefault="004406DE" w:rsidP="004406DE">
            <w:pPr>
              <w:pStyle w:val="ANormal"/>
              <w:rPr>
                <w:b/>
              </w:rPr>
            </w:pPr>
            <w:r w:rsidRPr="004406DE">
              <w:rPr>
                <w:b/>
                <w:bCs/>
              </w:rPr>
              <w:t>En ny satsning på sysselsättning, til</w:t>
            </w:r>
            <w:r w:rsidRPr="004406DE">
              <w:rPr>
                <w:b/>
                <w:bCs/>
              </w:rPr>
              <w:t>l</w:t>
            </w:r>
            <w:r w:rsidRPr="004406DE">
              <w:rPr>
                <w:b/>
                <w:bCs/>
              </w:rPr>
              <w:t>växt och invest</w:t>
            </w:r>
            <w:r w:rsidRPr="004406DE">
              <w:rPr>
                <w:b/>
                <w:bCs/>
              </w:rPr>
              <w:t>e</w:t>
            </w:r>
            <w:r w:rsidRPr="004406DE">
              <w:rPr>
                <w:b/>
                <w:bCs/>
              </w:rPr>
              <w:t>ringar</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rPr>
                <w:lang w:val="sv-FI"/>
              </w:rPr>
            </w:pPr>
            <w:r w:rsidRPr="004406DE">
              <w:rPr>
                <w:lang w:val="sv-FI"/>
              </w:rPr>
              <w:t>Främjande av i</w:t>
            </w:r>
            <w:r w:rsidRPr="004406DE">
              <w:rPr>
                <w:lang w:val="sv-FI"/>
              </w:rPr>
              <w:t>n</w:t>
            </w:r>
            <w:r w:rsidRPr="004406DE">
              <w:rPr>
                <w:lang w:val="sv-FI"/>
              </w:rPr>
              <w:t>tegration och</w:t>
            </w:r>
          </w:p>
          <w:p w:rsidR="004406DE" w:rsidRPr="004406DE" w:rsidRDefault="004406DE" w:rsidP="004406DE">
            <w:pPr>
              <w:pStyle w:val="ANormal"/>
            </w:pPr>
            <w:r w:rsidRPr="004406DE">
              <w:rPr>
                <w:lang w:val="sv-FI"/>
              </w:rPr>
              <w:t>anställbarhet på a</w:t>
            </w:r>
            <w:r w:rsidRPr="004406DE">
              <w:rPr>
                <w:lang w:val="sv-FI"/>
              </w:rPr>
              <w:t>r</w:t>
            </w:r>
            <w:r w:rsidRPr="004406DE">
              <w:rPr>
                <w:lang w:val="sv-FI"/>
              </w:rPr>
              <w:t>betsmarknaden</w:t>
            </w:r>
          </w:p>
        </w:tc>
        <w:tc>
          <w:tcPr>
            <w:tcW w:w="1559" w:type="dxa"/>
            <w:shd w:val="clear" w:color="auto" w:fill="auto"/>
          </w:tcPr>
          <w:p w:rsidR="004406DE" w:rsidRPr="004406DE" w:rsidRDefault="004406DE" w:rsidP="004406DE">
            <w:pPr>
              <w:pStyle w:val="ANormal"/>
            </w:pPr>
            <w:r w:rsidRPr="004406DE">
              <w:t>Lagstiftning/</w:t>
            </w:r>
          </w:p>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rPr>
                <w:lang w:val="sv-FI"/>
              </w:rPr>
            </w:pPr>
            <w:r w:rsidRPr="004406DE">
              <w:rPr>
                <w:lang w:val="sv-FI"/>
              </w:rPr>
              <w:t>Ett paket åtgärder för att hjälpa medlemsstaterna att få ut männ</w:t>
            </w:r>
            <w:r w:rsidRPr="004406DE">
              <w:rPr>
                <w:lang w:val="sv-FI"/>
              </w:rPr>
              <w:t>i</w:t>
            </w:r>
            <w:r w:rsidRPr="004406DE">
              <w:rPr>
                <w:lang w:val="sv-FI"/>
              </w:rPr>
              <w:t>skor, särskilt långtidsarbetslösa och</w:t>
            </w:r>
          </w:p>
          <w:p w:rsidR="004406DE" w:rsidRPr="004406DE" w:rsidRDefault="004406DE" w:rsidP="004406DE">
            <w:pPr>
              <w:pStyle w:val="ANormal"/>
              <w:rPr>
                <w:lang w:val="sv-FI"/>
              </w:rPr>
            </w:pPr>
            <w:r w:rsidRPr="004406DE">
              <w:rPr>
                <w:lang w:val="sv-FI"/>
              </w:rPr>
              <w:t>ungdomar, på arbetsmarknaden och utveckla en kompetent a</w:t>
            </w:r>
            <w:r w:rsidRPr="004406DE">
              <w:rPr>
                <w:lang w:val="sv-FI"/>
              </w:rPr>
              <w:t>r</w:t>
            </w:r>
            <w:r w:rsidRPr="004406DE">
              <w:rPr>
                <w:lang w:val="sv-FI"/>
              </w:rPr>
              <w:t>betskraft. Här ingår åtgärder för att följa upp</w:t>
            </w:r>
          </w:p>
          <w:p w:rsidR="004406DE" w:rsidRPr="004406DE" w:rsidRDefault="004406DE" w:rsidP="004406DE">
            <w:pPr>
              <w:pStyle w:val="ANormal"/>
            </w:pPr>
            <w:r w:rsidRPr="004406DE">
              <w:rPr>
                <w:lang w:val="sv-FI"/>
              </w:rPr>
              <w:t>genomförandet av sysselsät</w:t>
            </w:r>
            <w:r w:rsidRPr="004406DE">
              <w:rPr>
                <w:lang w:val="sv-FI"/>
              </w:rPr>
              <w:t>t</w:t>
            </w:r>
            <w:r w:rsidRPr="004406DE">
              <w:rPr>
                <w:lang w:val="sv-FI"/>
              </w:rPr>
              <w:t>ningsgarantin för unga, ett förslag till rådsrekommendation om i</w:t>
            </w:r>
            <w:r w:rsidRPr="004406DE">
              <w:rPr>
                <w:lang w:val="sv-FI"/>
              </w:rPr>
              <w:t>n</w:t>
            </w:r>
            <w:r w:rsidRPr="004406DE">
              <w:rPr>
                <w:lang w:val="sv-FI"/>
              </w:rPr>
              <w:t>tegration av långtidsarbetslösa samt kompetensutvecklande å</w:t>
            </w:r>
            <w:r w:rsidRPr="004406DE">
              <w:rPr>
                <w:lang w:val="sv-FI"/>
              </w:rPr>
              <w:t>t</w:t>
            </w:r>
            <w:r w:rsidRPr="004406DE">
              <w:rPr>
                <w:lang w:val="sv-FI"/>
              </w:rPr>
              <w:t>gärder.</w:t>
            </w:r>
          </w:p>
        </w:tc>
      </w:tr>
      <w:tr w:rsidR="004406DE" w:rsidRPr="004406DE" w:rsidTr="00A41B6E">
        <w:tc>
          <w:tcPr>
            <w:tcW w:w="1985" w:type="dxa"/>
            <w:shd w:val="clear" w:color="auto" w:fill="auto"/>
          </w:tcPr>
          <w:p w:rsidR="004406DE" w:rsidRPr="004406DE" w:rsidRDefault="004406DE" w:rsidP="004406DE">
            <w:pPr>
              <w:pStyle w:val="ANormal"/>
              <w:rPr>
                <w:b/>
              </w:rPr>
            </w:pPr>
            <w:r w:rsidRPr="004406DE">
              <w:rPr>
                <w:b/>
                <w:bCs/>
              </w:rPr>
              <w:t xml:space="preserve">En fördjupad och mer rättvis inre marknad med en stärkt industribas </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pPr>
            <w:r w:rsidRPr="004406DE">
              <w:rPr>
                <w:lang w:val="sv-FI"/>
              </w:rPr>
              <w:t>Paket för arbet</w:t>
            </w:r>
            <w:r w:rsidRPr="004406DE">
              <w:rPr>
                <w:lang w:val="sv-FI"/>
              </w:rPr>
              <w:t>s</w:t>
            </w:r>
            <w:r w:rsidRPr="004406DE">
              <w:rPr>
                <w:lang w:val="sv-FI"/>
              </w:rPr>
              <w:t>kraftens rörlighet</w:t>
            </w:r>
          </w:p>
        </w:tc>
        <w:tc>
          <w:tcPr>
            <w:tcW w:w="1559" w:type="dxa"/>
            <w:shd w:val="clear" w:color="auto" w:fill="auto"/>
          </w:tcPr>
          <w:p w:rsidR="004406DE" w:rsidRPr="004406DE" w:rsidRDefault="004406DE" w:rsidP="004406DE">
            <w:pPr>
              <w:pStyle w:val="ANormal"/>
            </w:pPr>
            <w:r w:rsidRPr="004406DE">
              <w:t>Lagstiftning/</w:t>
            </w:r>
          </w:p>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rPr>
                <w:lang w:val="sv-FI"/>
              </w:rPr>
            </w:pPr>
            <w:r w:rsidRPr="004406DE">
              <w:rPr>
                <w:lang w:val="sv-FI"/>
              </w:rPr>
              <w:t>Paketet är avsett att understödja arbetskraftens rörlighet och b</w:t>
            </w:r>
            <w:r w:rsidRPr="004406DE">
              <w:rPr>
                <w:lang w:val="sv-FI"/>
              </w:rPr>
              <w:t>e</w:t>
            </w:r>
            <w:r w:rsidRPr="004406DE">
              <w:rPr>
                <w:lang w:val="sv-FI"/>
              </w:rPr>
              <w:t>möta missbruk genom bättre sa</w:t>
            </w:r>
            <w:r w:rsidRPr="004406DE">
              <w:rPr>
                <w:lang w:val="sv-FI"/>
              </w:rPr>
              <w:t>m</w:t>
            </w:r>
            <w:r w:rsidRPr="004406DE">
              <w:rPr>
                <w:lang w:val="sv-FI"/>
              </w:rPr>
              <w:t>ordning av</w:t>
            </w:r>
          </w:p>
          <w:p w:rsidR="004406DE" w:rsidRPr="004406DE" w:rsidRDefault="004406DE" w:rsidP="004406DE">
            <w:pPr>
              <w:pStyle w:val="ANormal"/>
              <w:rPr>
                <w:lang w:val="sv-FI"/>
              </w:rPr>
            </w:pPr>
            <w:r w:rsidRPr="004406DE">
              <w:rPr>
                <w:lang w:val="sv-FI"/>
              </w:rPr>
              <w:t>systemen för social trygghet, en målinriktad översyn av direktivet om utstationering av arbetstagare och ett</w:t>
            </w:r>
          </w:p>
          <w:p w:rsidR="004406DE" w:rsidRPr="004406DE" w:rsidRDefault="004406DE" w:rsidP="004406DE">
            <w:pPr>
              <w:pStyle w:val="ANormal"/>
            </w:pPr>
            <w:r w:rsidRPr="004406DE">
              <w:rPr>
                <w:lang w:val="sv-FI"/>
              </w:rPr>
              <w:t>förbättrat Eures.</w:t>
            </w:r>
          </w:p>
        </w:tc>
      </w:tr>
      <w:tr w:rsidR="004406DE" w:rsidRPr="004406DE" w:rsidTr="00A41B6E">
        <w:tc>
          <w:tcPr>
            <w:tcW w:w="1985" w:type="dxa"/>
            <w:shd w:val="clear" w:color="auto" w:fill="auto"/>
          </w:tcPr>
          <w:p w:rsidR="004406DE" w:rsidRPr="004406DE" w:rsidRDefault="004406DE" w:rsidP="004406DE">
            <w:pPr>
              <w:pStyle w:val="ANormal"/>
            </w:pPr>
            <w:r w:rsidRPr="004406DE">
              <w:rPr>
                <w:lang w:val="sv-FI"/>
              </w:rPr>
              <w:t>Strategi för den inre marknaden för v</w:t>
            </w:r>
            <w:r w:rsidRPr="004406DE">
              <w:rPr>
                <w:lang w:val="sv-FI"/>
              </w:rPr>
              <w:t>a</w:t>
            </w:r>
            <w:r w:rsidRPr="004406DE">
              <w:rPr>
                <w:lang w:val="sv-FI"/>
              </w:rPr>
              <w:t>ror och tjänster</w:t>
            </w:r>
          </w:p>
        </w:tc>
        <w:tc>
          <w:tcPr>
            <w:tcW w:w="1559" w:type="dxa"/>
            <w:shd w:val="clear" w:color="auto" w:fill="auto"/>
          </w:tcPr>
          <w:p w:rsidR="004406DE" w:rsidRPr="004406DE" w:rsidRDefault="004406DE" w:rsidP="004406DE">
            <w:pPr>
              <w:pStyle w:val="ANormal"/>
            </w:pPr>
            <w:r w:rsidRPr="004406DE">
              <w:t>Lagstiftning/</w:t>
            </w:r>
          </w:p>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pPr>
            <w:r w:rsidRPr="004406DE">
              <w:rPr>
                <w:lang w:val="sv-FI"/>
              </w:rPr>
              <w:t>En strategi för ett nytt helhet</w:t>
            </w:r>
            <w:r w:rsidRPr="004406DE">
              <w:rPr>
                <w:lang w:val="sv-FI"/>
              </w:rPr>
              <w:t>s</w:t>
            </w:r>
            <w:r w:rsidRPr="004406DE">
              <w:rPr>
                <w:lang w:val="sv-FI"/>
              </w:rPr>
              <w:t>grepp på den inre marknaden för ökad integration, bättre ömses</w:t>
            </w:r>
            <w:r w:rsidRPr="004406DE">
              <w:rPr>
                <w:lang w:val="sv-FI"/>
              </w:rPr>
              <w:t>i</w:t>
            </w:r>
            <w:r w:rsidRPr="004406DE">
              <w:rPr>
                <w:lang w:val="sv-FI"/>
              </w:rPr>
              <w:t>digt erkännande och standardis</w:t>
            </w:r>
            <w:r w:rsidRPr="004406DE">
              <w:rPr>
                <w:lang w:val="sv-FI"/>
              </w:rPr>
              <w:t>e</w:t>
            </w:r>
            <w:r w:rsidRPr="004406DE">
              <w:rPr>
                <w:lang w:val="sv-FI"/>
              </w:rPr>
              <w:t>ring i centrala industri- och tjän</w:t>
            </w:r>
            <w:r w:rsidRPr="004406DE">
              <w:rPr>
                <w:lang w:val="sv-FI"/>
              </w:rPr>
              <w:t>s</w:t>
            </w:r>
            <w:r w:rsidRPr="004406DE">
              <w:rPr>
                <w:lang w:val="sv-FI"/>
              </w:rPr>
              <w:t>tesektorer där den ekonomiska p</w:t>
            </w:r>
            <w:r w:rsidRPr="004406DE">
              <w:rPr>
                <w:lang w:val="sv-FI"/>
              </w:rPr>
              <w:t>o</w:t>
            </w:r>
            <w:r w:rsidRPr="004406DE">
              <w:rPr>
                <w:lang w:val="sv-FI"/>
              </w:rPr>
              <w:t>tentialen är störst, bl.a. företag</w:t>
            </w:r>
            <w:r w:rsidRPr="004406DE">
              <w:rPr>
                <w:lang w:val="sv-FI"/>
              </w:rPr>
              <w:t>s</w:t>
            </w:r>
            <w:r w:rsidRPr="004406DE">
              <w:rPr>
                <w:lang w:val="sv-FI"/>
              </w:rPr>
              <w:t>tjänster, byggsektor, detaljhandel, lagreglerade yrken, avancerad tillverkning och kombinerat til</w:t>
            </w:r>
            <w:r w:rsidRPr="004406DE">
              <w:rPr>
                <w:lang w:val="sv-FI"/>
              </w:rPr>
              <w:t>l</w:t>
            </w:r>
            <w:r w:rsidRPr="004406DE">
              <w:rPr>
                <w:lang w:val="sv-FI"/>
              </w:rPr>
              <w:t>handahållande av varor och tjän</w:t>
            </w:r>
            <w:r w:rsidRPr="004406DE">
              <w:rPr>
                <w:lang w:val="sv-FI"/>
              </w:rPr>
              <w:t>s</w:t>
            </w:r>
            <w:r w:rsidRPr="004406DE">
              <w:rPr>
                <w:lang w:val="sv-FI"/>
              </w:rPr>
              <w:t>ter. Särskilt fokus på små och m</w:t>
            </w:r>
            <w:r w:rsidRPr="004406DE">
              <w:rPr>
                <w:lang w:val="sv-FI"/>
              </w:rPr>
              <w:t>e</w:t>
            </w:r>
            <w:r w:rsidRPr="004406DE">
              <w:rPr>
                <w:lang w:val="sv-FI"/>
              </w:rPr>
              <w:t>delstora företag.</w:t>
            </w:r>
          </w:p>
        </w:tc>
      </w:tr>
      <w:tr w:rsidR="004406DE" w:rsidRPr="004406DE" w:rsidTr="00A41B6E">
        <w:tc>
          <w:tcPr>
            <w:tcW w:w="1985" w:type="dxa"/>
            <w:shd w:val="clear" w:color="auto" w:fill="auto"/>
          </w:tcPr>
          <w:p w:rsidR="004406DE" w:rsidRPr="004406DE" w:rsidRDefault="004406DE" w:rsidP="004406DE">
            <w:pPr>
              <w:pStyle w:val="ANormal"/>
              <w:rPr>
                <w:b/>
              </w:rPr>
            </w:pPr>
            <w:r w:rsidRPr="004406DE">
              <w:rPr>
                <w:b/>
                <w:bCs/>
              </w:rPr>
              <w:t>Ett rimligt och b</w:t>
            </w:r>
            <w:r w:rsidRPr="004406DE">
              <w:rPr>
                <w:b/>
                <w:bCs/>
              </w:rPr>
              <w:t>a</w:t>
            </w:r>
            <w:r w:rsidRPr="004406DE">
              <w:rPr>
                <w:b/>
                <w:bCs/>
              </w:rPr>
              <w:t>lanserat friha</w:t>
            </w:r>
            <w:r w:rsidRPr="004406DE">
              <w:rPr>
                <w:b/>
                <w:bCs/>
              </w:rPr>
              <w:t>n</w:t>
            </w:r>
            <w:r w:rsidRPr="004406DE">
              <w:rPr>
                <w:b/>
                <w:bCs/>
              </w:rPr>
              <w:t>delsavtal med USA</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pPr>
            <w:r w:rsidRPr="004406DE">
              <w:rPr>
                <w:lang w:val="sv-FI"/>
              </w:rPr>
              <w:t>Strategi för handel och investeringar för sysselsättning och tillväxt</w:t>
            </w:r>
          </w:p>
        </w:tc>
        <w:tc>
          <w:tcPr>
            <w:tcW w:w="1559" w:type="dxa"/>
            <w:shd w:val="clear" w:color="auto" w:fill="auto"/>
          </w:tcPr>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rPr>
                <w:lang w:val="sv-FI"/>
              </w:rPr>
            </w:pPr>
            <w:r w:rsidRPr="004406DE">
              <w:rPr>
                <w:lang w:val="sv-FI"/>
              </w:rPr>
              <w:t>En heltäckande översyn av EU:s handelspolitiska strategi, särskilt dess bidrag till sysselsättning, til</w:t>
            </w:r>
            <w:r w:rsidRPr="004406DE">
              <w:rPr>
                <w:lang w:val="sv-FI"/>
              </w:rPr>
              <w:t>l</w:t>
            </w:r>
            <w:r w:rsidRPr="004406DE">
              <w:rPr>
                <w:lang w:val="sv-FI"/>
              </w:rPr>
              <w:t>växt och</w:t>
            </w:r>
          </w:p>
          <w:p w:rsidR="004406DE" w:rsidRPr="004406DE" w:rsidRDefault="004406DE" w:rsidP="004406DE">
            <w:pPr>
              <w:pStyle w:val="ANormal"/>
              <w:rPr>
                <w:lang w:val="sv-FI"/>
              </w:rPr>
            </w:pPr>
            <w:r w:rsidRPr="004406DE">
              <w:rPr>
                <w:lang w:val="sv-FI"/>
              </w:rPr>
              <w:t>investeringar. Översynen ska o</w:t>
            </w:r>
            <w:r w:rsidRPr="004406DE">
              <w:rPr>
                <w:lang w:val="sv-FI"/>
              </w:rPr>
              <w:t>m</w:t>
            </w:r>
            <w:r w:rsidRPr="004406DE">
              <w:rPr>
                <w:lang w:val="sv-FI"/>
              </w:rPr>
              <w:t>fatta alla aspekter på handelspol</w:t>
            </w:r>
            <w:r w:rsidRPr="004406DE">
              <w:rPr>
                <w:lang w:val="sv-FI"/>
              </w:rPr>
              <w:t>i</w:t>
            </w:r>
            <w:r w:rsidRPr="004406DE">
              <w:rPr>
                <w:lang w:val="sv-FI"/>
              </w:rPr>
              <w:t>tiken, inbegripet bilaterala, pl</w:t>
            </w:r>
            <w:r w:rsidRPr="004406DE">
              <w:rPr>
                <w:lang w:val="sv-FI"/>
              </w:rPr>
              <w:t>u</w:t>
            </w:r>
            <w:r w:rsidRPr="004406DE">
              <w:rPr>
                <w:lang w:val="sv-FI"/>
              </w:rPr>
              <w:lastRenderedPageBreak/>
              <w:t>rilaterala och multilaterala fö</w:t>
            </w:r>
            <w:r w:rsidRPr="004406DE">
              <w:rPr>
                <w:lang w:val="sv-FI"/>
              </w:rPr>
              <w:t>r</w:t>
            </w:r>
            <w:r w:rsidRPr="004406DE">
              <w:rPr>
                <w:lang w:val="sv-FI"/>
              </w:rPr>
              <w:t>handlingar samt autonoma åtgä</w:t>
            </w:r>
            <w:r w:rsidRPr="004406DE">
              <w:rPr>
                <w:lang w:val="sv-FI"/>
              </w:rPr>
              <w:t>r</w:t>
            </w:r>
            <w:r w:rsidRPr="004406DE">
              <w:rPr>
                <w:lang w:val="sv-FI"/>
              </w:rPr>
              <w:t>der. Politiska riktlinjer på alla dessa områden för de nästa fem åren ska ingå.</w:t>
            </w:r>
          </w:p>
        </w:tc>
      </w:tr>
      <w:tr w:rsidR="004406DE" w:rsidRPr="004406DE" w:rsidTr="00A41B6E">
        <w:tc>
          <w:tcPr>
            <w:tcW w:w="1985" w:type="dxa"/>
            <w:shd w:val="clear" w:color="auto" w:fill="auto"/>
          </w:tcPr>
          <w:p w:rsidR="004406DE" w:rsidRPr="004406DE" w:rsidRDefault="004406DE" w:rsidP="004406DE">
            <w:pPr>
              <w:pStyle w:val="ANormal"/>
              <w:rPr>
                <w:b/>
              </w:rPr>
            </w:pPr>
            <w:r w:rsidRPr="004406DE">
              <w:rPr>
                <w:b/>
                <w:bCs/>
                <w:lang w:val="sv-FI"/>
              </w:rPr>
              <w:lastRenderedPageBreak/>
              <w:t>En starkare global aktör</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rPr>
                <w:lang w:val="sv-FI"/>
              </w:rPr>
            </w:pPr>
            <w:r w:rsidRPr="004406DE">
              <w:rPr>
                <w:lang w:val="sv-FI"/>
              </w:rPr>
              <w:t>Meddelande om målen för hållbar</w:t>
            </w:r>
          </w:p>
          <w:p w:rsidR="004406DE" w:rsidRPr="004406DE" w:rsidRDefault="004406DE" w:rsidP="004406DE">
            <w:pPr>
              <w:pStyle w:val="ANormal"/>
            </w:pPr>
            <w:r w:rsidRPr="004406DE">
              <w:rPr>
                <w:lang w:val="sv-FI"/>
              </w:rPr>
              <w:t>utveckling efter 2015</w:t>
            </w:r>
          </w:p>
        </w:tc>
        <w:tc>
          <w:tcPr>
            <w:tcW w:w="1559" w:type="dxa"/>
            <w:shd w:val="clear" w:color="auto" w:fill="auto"/>
          </w:tcPr>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rPr>
                <w:lang w:val="sv-FI"/>
              </w:rPr>
            </w:pPr>
            <w:r w:rsidRPr="004406DE">
              <w:rPr>
                <w:lang w:val="sv-FI"/>
              </w:rPr>
              <w:t>Syftet med meddelandet är att slå fast EU:s gemensamma instäl</w:t>
            </w:r>
            <w:r w:rsidRPr="004406DE">
              <w:rPr>
                <w:lang w:val="sv-FI"/>
              </w:rPr>
              <w:t>l</w:t>
            </w:r>
            <w:r w:rsidRPr="004406DE">
              <w:rPr>
                <w:lang w:val="sv-FI"/>
              </w:rPr>
              <w:t>ning till det globala partnerskapet för att nå målen för hållbar u</w:t>
            </w:r>
            <w:r w:rsidRPr="004406DE">
              <w:rPr>
                <w:lang w:val="sv-FI"/>
              </w:rPr>
              <w:t>t</w:t>
            </w:r>
            <w:r w:rsidRPr="004406DE">
              <w:rPr>
                <w:lang w:val="sv-FI"/>
              </w:rPr>
              <w:t>veckling. Här ingår både ekon</w:t>
            </w:r>
            <w:r w:rsidRPr="004406DE">
              <w:rPr>
                <w:lang w:val="sv-FI"/>
              </w:rPr>
              <w:t>o</w:t>
            </w:r>
            <w:r w:rsidRPr="004406DE">
              <w:rPr>
                <w:lang w:val="sv-FI"/>
              </w:rPr>
              <w:t>miskt och annat genomförande, inhemsk/internationell och offen</w:t>
            </w:r>
            <w:r w:rsidRPr="004406DE">
              <w:rPr>
                <w:lang w:val="sv-FI"/>
              </w:rPr>
              <w:t>t</w:t>
            </w:r>
            <w:r w:rsidRPr="004406DE">
              <w:rPr>
                <w:lang w:val="sv-FI"/>
              </w:rPr>
              <w:t>lig/</w:t>
            </w:r>
          </w:p>
          <w:p w:rsidR="004406DE" w:rsidRPr="004406DE" w:rsidRDefault="004406DE" w:rsidP="004406DE">
            <w:pPr>
              <w:pStyle w:val="ANormal"/>
              <w:rPr>
                <w:lang w:val="sv-FI"/>
              </w:rPr>
            </w:pPr>
            <w:r w:rsidRPr="004406DE">
              <w:rPr>
                <w:lang w:val="sv-FI"/>
              </w:rPr>
              <w:t>privat finansiering, olika former av partnerskap samt former för övervakning, redovisningssky</w:t>
            </w:r>
            <w:r w:rsidRPr="004406DE">
              <w:rPr>
                <w:lang w:val="sv-FI"/>
              </w:rPr>
              <w:t>l</w:t>
            </w:r>
            <w:r w:rsidRPr="004406DE">
              <w:rPr>
                <w:lang w:val="sv-FI"/>
              </w:rPr>
              <w:t>dighet och översyn.</w:t>
            </w:r>
          </w:p>
        </w:tc>
      </w:tr>
      <w:tr w:rsidR="004406DE" w:rsidRPr="004406DE" w:rsidTr="00A41B6E">
        <w:tc>
          <w:tcPr>
            <w:tcW w:w="1985" w:type="dxa"/>
            <w:shd w:val="clear" w:color="auto" w:fill="auto"/>
          </w:tcPr>
          <w:p w:rsidR="004406DE" w:rsidRPr="004406DE" w:rsidRDefault="004406DE" w:rsidP="004406DE">
            <w:pPr>
              <w:pStyle w:val="ANormal"/>
              <w:rPr>
                <w:b/>
              </w:rPr>
            </w:pPr>
            <w:r w:rsidRPr="004406DE">
              <w:rPr>
                <w:b/>
                <w:bCs/>
                <w:lang w:val="sv-FI"/>
              </w:rPr>
              <w:t>En motståndskra</w:t>
            </w:r>
            <w:r w:rsidRPr="004406DE">
              <w:rPr>
                <w:b/>
                <w:bCs/>
                <w:lang w:val="sv-FI"/>
              </w:rPr>
              <w:t>f</w:t>
            </w:r>
            <w:r w:rsidRPr="004406DE">
              <w:rPr>
                <w:b/>
                <w:bCs/>
                <w:lang w:val="sv-FI"/>
              </w:rPr>
              <w:t>tig energiunion och en framå</w:t>
            </w:r>
            <w:r w:rsidRPr="004406DE">
              <w:rPr>
                <w:b/>
                <w:bCs/>
                <w:lang w:val="sv-FI"/>
              </w:rPr>
              <w:t>t</w:t>
            </w:r>
            <w:r w:rsidRPr="004406DE">
              <w:rPr>
                <w:b/>
                <w:bCs/>
                <w:lang w:val="sv-FI"/>
              </w:rPr>
              <w:t>blickande klima</w:t>
            </w:r>
            <w:r w:rsidRPr="004406DE">
              <w:rPr>
                <w:b/>
                <w:bCs/>
                <w:lang w:val="sv-FI"/>
              </w:rPr>
              <w:t>t</w:t>
            </w:r>
            <w:r w:rsidRPr="004406DE">
              <w:rPr>
                <w:b/>
                <w:bCs/>
                <w:lang w:val="sv-FI"/>
              </w:rPr>
              <w:t>politik</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rPr>
                <w:lang w:val="sv-FI"/>
              </w:rPr>
            </w:pPr>
            <w:r w:rsidRPr="004406DE">
              <w:rPr>
                <w:lang w:val="sv-FI"/>
              </w:rPr>
              <w:t>Strategisk ram för energiunionen</w:t>
            </w:r>
          </w:p>
        </w:tc>
        <w:tc>
          <w:tcPr>
            <w:tcW w:w="1559" w:type="dxa"/>
            <w:shd w:val="clear" w:color="auto" w:fill="auto"/>
          </w:tcPr>
          <w:p w:rsidR="004406DE" w:rsidRPr="004406DE" w:rsidRDefault="004406DE" w:rsidP="004406DE">
            <w:pPr>
              <w:pStyle w:val="ANormal"/>
            </w:pPr>
            <w:r w:rsidRPr="004406DE">
              <w:t>Lagstiftning/</w:t>
            </w:r>
          </w:p>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rPr>
                <w:lang w:val="sv-FI"/>
              </w:rPr>
            </w:pPr>
            <w:r w:rsidRPr="004406DE">
              <w:rPr>
                <w:lang w:val="sv-FI"/>
              </w:rPr>
              <w:t>Den strategiska ramen inriktas på försörjningstrygghet i fråga om energi; integrering av nationella</w:t>
            </w:r>
          </w:p>
          <w:p w:rsidR="004406DE" w:rsidRPr="004406DE" w:rsidRDefault="004406DE" w:rsidP="004406DE">
            <w:pPr>
              <w:pStyle w:val="ANormal"/>
              <w:rPr>
                <w:lang w:val="sv-FI"/>
              </w:rPr>
            </w:pPr>
            <w:r w:rsidRPr="004406DE">
              <w:rPr>
                <w:lang w:val="sv-FI"/>
              </w:rPr>
              <w:t>energimarknader, minskning av efterfrågan på energi i EU, mindre andel koldioxidtunga energikällor i energimixen samt främjande av forskning och innovation på ene</w:t>
            </w:r>
            <w:r w:rsidRPr="004406DE">
              <w:rPr>
                <w:lang w:val="sv-FI"/>
              </w:rPr>
              <w:t>r</w:t>
            </w:r>
            <w:r w:rsidRPr="004406DE">
              <w:rPr>
                <w:lang w:val="sv-FI"/>
              </w:rPr>
              <w:t>giområdet. Här ingår även en översyn av EU:s system för ha</w:t>
            </w:r>
            <w:r w:rsidRPr="004406DE">
              <w:rPr>
                <w:lang w:val="sv-FI"/>
              </w:rPr>
              <w:t>n</w:t>
            </w:r>
            <w:r w:rsidRPr="004406DE">
              <w:rPr>
                <w:lang w:val="sv-FI"/>
              </w:rPr>
              <w:t>del med utsläppsrätter som en del av regelverket efter 2020.</w:t>
            </w:r>
          </w:p>
        </w:tc>
      </w:tr>
      <w:tr w:rsidR="004406DE" w:rsidRPr="004406DE" w:rsidTr="00A41B6E">
        <w:tc>
          <w:tcPr>
            <w:tcW w:w="1985" w:type="dxa"/>
            <w:shd w:val="clear" w:color="auto" w:fill="auto"/>
          </w:tcPr>
          <w:p w:rsidR="004406DE" w:rsidRPr="004406DE" w:rsidRDefault="004406DE" w:rsidP="004406DE">
            <w:pPr>
              <w:pStyle w:val="ANormal"/>
              <w:rPr>
                <w:lang w:val="sv-FI"/>
              </w:rPr>
            </w:pPr>
            <w:r w:rsidRPr="004406DE">
              <w:rPr>
                <w:lang w:val="sv-FI"/>
              </w:rPr>
              <w:t>Meddelande om vägen till Paris –</w:t>
            </w:r>
          </w:p>
          <w:p w:rsidR="004406DE" w:rsidRPr="004406DE" w:rsidRDefault="004406DE" w:rsidP="004406DE">
            <w:pPr>
              <w:pStyle w:val="ANormal"/>
            </w:pPr>
            <w:r w:rsidRPr="004406DE">
              <w:rPr>
                <w:lang w:val="sv-FI"/>
              </w:rPr>
              <w:t>multilateralt svar på klimat-förändringarna</w:t>
            </w:r>
          </w:p>
        </w:tc>
        <w:tc>
          <w:tcPr>
            <w:tcW w:w="1559" w:type="dxa"/>
            <w:shd w:val="clear" w:color="auto" w:fill="auto"/>
          </w:tcPr>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pPr>
            <w:r w:rsidRPr="004406DE">
              <w:rPr>
                <w:lang w:val="sv-FI"/>
              </w:rPr>
              <w:t>Målet är att skissera EU:s syn och förväntningar och förklara par</w:t>
            </w:r>
            <w:r w:rsidRPr="004406DE">
              <w:rPr>
                <w:lang w:val="sv-FI"/>
              </w:rPr>
              <w:t>t</w:t>
            </w:r>
            <w:r w:rsidRPr="004406DE">
              <w:rPr>
                <w:lang w:val="sv-FI"/>
              </w:rPr>
              <w:t>nerländernas ambitioner mot ba</w:t>
            </w:r>
            <w:r w:rsidRPr="004406DE">
              <w:rPr>
                <w:lang w:val="sv-FI"/>
              </w:rPr>
              <w:t>k</w:t>
            </w:r>
            <w:r w:rsidRPr="004406DE">
              <w:rPr>
                <w:lang w:val="sv-FI"/>
              </w:rPr>
              <w:t>grund av 2015 års avtal, och ange EU:s bidrag i enlighet med Eur</w:t>
            </w:r>
            <w:r w:rsidRPr="004406DE">
              <w:rPr>
                <w:lang w:val="sv-FI"/>
              </w:rPr>
              <w:t>o</w:t>
            </w:r>
            <w:r w:rsidRPr="004406DE">
              <w:rPr>
                <w:lang w:val="sv-FI"/>
              </w:rPr>
              <w:t xml:space="preserve">peiska rådets slutsatser av den 24 oktober. </w:t>
            </w:r>
          </w:p>
        </w:tc>
      </w:tr>
      <w:tr w:rsidR="004406DE" w:rsidRPr="004406DE" w:rsidTr="00A41B6E">
        <w:tc>
          <w:tcPr>
            <w:tcW w:w="1985" w:type="dxa"/>
            <w:shd w:val="clear" w:color="auto" w:fill="auto"/>
          </w:tcPr>
          <w:p w:rsidR="004406DE" w:rsidRPr="004406DE" w:rsidRDefault="004406DE" w:rsidP="004406DE">
            <w:pPr>
              <w:pStyle w:val="ANormal"/>
              <w:rPr>
                <w:b/>
              </w:rPr>
            </w:pPr>
            <w:r w:rsidRPr="004406DE">
              <w:rPr>
                <w:b/>
                <w:bCs/>
                <w:lang w:val="sv-FI"/>
              </w:rPr>
              <w:t>En samman-kopplad digital inre marknad</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pPr>
            <w:r w:rsidRPr="004406DE">
              <w:rPr>
                <w:lang w:val="sv-FI"/>
              </w:rPr>
              <w:t>Paketet för en dig</w:t>
            </w:r>
            <w:r w:rsidRPr="004406DE">
              <w:rPr>
                <w:lang w:val="sv-FI"/>
              </w:rPr>
              <w:t>i</w:t>
            </w:r>
            <w:r w:rsidRPr="004406DE">
              <w:rPr>
                <w:lang w:val="sv-FI"/>
              </w:rPr>
              <w:t>tal inre marknad</w:t>
            </w:r>
          </w:p>
        </w:tc>
        <w:tc>
          <w:tcPr>
            <w:tcW w:w="1559" w:type="dxa"/>
            <w:shd w:val="clear" w:color="auto" w:fill="auto"/>
          </w:tcPr>
          <w:p w:rsidR="004406DE" w:rsidRPr="004406DE" w:rsidRDefault="004406DE" w:rsidP="004406DE">
            <w:pPr>
              <w:pStyle w:val="ANormal"/>
            </w:pPr>
            <w:r w:rsidRPr="004406DE">
              <w:t>Lagstiftning/</w:t>
            </w:r>
          </w:p>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rPr>
                <w:lang w:val="sv-FI"/>
              </w:rPr>
            </w:pPr>
            <w:r w:rsidRPr="004406DE">
              <w:rPr>
                <w:lang w:val="sv-FI"/>
              </w:rPr>
              <w:t>Målet är att konsumenterna ska ha gränsöverskridande tillgång till digitala tjänster, att företagen ska få lika villkor och att det ska skapas förutsättningar för en liv</w:t>
            </w:r>
            <w:r w:rsidRPr="004406DE">
              <w:rPr>
                <w:lang w:val="sv-FI"/>
              </w:rPr>
              <w:t>s</w:t>
            </w:r>
            <w:r w:rsidRPr="004406DE">
              <w:rPr>
                <w:lang w:val="sv-FI"/>
              </w:rPr>
              <w:t>kraftig digital ekonomi och ett d</w:t>
            </w:r>
            <w:r w:rsidRPr="004406DE">
              <w:rPr>
                <w:lang w:val="sv-FI"/>
              </w:rPr>
              <w:t>i</w:t>
            </w:r>
            <w:r w:rsidRPr="004406DE">
              <w:rPr>
                <w:lang w:val="sv-FI"/>
              </w:rPr>
              <w:t>gitalt samhälle.</w:t>
            </w:r>
          </w:p>
          <w:p w:rsidR="004406DE" w:rsidRPr="004406DE" w:rsidRDefault="004406DE" w:rsidP="004406DE">
            <w:pPr>
              <w:pStyle w:val="ANormal"/>
            </w:pPr>
            <w:r w:rsidRPr="004406DE">
              <w:rPr>
                <w:lang w:val="sv-FI"/>
              </w:rPr>
              <w:t>Här ingår även lagstiftning om bl.a. en moderniserad upphovsrätt.</w:t>
            </w:r>
          </w:p>
        </w:tc>
      </w:tr>
      <w:tr w:rsidR="004406DE" w:rsidRPr="004406DE" w:rsidTr="00A41B6E">
        <w:tc>
          <w:tcPr>
            <w:tcW w:w="1985" w:type="dxa"/>
            <w:shd w:val="clear" w:color="auto" w:fill="auto"/>
          </w:tcPr>
          <w:p w:rsidR="002241C6" w:rsidRDefault="002241C6" w:rsidP="004406DE">
            <w:pPr>
              <w:pStyle w:val="ANormal"/>
              <w:rPr>
                <w:b/>
                <w:bCs/>
                <w:lang w:val="sv-FI"/>
              </w:rPr>
            </w:pPr>
          </w:p>
          <w:p w:rsidR="004406DE" w:rsidRPr="004406DE" w:rsidRDefault="004406DE" w:rsidP="004406DE">
            <w:pPr>
              <w:pStyle w:val="ANormal"/>
              <w:rPr>
                <w:b/>
              </w:rPr>
            </w:pPr>
            <w:r w:rsidRPr="004406DE">
              <w:rPr>
                <w:b/>
                <w:bCs/>
                <w:lang w:val="sv-FI"/>
              </w:rPr>
              <w:lastRenderedPageBreak/>
              <w:t>En djupare och mer rättvis ek</w:t>
            </w:r>
            <w:r w:rsidRPr="004406DE">
              <w:rPr>
                <w:b/>
                <w:bCs/>
                <w:lang w:val="sv-FI"/>
              </w:rPr>
              <w:t>o</w:t>
            </w:r>
            <w:r w:rsidRPr="004406DE">
              <w:rPr>
                <w:b/>
                <w:bCs/>
                <w:lang w:val="sv-FI"/>
              </w:rPr>
              <w:t>nomisk och mon</w:t>
            </w:r>
            <w:r w:rsidRPr="004406DE">
              <w:rPr>
                <w:b/>
                <w:bCs/>
                <w:lang w:val="sv-FI"/>
              </w:rPr>
              <w:t>e</w:t>
            </w:r>
            <w:r w:rsidRPr="004406DE">
              <w:rPr>
                <w:b/>
                <w:bCs/>
                <w:lang w:val="sv-FI"/>
              </w:rPr>
              <w:t>tär union</w:t>
            </w:r>
          </w:p>
        </w:tc>
        <w:tc>
          <w:tcPr>
            <w:tcW w:w="1559" w:type="dxa"/>
            <w:shd w:val="clear" w:color="auto" w:fill="auto"/>
          </w:tcPr>
          <w:p w:rsidR="004406DE" w:rsidRPr="004406DE" w:rsidRDefault="004406DE" w:rsidP="004406DE">
            <w:pPr>
              <w:pStyle w:val="ANormal"/>
            </w:pPr>
          </w:p>
        </w:tc>
        <w:tc>
          <w:tcPr>
            <w:tcW w:w="3260" w:type="dxa"/>
            <w:shd w:val="clear" w:color="auto" w:fill="auto"/>
          </w:tcPr>
          <w:p w:rsidR="004406DE" w:rsidRPr="004406DE" w:rsidRDefault="004406DE" w:rsidP="004406DE">
            <w:pPr>
              <w:pStyle w:val="ANormal"/>
            </w:pPr>
          </w:p>
        </w:tc>
      </w:tr>
      <w:tr w:rsidR="004406DE" w:rsidRPr="004406DE" w:rsidTr="00A41B6E">
        <w:tc>
          <w:tcPr>
            <w:tcW w:w="1985" w:type="dxa"/>
            <w:shd w:val="clear" w:color="auto" w:fill="auto"/>
          </w:tcPr>
          <w:p w:rsidR="004406DE" w:rsidRPr="004406DE" w:rsidRDefault="004406DE" w:rsidP="004406DE">
            <w:pPr>
              <w:pStyle w:val="ANormal"/>
              <w:rPr>
                <w:lang w:val="sv-FI"/>
              </w:rPr>
            </w:pPr>
            <w:r w:rsidRPr="004406DE">
              <w:rPr>
                <w:lang w:val="sv-FI"/>
              </w:rPr>
              <w:lastRenderedPageBreak/>
              <w:t>Förslag till direktiv om obligatoriskt</w:t>
            </w:r>
          </w:p>
          <w:p w:rsidR="004406DE" w:rsidRPr="004406DE" w:rsidRDefault="004406DE" w:rsidP="004406DE">
            <w:pPr>
              <w:pStyle w:val="ANormal"/>
              <w:rPr>
                <w:lang w:val="sv-FI"/>
              </w:rPr>
            </w:pPr>
            <w:r w:rsidRPr="004406DE">
              <w:rPr>
                <w:lang w:val="sv-FI"/>
              </w:rPr>
              <w:t>informationsutbyte i fråga om</w:t>
            </w:r>
          </w:p>
          <w:p w:rsidR="004406DE" w:rsidRPr="004406DE" w:rsidRDefault="004406DE" w:rsidP="004406DE">
            <w:pPr>
              <w:pStyle w:val="ANormal"/>
            </w:pPr>
            <w:r w:rsidRPr="004406DE">
              <w:rPr>
                <w:lang w:val="sv-FI"/>
              </w:rPr>
              <w:t>gränsöverskridande skattebeslut</w:t>
            </w:r>
          </w:p>
        </w:tc>
        <w:tc>
          <w:tcPr>
            <w:tcW w:w="1559" w:type="dxa"/>
            <w:shd w:val="clear" w:color="auto" w:fill="auto"/>
          </w:tcPr>
          <w:p w:rsidR="004406DE" w:rsidRPr="004406DE" w:rsidRDefault="004406DE" w:rsidP="004406DE">
            <w:pPr>
              <w:pStyle w:val="ANormal"/>
            </w:pPr>
            <w:r w:rsidRPr="004406DE">
              <w:t>Lagstiftning</w:t>
            </w:r>
          </w:p>
        </w:tc>
        <w:tc>
          <w:tcPr>
            <w:tcW w:w="3260" w:type="dxa"/>
            <w:shd w:val="clear" w:color="auto" w:fill="auto"/>
          </w:tcPr>
          <w:p w:rsidR="004406DE" w:rsidRPr="004406DE" w:rsidRDefault="004406DE" w:rsidP="004406DE">
            <w:pPr>
              <w:pStyle w:val="ANormal"/>
            </w:pPr>
            <w:r w:rsidRPr="004406DE">
              <w:rPr>
                <w:lang w:val="sv-FI"/>
              </w:rPr>
              <w:t>Det föreslagna direktivet är tänkt att reglera informationsutbyte mellan skattemyndigheterna i olika medlemsstater i fråga om förhandsbesked och tillämpning av rättsliga bestämmelser i e</w:t>
            </w:r>
            <w:r w:rsidRPr="004406DE">
              <w:rPr>
                <w:lang w:val="sv-FI"/>
              </w:rPr>
              <w:t>n</w:t>
            </w:r>
            <w:r w:rsidRPr="004406DE">
              <w:rPr>
                <w:lang w:val="sv-FI"/>
              </w:rPr>
              <w:t>skilda skattebetalares gränsöve</w:t>
            </w:r>
            <w:r w:rsidRPr="004406DE">
              <w:rPr>
                <w:lang w:val="sv-FI"/>
              </w:rPr>
              <w:t>r</w:t>
            </w:r>
            <w:r w:rsidRPr="004406DE">
              <w:rPr>
                <w:lang w:val="sv-FI"/>
              </w:rPr>
              <w:t xml:space="preserve">skridande ärenden. </w:t>
            </w:r>
          </w:p>
        </w:tc>
      </w:tr>
      <w:tr w:rsidR="004406DE" w:rsidRPr="004406DE" w:rsidTr="00A41B6E">
        <w:tc>
          <w:tcPr>
            <w:tcW w:w="1985" w:type="dxa"/>
            <w:shd w:val="clear" w:color="auto" w:fill="auto"/>
          </w:tcPr>
          <w:p w:rsidR="004406DE" w:rsidRPr="004406DE" w:rsidRDefault="004406DE" w:rsidP="004406DE">
            <w:pPr>
              <w:pStyle w:val="ANormal"/>
              <w:rPr>
                <w:lang w:val="sv-FI"/>
              </w:rPr>
            </w:pPr>
            <w:r w:rsidRPr="004406DE">
              <w:rPr>
                <w:lang w:val="sv-FI"/>
              </w:rPr>
              <w:t>Handlingsplan mot skatteflykt och</w:t>
            </w:r>
          </w:p>
          <w:p w:rsidR="004406DE" w:rsidRPr="004406DE" w:rsidRDefault="004406DE" w:rsidP="004406DE">
            <w:pPr>
              <w:pStyle w:val="ANormal"/>
              <w:rPr>
                <w:lang w:val="sv-FI"/>
              </w:rPr>
            </w:pPr>
            <w:r w:rsidRPr="004406DE">
              <w:rPr>
                <w:lang w:val="sv-FI"/>
              </w:rPr>
              <w:t>skattebrott, inb</w:t>
            </w:r>
            <w:r w:rsidRPr="004406DE">
              <w:rPr>
                <w:lang w:val="sv-FI"/>
              </w:rPr>
              <w:t>e</w:t>
            </w:r>
            <w:r w:rsidRPr="004406DE">
              <w:rPr>
                <w:lang w:val="sv-FI"/>
              </w:rPr>
              <w:t>gripet ett me</w:t>
            </w:r>
            <w:r w:rsidRPr="004406DE">
              <w:rPr>
                <w:lang w:val="sv-FI"/>
              </w:rPr>
              <w:t>d</w:t>
            </w:r>
            <w:r w:rsidRPr="004406DE">
              <w:rPr>
                <w:lang w:val="sv-FI"/>
              </w:rPr>
              <w:t>delande</w:t>
            </w:r>
          </w:p>
          <w:p w:rsidR="004406DE" w:rsidRPr="004406DE" w:rsidRDefault="004406DE" w:rsidP="004406DE">
            <w:pPr>
              <w:pStyle w:val="ANormal"/>
              <w:rPr>
                <w:lang w:val="sv-FI"/>
              </w:rPr>
            </w:pPr>
            <w:r w:rsidRPr="004406DE">
              <w:rPr>
                <w:lang w:val="sv-FI"/>
              </w:rPr>
              <w:t>om ett nytt tillv</w:t>
            </w:r>
            <w:r w:rsidRPr="004406DE">
              <w:rPr>
                <w:lang w:val="sv-FI"/>
              </w:rPr>
              <w:t>ä</w:t>
            </w:r>
            <w:r w:rsidRPr="004406DE">
              <w:rPr>
                <w:lang w:val="sv-FI"/>
              </w:rPr>
              <w:t>gagångssätt för b</w:t>
            </w:r>
            <w:r w:rsidRPr="004406DE">
              <w:rPr>
                <w:lang w:val="sv-FI"/>
              </w:rPr>
              <w:t>o</w:t>
            </w:r>
            <w:r w:rsidRPr="004406DE">
              <w:rPr>
                <w:lang w:val="sv-FI"/>
              </w:rPr>
              <w:t>lagsbeskattning på den inre marknaden mot bakgrund av den globala u</w:t>
            </w:r>
            <w:r w:rsidRPr="004406DE">
              <w:rPr>
                <w:lang w:val="sv-FI"/>
              </w:rPr>
              <w:t>t</w:t>
            </w:r>
            <w:r w:rsidRPr="004406DE">
              <w:rPr>
                <w:lang w:val="sv-FI"/>
              </w:rPr>
              <w:t>vecklingen</w:t>
            </w:r>
          </w:p>
        </w:tc>
        <w:tc>
          <w:tcPr>
            <w:tcW w:w="1559" w:type="dxa"/>
            <w:shd w:val="clear" w:color="auto" w:fill="auto"/>
          </w:tcPr>
          <w:p w:rsidR="004406DE" w:rsidRPr="004406DE" w:rsidRDefault="004406DE" w:rsidP="004406DE">
            <w:pPr>
              <w:pStyle w:val="ANormal"/>
            </w:pPr>
            <w:r w:rsidRPr="004406DE">
              <w:t>Icke-lagstiftning</w:t>
            </w:r>
          </w:p>
        </w:tc>
        <w:tc>
          <w:tcPr>
            <w:tcW w:w="3260" w:type="dxa"/>
            <w:shd w:val="clear" w:color="auto" w:fill="auto"/>
          </w:tcPr>
          <w:p w:rsidR="004406DE" w:rsidRPr="004406DE" w:rsidRDefault="004406DE" w:rsidP="004406DE">
            <w:pPr>
              <w:pStyle w:val="ANormal"/>
            </w:pPr>
            <w:r w:rsidRPr="004406DE">
              <w:t>Handlingsplanen bygger på arb</w:t>
            </w:r>
            <w:r w:rsidRPr="004406DE">
              <w:t>e</w:t>
            </w:r>
            <w:r w:rsidRPr="004406DE">
              <w:t>tet i fråga om underminering av skattebaser och vinstdelning i OECD och G20, och planen o</w:t>
            </w:r>
            <w:r w:rsidRPr="004406DE">
              <w:t>m</w:t>
            </w:r>
            <w:r w:rsidRPr="004406DE">
              <w:t>fattar EU-åtgärder för att gå över till ett system där landet där vin</w:t>
            </w:r>
            <w:r w:rsidRPr="004406DE">
              <w:t>s</w:t>
            </w:r>
            <w:r w:rsidRPr="004406DE">
              <w:t>ten uppstår också är det land som tar ut skatt, även i den digitala ekonomin. Syftet med meddela</w:t>
            </w:r>
            <w:r w:rsidRPr="004406DE">
              <w:t>n</w:t>
            </w:r>
            <w:r w:rsidRPr="004406DE">
              <w:t>det är att stabilisera bolagsskatt</w:t>
            </w:r>
            <w:r w:rsidRPr="004406DE">
              <w:t>e</w:t>
            </w:r>
            <w:r w:rsidRPr="004406DE">
              <w:t>basen i EU för en rättvis skatt</w:t>
            </w:r>
            <w:r w:rsidRPr="004406DE">
              <w:t>e</w:t>
            </w:r>
            <w:r w:rsidRPr="004406DE">
              <w:t>miljö, inbegripet en nystart av a</w:t>
            </w:r>
            <w:r w:rsidRPr="004406DE">
              <w:t>r</w:t>
            </w:r>
            <w:r w:rsidRPr="004406DE">
              <w:t>betet med en gemensam konsol</w:t>
            </w:r>
            <w:r w:rsidRPr="004406DE">
              <w:t>i</w:t>
            </w:r>
            <w:r w:rsidRPr="004406DE">
              <w:t>derad bolagsskattebas.</w:t>
            </w:r>
          </w:p>
        </w:tc>
      </w:tr>
    </w:tbl>
    <w:p w:rsidR="004406DE" w:rsidRPr="004406DE" w:rsidRDefault="004406DE" w:rsidP="004406DE">
      <w:pPr>
        <w:pStyle w:val="ANormal"/>
      </w:pPr>
    </w:p>
    <w:p w:rsidR="004406DE" w:rsidRPr="004406DE" w:rsidRDefault="004406DE" w:rsidP="004406DE">
      <w:pPr>
        <w:pStyle w:val="Rubrik2"/>
      </w:pPr>
      <w:bookmarkStart w:id="92" w:name="_Toc410897678"/>
      <w:bookmarkStart w:id="93" w:name="_Toc412712695"/>
      <w:r w:rsidRPr="00386441">
        <w:t>3.4 Lagstiftning som kommit under 2014</w:t>
      </w:r>
      <w:bookmarkEnd w:id="92"/>
      <w:bookmarkEnd w:id="93"/>
    </w:p>
    <w:p w:rsidR="004406DE" w:rsidRPr="004406DE" w:rsidRDefault="004406DE" w:rsidP="005242BE">
      <w:r w:rsidRPr="004406DE">
        <w:t>Ovan behandlades de prioriteringar som landskapsregeringen gjort i de fr</w:t>
      </w:r>
      <w:r w:rsidRPr="004406DE">
        <w:t>å</w:t>
      </w:r>
      <w:r w:rsidRPr="004406DE">
        <w:t>gor där Åland inte enbart ska lägga resurser på att genomföra befintlig EU-lagstiftning, utan försöka påverka EU:s initiativ till lagstiftning. Nedan b</w:t>
      </w:r>
      <w:r w:rsidRPr="004406DE">
        <w:t>e</w:t>
      </w:r>
      <w:r w:rsidRPr="004406DE">
        <w:t>handlas EU-lagstiftning som kommit under året i sådana frågor som lan</w:t>
      </w:r>
      <w:r w:rsidRPr="004406DE">
        <w:t>d</w:t>
      </w:r>
      <w:r w:rsidRPr="004406DE">
        <w:t>skapsregeringen prioriterat och där man försökt påverka den kommande lagstiftningen.</w:t>
      </w:r>
    </w:p>
    <w:p w:rsidR="004406DE" w:rsidRPr="004406DE" w:rsidRDefault="004406DE" w:rsidP="004406DE">
      <w:pPr>
        <w:pStyle w:val="Rubrik3"/>
      </w:pPr>
      <w:bookmarkStart w:id="94" w:name="_Toc410897679"/>
      <w:bookmarkStart w:id="95" w:name="_Toc412712696"/>
      <w:r w:rsidRPr="00E47DAE">
        <w:t>3.4.1 Ändring av tobaksdirektivet</w:t>
      </w:r>
      <w:bookmarkEnd w:id="94"/>
      <w:bookmarkEnd w:id="95"/>
    </w:p>
    <w:p w:rsidR="004406DE" w:rsidRPr="004406DE" w:rsidRDefault="008B3251" w:rsidP="005242BE">
      <w:r>
        <w:t xml:space="preserve">Efter att </w:t>
      </w:r>
      <w:r w:rsidR="004406DE" w:rsidRPr="004406DE">
        <w:t>kommissionen under flera år förberett en ändring av Europaparl</w:t>
      </w:r>
      <w:r w:rsidR="004406DE" w:rsidRPr="004406DE">
        <w:t>a</w:t>
      </w:r>
      <w:r w:rsidR="004406DE" w:rsidRPr="004406DE">
        <w:t>mentets och rådets direktiv 2001/37/EG om tillnärmning av medlemsstate</w:t>
      </w:r>
      <w:r w:rsidR="004406DE" w:rsidRPr="004406DE">
        <w:t>r</w:t>
      </w:r>
      <w:r w:rsidR="004406DE" w:rsidRPr="004406DE">
        <w:t>nas lagar och andra författningar om tillverkning, presentation och försäl</w:t>
      </w:r>
      <w:r w:rsidR="004406DE" w:rsidRPr="004406DE">
        <w:t>j</w:t>
      </w:r>
      <w:r w:rsidR="004406DE" w:rsidRPr="004406DE">
        <w:t xml:space="preserve">ning av tobaksvaror kom den 19 december 2012 slutligen </w:t>
      </w:r>
      <w:r>
        <w:t>k</w:t>
      </w:r>
      <w:r w:rsidR="004406DE" w:rsidRPr="004406DE">
        <w:t>ommissionens initiativ till ändring av direktivet om tobaksvaror där det nuvarande snu</w:t>
      </w:r>
      <w:r w:rsidR="004406DE" w:rsidRPr="004406DE">
        <w:t>s</w:t>
      </w:r>
      <w:r w:rsidR="004406DE" w:rsidRPr="004406DE">
        <w:t>förbudet kvarstår. Landskapsregeringen har aktivt försökt påverka initiat</w:t>
      </w:r>
      <w:r w:rsidR="004406DE" w:rsidRPr="004406DE">
        <w:t>i</w:t>
      </w:r>
      <w:r w:rsidR="004406DE" w:rsidRPr="004406DE">
        <w:t>vets utformning innan det kom, genom att delta direkt i kommissionens konsultationer samt i rikets beredning av Finlands ställningstagande i ko</w:t>
      </w:r>
      <w:r w:rsidR="004406DE" w:rsidRPr="004406DE">
        <w:t>n</w:t>
      </w:r>
      <w:r w:rsidR="004406DE" w:rsidRPr="004406DE">
        <w:t>sultationen för medlemsstaterna. Landskapsregeringen har hela tiden arb</w:t>
      </w:r>
      <w:r w:rsidR="004406DE" w:rsidRPr="004406DE">
        <w:t>e</w:t>
      </w:r>
      <w:r w:rsidR="004406DE" w:rsidRPr="004406DE">
        <w:t>tat aktivt med frågan mot social- och hälsovårdsministeriet</w:t>
      </w:r>
      <w:r>
        <w:t xml:space="preserve"> och i direkta kontakter med </w:t>
      </w:r>
      <w:r w:rsidR="004406DE" w:rsidRPr="004406DE">
        <w:t xml:space="preserve">kommissionen. Landskapsregeringen har även samarbetat med den svenska regeringen. </w:t>
      </w:r>
    </w:p>
    <w:p w:rsidR="004406DE" w:rsidRPr="004406DE" w:rsidRDefault="004406DE" w:rsidP="00023C6C">
      <w:pPr>
        <w:ind w:firstLine="284"/>
      </w:pPr>
      <w:r w:rsidRPr="004406DE">
        <w:t>Landskapsregeringens positioner är att alla produkter för användning i munnen bör behandlas lika. Så länge förbudet mot snus kvarstår anser lan</w:t>
      </w:r>
      <w:r w:rsidRPr="004406DE">
        <w:t>d</w:t>
      </w:r>
      <w:r w:rsidRPr="004406DE">
        <w:t>skapsregeringen att det ska kombineras med en bestämmelse som möjli</w:t>
      </w:r>
      <w:r w:rsidRPr="004406DE">
        <w:t>g</w:t>
      </w:r>
      <w:r w:rsidRPr="004406DE">
        <w:t>gör för medlemsstaterna att tillåta vissa av de i direktivet förbjudna tobak</w:t>
      </w:r>
      <w:r w:rsidRPr="004406DE">
        <w:t>s</w:t>
      </w:r>
      <w:r w:rsidRPr="004406DE">
        <w:t xml:space="preserve">produkterna av kulturella eller hälsopolitiska skäl. </w:t>
      </w:r>
    </w:p>
    <w:p w:rsidR="004406DE" w:rsidRPr="004406DE" w:rsidRDefault="004406DE" w:rsidP="00023C6C">
      <w:pPr>
        <w:ind w:firstLine="284"/>
      </w:pPr>
      <w:r w:rsidRPr="004406DE">
        <w:t>Landskapsregeringen lämnade 2013 ett utlåtande över kommissionens initiativ till social- och hälsovårdsministeriet samt ett utlåtande över stat</w:t>
      </w:r>
      <w:r w:rsidRPr="004406DE">
        <w:t>s</w:t>
      </w:r>
      <w:r w:rsidRPr="004406DE">
        <w:lastRenderedPageBreak/>
        <w:t xml:space="preserve">rådets skrivelse U 6/2013 </w:t>
      </w:r>
      <w:proofErr w:type="spellStart"/>
      <w:r w:rsidRPr="004406DE">
        <w:t>rd</w:t>
      </w:r>
      <w:proofErr w:type="spellEnd"/>
      <w:r w:rsidRPr="004406DE">
        <w:t xml:space="preserve"> till riksdagen om initiativet till Europaparl</w:t>
      </w:r>
      <w:r w:rsidRPr="004406DE">
        <w:t>a</w:t>
      </w:r>
      <w:r w:rsidRPr="004406DE">
        <w:t>mentets och rådets direktiv (tobaksvaror).</w:t>
      </w:r>
    </w:p>
    <w:p w:rsidR="004406DE" w:rsidRPr="004406DE" w:rsidRDefault="004406DE" w:rsidP="00023C6C">
      <w:pPr>
        <w:ind w:firstLine="284"/>
      </w:pPr>
      <w:r w:rsidRPr="004406DE">
        <w:t>Landskapsregeringen har därefter aktivt deltagit i den nationella bere</w:t>
      </w:r>
      <w:r w:rsidRPr="004406DE">
        <w:t>d</w:t>
      </w:r>
      <w:r w:rsidRPr="004406DE">
        <w:t>ningen av Finlands ställningstagande och då ett gemensamt ställningst</w:t>
      </w:r>
      <w:r w:rsidRPr="004406DE">
        <w:t>a</w:t>
      </w:r>
      <w:r w:rsidRPr="004406DE">
        <w:t>gande inte kunde uppnås har, efter att landskapet så krävt, den finländska representanten framfört landskapets positioner vid rådets möten parallellt med rikets position. Efter att initiativet gått vidare till Europaparlamentet har landskapsregeringen samarbetat med Europaparlamentariker för att dä</w:t>
      </w:r>
      <w:r w:rsidRPr="004406DE">
        <w:t>r</w:t>
      </w:r>
      <w:r w:rsidRPr="004406DE">
        <w:t>igenom försöka få till stånd en ändring av initiativet i syfte att lösa de pr</w:t>
      </w:r>
      <w:r w:rsidRPr="004406DE">
        <w:t>o</w:t>
      </w:r>
      <w:r w:rsidRPr="004406DE">
        <w:t>blem som idag finns för Ålands del. Inför omröstningen i Europaparlame</w:t>
      </w:r>
      <w:r w:rsidRPr="004406DE">
        <w:t>n</w:t>
      </w:r>
      <w:r w:rsidRPr="004406DE">
        <w:t>tet kunde landskapsregeringen genom samarbete med Europaparlamentar</w:t>
      </w:r>
      <w:r w:rsidRPr="004406DE">
        <w:t>i</w:t>
      </w:r>
      <w:r w:rsidRPr="004406DE">
        <w:t>ker få inflytande över det ändringsinitiativ som lades angående artikel 15 i direktivet, där förbudet mot snus regleras. Landskapsreg</w:t>
      </w:r>
      <w:r w:rsidR="00864699">
        <w:t>eringen sände även brev till bl</w:t>
      </w:r>
      <w:r w:rsidRPr="004406DE">
        <w:t>a</w:t>
      </w:r>
      <w:r w:rsidR="00864699">
        <w:t>nd andra</w:t>
      </w:r>
      <w:r w:rsidRPr="004406DE">
        <w:t xml:space="preserve"> parlamentets rapportör och skuggrapportör för revid</w:t>
      </w:r>
      <w:r w:rsidRPr="004406DE">
        <w:t>e</w:t>
      </w:r>
      <w:r w:rsidRPr="004406DE">
        <w:t>ringen av tobaksdirektivet. Det ändringsinitiativ som lades i parlamentet gällande artikel 15, där förbudet mot snus regleras, fick dock inte tillräc</w:t>
      </w:r>
      <w:r w:rsidRPr="004406DE">
        <w:t>k</w:t>
      </w:r>
      <w:r w:rsidRPr="004406DE">
        <w:t>ligt stöd i parlamentet. Tobaksdirektivet antogs den 2 april 2014.</w:t>
      </w:r>
    </w:p>
    <w:p w:rsidR="004406DE" w:rsidRPr="004406DE" w:rsidRDefault="004406DE" w:rsidP="004406DE">
      <w:pPr>
        <w:pStyle w:val="Rubrik3"/>
      </w:pPr>
      <w:bookmarkStart w:id="96" w:name="_Toc410897680"/>
      <w:bookmarkStart w:id="97" w:name="_Toc412712697"/>
      <w:r w:rsidRPr="00E47DAE">
        <w:t>3.4.2 Fysisk planering</w:t>
      </w:r>
      <w:bookmarkEnd w:id="96"/>
      <w:r w:rsidR="00787365">
        <w:t xml:space="preserve"> i kust- och havsområden</w:t>
      </w:r>
      <w:bookmarkEnd w:id="97"/>
    </w:p>
    <w:p w:rsidR="00D55953" w:rsidRPr="002F709C" w:rsidRDefault="004406DE" w:rsidP="00D55953">
      <w:r w:rsidRPr="004406DE">
        <w:t>Ett direktiv om upprättandet av en ram för fysisk planering i kust</w:t>
      </w:r>
      <w:r w:rsidR="00787365">
        <w:t>-</w:t>
      </w:r>
      <w:r w:rsidRPr="004406DE">
        <w:t xml:space="preserve"> och havsområden och integrerad förvaltning av kustområden utfärdades den 23 juli 2014. Direktivet begränsades under beredningens gång till att enbart ge en ram för havsplanering. Syftet är att främja en hållbar tillväxt och u</w:t>
      </w:r>
      <w:r w:rsidRPr="004406DE">
        <w:t>t</w:t>
      </w:r>
      <w:r w:rsidRPr="004406DE">
        <w:t>veckling i kust- och havsområden. Havsplanering kan enkelt beskrivas som en process där man utarbetar planer för var, när och hur olika verksamheter får bedrivas. Direktivet ger riktlinjer för medlemsstaternas havsplanering. Det inskränker inte på Ålands befogenheter på området och ger långtg</w:t>
      </w:r>
      <w:r w:rsidRPr="004406DE">
        <w:t>å</w:t>
      </w:r>
      <w:r w:rsidRPr="004406DE">
        <w:t>ende rättigheter att själv bestämma planernas innehåll och omfattning. Det ingår dock ett antal minimikrav. Bland dessa ingår att man ska säkerställa berörda parters delaktighet, se till att bästa möjliga information och data ligger till grund för planeringen samt att samarbeta med angränsande re</w:t>
      </w:r>
      <w:r w:rsidRPr="004406DE">
        <w:t>g</w:t>
      </w:r>
      <w:r w:rsidRPr="004406DE">
        <w:t>ioner för att säkerställa samordning mellan de olika regionerna. Medlem</w:t>
      </w:r>
      <w:r w:rsidRPr="004406DE">
        <w:t>s</w:t>
      </w:r>
      <w:r w:rsidRPr="004406DE">
        <w:t xml:space="preserve">staterna ska genomföra nödvändiga ändringar i sin lagstiftning och utse </w:t>
      </w:r>
      <w:r w:rsidR="00934DD5">
        <w:t xml:space="preserve">en </w:t>
      </w:r>
      <w:r w:rsidRPr="004406DE">
        <w:t xml:space="preserve">behörig </w:t>
      </w:r>
      <w:r w:rsidRPr="002F709C">
        <w:t xml:space="preserve">myndighet senast </w:t>
      </w:r>
      <w:r w:rsidR="00934DD5" w:rsidRPr="002F709C">
        <w:t xml:space="preserve">den </w:t>
      </w:r>
      <w:r w:rsidRPr="002F709C">
        <w:t xml:space="preserve">18 september 2016 samt upprätta havsplaner senast </w:t>
      </w:r>
      <w:r w:rsidR="00934DD5" w:rsidRPr="002F709C">
        <w:t xml:space="preserve">den </w:t>
      </w:r>
      <w:r w:rsidRPr="002F709C">
        <w:t>31 mars 2021.</w:t>
      </w:r>
      <w:bookmarkStart w:id="98" w:name="_Toc410897681"/>
    </w:p>
    <w:p w:rsidR="00D55953" w:rsidRPr="002F709C" w:rsidRDefault="00D55953" w:rsidP="00D55953">
      <w:pPr>
        <w:ind w:firstLine="284"/>
      </w:pPr>
      <w:r w:rsidRPr="002F709C">
        <w:t>Landskapsregeringen har i december 2014 fattat beslut om att anställa en samhällsplanerare, med uppgift att sammanställa befintliga planer, i</w:t>
      </w:r>
      <w:r w:rsidRPr="002F709C">
        <w:t>n</w:t>
      </w:r>
      <w:r w:rsidRPr="002F709C">
        <w:t>venteringar och kommunöversikter samt att ta fram ett översiktligt förslag till koordinerad mark- och resursanvändning. Samhällsplanerarens uppgi</w:t>
      </w:r>
      <w:r w:rsidRPr="002F709C">
        <w:t>f</w:t>
      </w:r>
      <w:r w:rsidRPr="002F709C">
        <w:t xml:space="preserve">ter är en del i projektet </w:t>
      </w:r>
      <w:r w:rsidRPr="002F709C">
        <w:rPr>
          <w:i/>
        </w:rPr>
        <w:t xml:space="preserve">”Utvecklings- och tillväxtplan för ett hållbart Åland” </w:t>
      </w:r>
      <w:r w:rsidRPr="002F709C">
        <w:t xml:space="preserve">vars syfte är att underlätta framtida (kommunal) planering genom att visa på möjligheter till utveckling och tillväxt. Samhällsplanerarens uppgifter omfattar även att beakta planeringen av kust- och havsområden. </w:t>
      </w:r>
    </w:p>
    <w:p w:rsidR="004406DE" w:rsidRPr="002F709C" w:rsidRDefault="004406DE" w:rsidP="004406DE">
      <w:pPr>
        <w:pStyle w:val="Rubrik3"/>
      </w:pPr>
      <w:bookmarkStart w:id="99" w:name="_Toc412712698"/>
      <w:r w:rsidRPr="002F709C">
        <w:t>3.4.3 Invasiva arter</w:t>
      </w:r>
      <w:bookmarkEnd w:id="98"/>
      <w:bookmarkEnd w:id="99"/>
    </w:p>
    <w:p w:rsidR="004406DE" w:rsidRPr="004406DE" w:rsidRDefault="004406DE" w:rsidP="005242BE">
      <w:r w:rsidRPr="002F709C">
        <w:t>Europaparlamentets</w:t>
      </w:r>
      <w:r w:rsidRPr="004406DE">
        <w:t xml:space="preserve"> och rådets förordning om förebyggande och hantering av introduktion och spridning av invasiva främmande arter utfärdades den 22 oktober 2014. Även om en EU-förordning är en bindande rättsakt som alla EU-stater ska tillämpa utan att den behöver implementeras i den na</w:t>
      </w:r>
      <w:r w:rsidRPr="004406DE">
        <w:t>t</w:t>
      </w:r>
      <w:r w:rsidRPr="004406DE">
        <w:t>ionella lagstiftningen, kan initiativet betyda lagstiftningsbehov för att ha</w:t>
      </w:r>
      <w:r w:rsidRPr="004406DE">
        <w:t>r</w:t>
      </w:r>
      <w:r w:rsidRPr="004406DE">
        <w:t xml:space="preserve">monisera den nationella lagstiftningen med förordningen. Detta kan betyda utredningar om lagstiftningsbehov samt om behörighetsfrågor mellan Åland och riket. Dessutom </w:t>
      </w:r>
      <w:proofErr w:type="gramStart"/>
      <w:r w:rsidRPr="004406DE">
        <w:t>påför</w:t>
      </w:r>
      <w:proofErr w:type="gramEnd"/>
      <w:r w:rsidRPr="004406DE">
        <w:t xml:space="preserve"> förordningen medlemsstaterna flera fö</w:t>
      </w:r>
      <w:r w:rsidRPr="004406DE">
        <w:t>r</w:t>
      </w:r>
      <w:r w:rsidRPr="004406DE">
        <w:t>pliktelser, så som att vidta åtgärder för att hindra spridningen av invasiva arter, olika tillståndsförfaranden, planera nödåtgärder samt upprätta han</w:t>
      </w:r>
      <w:r w:rsidRPr="004406DE">
        <w:t>d</w:t>
      </w:r>
      <w:r w:rsidRPr="004406DE">
        <w:t>lingsplaner. Arbetet med dessa förplikt</w:t>
      </w:r>
      <w:r w:rsidR="005D5D98">
        <w:t>elser måste påbörjas under året</w:t>
      </w:r>
      <w:r w:rsidRPr="004406DE">
        <w:t>.</w:t>
      </w:r>
    </w:p>
    <w:p w:rsidR="004406DE" w:rsidRPr="004406DE" w:rsidRDefault="004406DE" w:rsidP="004406DE">
      <w:pPr>
        <w:pStyle w:val="Rubrik3"/>
      </w:pPr>
      <w:bookmarkStart w:id="100" w:name="_Toc410897682"/>
      <w:bookmarkStart w:id="101" w:name="_Toc412712699"/>
      <w:r w:rsidRPr="00E47DAE">
        <w:lastRenderedPageBreak/>
        <w:t>3.4.4 Trafiksäkerhetspaketet</w:t>
      </w:r>
      <w:bookmarkEnd w:id="100"/>
      <w:bookmarkEnd w:id="101"/>
    </w:p>
    <w:p w:rsidR="004406DE" w:rsidRPr="004406DE" w:rsidRDefault="004406DE" w:rsidP="005242BE">
      <w:r w:rsidRPr="004406DE">
        <w:t>Det trafiksäkerhetspaket som var under behandling förra året har nu result</w:t>
      </w:r>
      <w:r w:rsidRPr="004406DE">
        <w:t>e</w:t>
      </w:r>
      <w:r w:rsidRPr="004406DE">
        <w:t>rat i tre direktiv (2014/45/EU, 2014/46/EU och 2014/47/EU) som rör per</w:t>
      </w:r>
      <w:r w:rsidRPr="004406DE">
        <w:t>i</w:t>
      </w:r>
      <w:r w:rsidRPr="004406DE">
        <w:t>odisk provning av fordon (besiktning), registreringsbevis och tekniska vä</w:t>
      </w:r>
      <w:r w:rsidRPr="004406DE">
        <w:t>g</w:t>
      </w:r>
      <w:r w:rsidRPr="004406DE">
        <w:t>kontroller av nyttofordon. Direktiven innehåller bestämmelser om hur ofta fordon ska besiktas, hur besiktningen ska gå till, registreringsbevisets u</w:t>
      </w:r>
      <w:r w:rsidRPr="004406DE">
        <w:t>t</w:t>
      </w:r>
      <w:r w:rsidRPr="004406DE">
        <w:t>formning samt utbildningskrav för de som genomför besiktningar.</w:t>
      </w:r>
    </w:p>
    <w:p w:rsidR="004406DE" w:rsidRPr="004406DE" w:rsidRDefault="004406DE" w:rsidP="00023C6C">
      <w:pPr>
        <w:ind w:firstLine="284"/>
      </w:pPr>
      <w:r w:rsidRPr="004406DE">
        <w:t>Direktiven ska vara implementerade i maj 2017 och innebär för lan</w:t>
      </w:r>
      <w:r w:rsidRPr="004406DE">
        <w:t>d</w:t>
      </w:r>
      <w:r w:rsidRPr="004406DE">
        <w:t>skapets del att lagstiftningsåtgärder måste vidtas.</w:t>
      </w:r>
    </w:p>
    <w:p w:rsidR="004406DE" w:rsidRPr="00857646" w:rsidRDefault="004406DE" w:rsidP="004406DE">
      <w:pPr>
        <w:pStyle w:val="Rubrik3"/>
      </w:pPr>
      <w:bookmarkStart w:id="102" w:name="_Toc410897683"/>
      <w:bookmarkStart w:id="103" w:name="_Toc412712700"/>
      <w:r w:rsidRPr="00857646">
        <w:t>3.4.5 Upphandling</w:t>
      </w:r>
      <w:bookmarkEnd w:id="102"/>
      <w:bookmarkEnd w:id="103"/>
    </w:p>
    <w:p w:rsidR="004406DE" w:rsidRPr="00BD31C9" w:rsidRDefault="004406DE" w:rsidP="005242BE">
      <w:r w:rsidRPr="00DA3066">
        <w:t>Den 26 februari 2014 antogs tre nya dir</w:t>
      </w:r>
      <w:r w:rsidR="00681379" w:rsidRPr="00DA3066">
        <w:t>ektiv för offentlig upphandling;</w:t>
      </w:r>
      <w:r w:rsidRPr="00DA3066">
        <w:t xml:space="preserve"> d</w:t>
      </w:r>
      <w:r w:rsidRPr="00DA3066">
        <w:t>i</w:t>
      </w:r>
      <w:r w:rsidRPr="00DA3066">
        <w:t xml:space="preserve">rektiv 2014/23EU om tilldelning av koncessioner, 2014/24/EU om offentlig upphandling och direktiv 2014/25/EU om upphandling av enheter som är verksamma på områdena vatten, </w:t>
      </w:r>
      <w:r w:rsidRPr="00BD31C9">
        <w:t>energi, transporter och posttjänster. Dire</w:t>
      </w:r>
      <w:r w:rsidRPr="00BD31C9">
        <w:t>k</w:t>
      </w:r>
      <w:r w:rsidRPr="00BD31C9">
        <w:t>tiven är resultatet av grönboken om en modernisering av EU:s politik för offentlig upphandling med sikte på en effektivare europeisk upphandling</w:t>
      </w:r>
      <w:r w:rsidRPr="00BD31C9">
        <w:t>s</w:t>
      </w:r>
      <w:r w:rsidRPr="00BD31C9">
        <w:t>marknad, KOM (2011) 15 slutlig, som presenterades våren 2011.</w:t>
      </w:r>
    </w:p>
    <w:p w:rsidR="00DA3066" w:rsidRPr="00BD31C9" w:rsidRDefault="00DA3066" w:rsidP="00DA3066">
      <w:pPr>
        <w:ind w:firstLine="284"/>
      </w:pPr>
      <w:r w:rsidRPr="00BD31C9">
        <w:t>Offentlig upphandling måste överensstämma med principerna i fördr</w:t>
      </w:r>
      <w:r w:rsidRPr="00BD31C9">
        <w:t>a</w:t>
      </w:r>
      <w:r w:rsidRPr="00BD31C9">
        <w:t xml:space="preserve">get om Europeiska unionens funktionssätt (EUF-fördraget), särskilt om fri rörlighet och de principer som följer </w:t>
      </w:r>
      <w:proofErr w:type="gramStart"/>
      <w:r w:rsidRPr="00BD31C9">
        <w:t>därav</w:t>
      </w:r>
      <w:proofErr w:type="gramEnd"/>
      <w:r w:rsidRPr="00BD31C9">
        <w:t>, bland annat om likabehandling, icke-diskriminering, ömsesidigt erkännande, proportionalitet och öppenhet. Offentlig upphandling ges även en framträdande roll i Europa 2020-strategin för smar</w:t>
      </w:r>
      <w:r w:rsidR="00857646" w:rsidRPr="00BD31C9">
        <w:t>t och hållbar tillväxt för alla</w:t>
      </w:r>
      <w:r w:rsidRPr="00BD31C9">
        <w:t xml:space="preserve"> som ett av de marknadsbas</w:t>
      </w:r>
      <w:r w:rsidRPr="00BD31C9">
        <w:t>e</w:t>
      </w:r>
      <w:r w:rsidRPr="00BD31C9">
        <w:t>rade instrument som ska användas för att uppnå smart och hållbar tillväxt för alla, samtidigt som den säkerställer att offentliga medel utnyttjas så e</w:t>
      </w:r>
      <w:r w:rsidRPr="00BD31C9">
        <w:t>f</w:t>
      </w:r>
      <w:r w:rsidRPr="00BD31C9">
        <w:t>fektiv som möjligt.</w:t>
      </w:r>
    </w:p>
    <w:p w:rsidR="00DA3066" w:rsidRPr="00BD31C9" w:rsidRDefault="00DA3066" w:rsidP="00023C6C">
      <w:pPr>
        <w:ind w:firstLine="284"/>
      </w:pPr>
      <w:r w:rsidRPr="00BD31C9">
        <w:t>Moderniseringen av EU:s regler för offentlig upphandling syftar till att göra användningen av offentliga medel effektivare, förenkla regleringen och de förfaranden som används vid offentlig upphandling samt att öka flexibiliteten. I synnerhet syftar moderniseringen av EU:s regler till att öka de små och medelstora företagens möjligheter att delta i upphandlingar samtidigt som det har funnits ett behov av att klargöra grundläggande b</w:t>
      </w:r>
      <w:r w:rsidRPr="00BD31C9">
        <w:t>e</w:t>
      </w:r>
      <w:r w:rsidRPr="00BD31C9">
        <w:t>grepp och principer för att säkerställa rättslig säkerhet och inbegripa rättslig praxis som har vuxit fram i Euroepiska unionens domstol. Reformen syftar även till att göra den offentliga upphandlingen mer kvalitetsinriktad, genom att sociala och miljömässiga kriterier som exempelvis livscykelkostnader eller integrering av utsatta och mindre gynnade personer får en mer fra</w:t>
      </w:r>
      <w:r w:rsidRPr="00BD31C9">
        <w:t>m</w:t>
      </w:r>
      <w:r w:rsidRPr="00BD31C9">
        <w:t>trädande roll i upphandlingen, under förutsättning att kraven som ställs har en verklig koppling till det som upphandlas. För att garantera bättre ti</w:t>
      </w:r>
      <w:r w:rsidRPr="00BD31C9">
        <w:t>l</w:t>
      </w:r>
      <w:r w:rsidRPr="00BD31C9">
        <w:t>lämpning av reglerna i praktiken införs krav på att medlemsstaterna ska se till att reglerna om offentlig upphandling övervakas och att information och vägledning finns tillgänglig för de ekonomiska aktörer som berörs.</w:t>
      </w:r>
    </w:p>
    <w:p w:rsidR="004406DE" w:rsidRPr="00DA3066" w:rsidRDefault="004406DE" w:rsidP="00023C6C">
      <w:pPr>
        <w:ind w:firstLine="284"/>
      </w:pPr>
      <w:r w:rsidRPr="00BD31C9">
        <w:t>Landskapet Åland har lagstiftningsbehörighet avseende landskapsreg</w:t>
      </w:r>
      <w:r w:rsidRPr="00BD31C9">
        <w:t>e</w:t>
      </w:r>
      <w:r w:rsidRPr="00BD31C9">
        <w:t>ringens, underliggande myndigheters samt kommunala myndigheters up</w:t>
      </w:r>
      <w:r w:rsidRPr="00BD31C9">
        <w:t>p</w:t>
      </w:r>
      <w:r w:rsidRPr="00BD31C9">
        <w:t>handlingar. I landskapet tillämpas rikets lagstiftning genom blankettla</w:t>
      </w:r>
      <w:r w:rsidRPr="00BD31C9">
        <w:t>g</w:t>
      </w:r>
      <w:r w:rsidRPr="00BD31C9">
        <w:t>stiftning, med vissa undantag. Eftersom</w:t>
      </w:r>
      <w:r w:rsidRPr="00DA3066">
        <w:t xml:space="preserve"> direktiven ska vara implement</w:t>
      </w:r>
      <w:r w:rsidRPr="00DA3066">
        <w:t>e</w:t>
      </w:r>
      <w:r w:rsidRPr="00DA3066">
        <w:t>rade nationellt den 18 april 2016, kommer landskapsregeringen under 2015 att bevaka lagstiftningsåtgärderna i riket samt förbereda förslag till de än</w:t>
      </w:r>
      <w:r w:rsidRPr="00DA3066">
        <w:t>d</w:t>
      </w:r>
      <w:r w:rsidRPr="00DA3066">
        <w:t>ringar som krävs av landskapslagstiftning och landskapsregeringens beslut gällande vissa upphandlingar. Landskapsregeringen avser att under året u</w:t>
      </w:r>
      <w:r w:rsidRPr="00DA3066">
        <w:t>t</w:t>
      </w:r>
      <w:r w:rsidRPr="00DA3066">
        <w:t>reda formerna för en samordnad upphandlingsverksamhet, och i samband med detta uppmärksammas behovet av att utöka information och vägle</w:t>
      </w:r>
      <w:r w:rsidRPr="00DA3066">
        <w:t>d</w:t>
      </w:r>
      <w:r w:rsidRPr="00DA3066">
        <w:t>ning i upphandlingsfrågor för ökad enhetlighet inom landskapet.</w:t>
      </w:r>
    </w:p>
    <w:p w:rsidR="004406DE" w:rsidRPr="004406DE" w:rsidRDefault="004406DE" w:rsidP="004406DE">
      <w:pPr>
        <w:pStyle w:val="Rubrik3"/>
      </w:pPr>
      <w:bookmarkStart w:id="104" w:name="_Toc410897684"/>
      <w:bookmarkStart w:id="105" w:name="_Toc412712701"/>
      <w:r w:rsidRPr="00E47DAE">
        <w:lastRenderedPageBreak/>
        <w:t>3.4.6 Tullkodexen och skattegränsen</w:t>
      </w:r>
      <w:bookmarkEnd w:id="104"/>
      <w:bookmarkEnd w:id="105"/>
    </w:p>
    <w:p w:rsidR="004406DE" w:rsidRPr="004406DE" w:rsidRDefault="004406DE" w:rsidP="005242BE">
      <w:r w:rsidRPr="004406DE">
        <w:t>Unionens nya tullagstiftning, Unionens tullkodex (EU) nr 952/2013 (UCC) och dess delegerade och genomförandeakter, börjar tillämpas den 1 juni 2016. De elektroniska system som krävs för att kodex ska tillämpas fullt ut, ska dock vara i bruk senast till den 1 januari 2021. Tullagstiftningen omfa</w:t>
      </w:r>
      <w:r w:rsidRPr="004406DE">
        <w:t>t</w:t>
      </w:r>
      <w:r w:rsidRPr="004406DE">
        <w:t>tas av unionens exklusiva behörighet, och på nationell nivå är det rikets b</w:t>
      </w:r>
      <w:r w:rsidRPr="004406DE">
        <w:t>e</w:t>
      </w:r>
      <w:r w:rsidRPr="004406DE">
        <w:t>hörighet. Den är av särskilt intresse för landskapet eftersom unionslagstif</w:t>
      </w:r>
      <w:r w:rsidRPr="004406DE">
        <w:t>t</w:t>
      </w:r>
      <w:r w:rsidRPr="004406DE">
        <w:t>ningen direkt styr den framtida skattegränshanteringen. UCC utgår från att tullprocedurerna inom unionen ska bli så enhetliga som möjligt och att tul</w:t>
      </w:r>
      <w:r w:rsidRPr="004406DE">
        <w:t>l</w:t>
      </w:r>
      <w:r w:rsidRPr="004406DE">
        <w:t>förfaranden ska hanteras fullt ut elektroniskt. Trots syftet med fullständig harmonisering, har en specialreglering införts för handel mellan EU:s ska</w:t>
      </w:r>
      <w:r w:rsidRPr="004406DE">
        <w:t>t</w:t>
      </w:r>
      <w:r w:rsidRPr="004406DE">
        <w:t>teområde och landskapet, samt andra områden som hör till EU men står u</w:t>
      </w:r>
      <w:r w:rsidRPr="004406DE">
        <w:t>t</w:t>
      </w:r>
      <w:r w:rsidRPr="004406DE">
        <w:t xml:space="preserve">anför EU:s skatteområde.  </w:t>
      </w:r>
    </w:p>
    <w:p w:rsidR="004406DE" w:rsidRDefault="004406DE" w:rsidP="00023C6C">
      <w:pPr>
        <w:ind w:firstLine="284"/>
      </w:pPr>
      <w:r w:rsidRPr="004406DE">
        <w:t xml:space="preserve">Under år 2014 har </w:t>
      </w:r>
      <w:r w:rsidR="00681379">
        <w:t xml:space="preserve">de </w:t>
      </w:r>
      <w:r w:rsidRPr="004406DE">
        <w:t>delegerade och genomförandeakter</w:t>
      </w:r>
      <w:r w:rsidR="00681379">
        <w:t>na</w:t>
      </w:r>
      <w:r w:rsidRPr="004406DE">
        <w:t xml:space="preserve"> behandlats av kommissionens expertgrupp, och landskapsregeringen har tagit del av Tullens analys av hur regelverket kommer att påverka handeln till och från landskapet. Kommissionen har inte ännu fastställt akterna genom beslut, men de artiklar som påverkar skattegränshanteringen är enligt Finlands r</w:t>
      </w:r>
      <w:r w:rsidRPr="004406DE">
        <w:t>e</w:t>
      </w:r>
      <w:r w:rsidRPr="004406DE">
        <w:t>presentant i expertgruppen och expertgruppens arbetsplan, färdigt bearb</w:t>
      </w:r>
      <w:r w:rsidRPr="004406DE">
        <w:t>e</w:t>
      </w:r>
      <w:r w:rsidRPr="004406DE">
        <w:t>tade sedan senhösten 2014. Det är inte möjligt att till fullo förutspå hur en så omfattande ändring av regelverket kommer att påverka skattegränshant</w:t>
      </w:r>
      <w:r w:rsidRPr="004406DE">
        <w:t>e</w:t>
      </w:r>
      <w:r w:rsidRPr="004406DE">
        <w:t>ringen, men enligt de analyser som gjorts ska de förenklingar som finns idag mellan landskapet och riket vara möjliga att behålla. Landskapsreg</w:t>
      </w:r>
      <w:r w:rsidRPr="004406DE">
        <w:t>e</w:t>
      </w:r>
      <w:r w:rsidRPr="004406DE">
        <w:t>ringen kommer under 2015 att tillsammans med Tullen se över möjlighe</w:t>
      </w:r>
      <w:r w:rsidRPr="004406DE">
        <w:t>t</w:t>
      </w:r>
      <w:r w:rsidRPr="004406DE">
        <w:t>erna i den nya lagstiftningen att förenkla och förbättra skattegränshant</w:t>
      </w:r>
      <w:r w:rsidRPr="004406DE">
        <w:t>e</w:t>
      </w:r>
      <w:r w:rsidRPr="004406DE">
        <w:t>ringen jämfört med idag. Landskapsregeringen kommer även fortsättning</w:t>
      </w:r>
      <w:r w:rsidRPr="004406DE">
        <w:t>s</w:t>
      </w:r>
      <w:r w:rsidRPr="004406DE">
        <w:t>vis att allmänt bevaka att de ursprungliga syftena med skatteundantaget skyddas.</w:t>
      </w:r>
    </w:p>
    <w:p w:rsidR="004406DE" w:rsidRPr="004406DE" w:rsidRDefault="004406DE" w:rsidP="00E47DAE">
      <w:pPr>
        <w:pStyle w:val="Rubrik2"/>
      </w:pPr>
      <w:bookmarkStart w:id="106" w:name="_Toc410897685"/>
      <w:bookmarkStart w:id="107" w:name="_Toc412712702"/>
      <w:r w:rsidRPr="004406DE">
        <w:t>3.5 Landskapets arbete med EU-ärenden år 2014</w:t>
      </w:r>
      <w:bookmarkEnd w:id="106"/>
      <w:bookmarkEnd w:id="107"/>
    </w:p>
    <w:p w:rsidR="004406DE" w:rsidRPr="004406DE" w:rsidRDefault="004406DE" w:rsidP="005242BE">
      <w:r w:rsidRPr="004406DE">
        <w:t>I det här kapitlet sammanfattas landskapsregeringens arbete med EU-ärenden under år 2014. Då det externpolitiska meddelandets tidsperiod än</w:t>
      </w:r>
      <w:r w:rsidRPr="004406DE">
        <w:t>d</w:t>
      </w:r>
      <w:r w:rsidRPr="004406DE">
        <w:t xml:space="preserve">rats till att omfatta hela kalenderår, ingår dock för statistiska orsaker även uppgifter i detta kapitel från december månad 2013, i och med att det förra EU-meddelandet rörde tidsperioden 1.12.2012–30.11.2013. </w:t>
      </w:r>
    </w:p>
    <w:p w:rsidR="004406DE" w:rsidRPr="004406DE" w:rsidRDefault="004406DE" w:rsidP="004406DE">
      <w:pPr>
        <w:pStyle w:val="Rubrik3"/>
      </w:pPr>
      <w:bookmarkStart w:id="108" w:name="_Toc410897686"/>
      <w:bookmarkStart w:id="109" w:name="_Toc412712703"/>
      <w:r w:rsidRPr="00E47DAE">
        <w:t>3.5.1 Beredningen av EU-lagstiftning inom landskapet</w:t>
      </w:r>
      <w:bookmarkEnd w:id="108"/>
      <w:bookmarkEnd w:id="109"/>
    </w:p>
    <w:p w:rsidR="004406DE" w:rsidRPr="004406DE" w:rsidRDefault="004406DE" w:rsidP="005242BE">
      <w:r w:rsidRPr="004406DE">
        <w:t>Inom EU har kommissionen ensamrätt på att initiera nya lagstiftningsakter. Kommissionsinitiativen (även kallade kommissionsförslag) innefattar dock även annat än</w:t>
      </w:r>
      <w:r w:rsidR="00864699">
        <w:t xml:space="preserve"> initiativ till lagstiftning, till exempel</w:t>
      </w:r>
      <w:r w:rsidRPr="004406DE">
        <w:t xml:space="preserve"> olika typer av me</w:t>
      </w:r>
      <w:r w:rsidRPr="004406DE">
        <w:t>d</w:t>
      </w:r>
      <w:r w:rsidRPr="004406DE">
        <w:t>delanden samt grön- och vitböcker. Således är det långt ifrån alla initiativ som föranleder beredning vid landskapsregeringen. Tabellen nedan inn</w:t>
      </w:r>
      <w:r w:rsidRPr="004406DE">
        <w:t>e</w:t>
      </w:r>
      <w:r w:rsidRPr="004406DE">
        <w:t>håller en sammanställning av landskapsregeringens beredning av kommis</w:t>
      </w:r>
      <w:r w:rsidRPr="004406DE">
        <w:t>s</w:t>
      </w:r>
      <w:r w:rsidRPr="004406DE">
        <w:t>ionsinitiativ under år 2014.</w:t>
      </w:r>
    </w:p>
    <w:p w:rsidR="004406DE" w:rsidRPr="004406DE" w:rsidRDefault="004406DE" w:rsidP="005242BE"/>
    <w:p w:rsidR="004406DE" w:rsidRPr="004406DE" w:rsidRDefault="004406DE" w:rsidP="004406DE">
      <w:pPr>
        <w:pStyle w:val="ANormal"/>
        <w:rPr>
          <w:b/>
        </w:rPr>
      </w:pPr>
      <w:r w:rsidRPr="004406DE">
        <w:rPr>
          <w:b/>
        </w:rPr>
        <w:t>Tabell 2. Beredningen av kommissionsinitiativ 2014</w:t>
      </w:r>
    </w:p>
    <w:tbl>
      <w:tblPr>
        <w:tblW w:w="487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5"/>
        <w:gridCol w:w="1418"/>
        <w:gridCol w:w="1700"/>
      </w:tblGrid>
      <w:tr w:rsidR="004406DE" w:rsidRPr="004406DE" w:rsidTr="00D551C8">
        <w:trPr>
          <w:trHeight w:val="20"/>
        </w:trPr>
        <w:tc>
          <w:tcPr>
            <w:tcW w:w="2659" w:type="pct"/>
            <w:shd w:val="clear" w:color="auto" w:fill="A6A6A6"/>
          </w:tcPr>
          <w:p w:rsidR="004406DE" w:rsidRPr="004406DE" w:rsidRDefault="004406DE" w:rsidP="004406DE">
            <w:pPr>
              <w:pStyle w:val="ANormal"/>
            </w:pPr>
          </w:p>
        </w:tc>
        <w:tc>
          <w:tcPr>
            <w:tcW w:w="1064" w:type="pct"/>
            <w:shd w:val="clear" w:color="auto" w:fill="A6A6A6"/>
            <w:vAlign w:val="center"/>
          </w:tcPr>
          <w:p w:rsidR="004406DE" w:rsidRPr="004406DE" w:rsidRDefault="004406DE" w:rsidP="004406DE">
            <w:pPr>
              <w:pStyle w:val="ANormal"/>
              <w:rPr>
                <w:b/>
                <w:bCs/>
              </w:rPr>
            </w:pPr>
            <w:r w:rsidRPr="004406DE">
              <w:rPr>
                <w:b/>
                <w:bCs/>
              </w:rPr>
              <w:t>2014</w:t>
            </w:r>
          </w:p>
        </w:tc>
        <w:tc>
          <w:tcPr>
            <w:tcW w:w="1276" w:type="pct"/>
            <w:shd w:val="clear" w:color="auto" w:fill="A6A6A6"/>
            <w:vAlign w:val="center"/>
          </w:tcPr>
          <w:p w:rsidR="004406DE" w:rsidRPr="004406DE" w:rsidRDefault="004406DE" w:rsidP="004406DE">
            <w:pPr>
              <w:pStyle w:val="ANormal"/>
              <w:rPr>
                <w:b/>
                <w:bCs/>
              </w:rPr>
            </w:pPr>
            <w:r w:rsidRPr="004406DE">
              <w:rPr>
                <w:b/>
                <w:bCs/>
              </w:rPr>
              <w:t>2013</w:t>
            </w:r>
          </w:p>
        </w:tc>
      </w:tr>
      <w:tr w:rsidR="004406DE" w:rsidRPr="004406DE" w:rsidTr="00D551C8">
        <w:tc>
          <w:tcPr>
            <w:tcW w:w="2659" w:type="pct"/>
          </w:tcPr>
          <w:p w:rsidR="004406DE" w:rsidRPr="004406DE" w:rsidRDefault="004406DE" w:rsidP="004406DE">
            <w:pPr>
              <w:pStyle w:val="ANormal"/>
            </w:pPr>
            <w:r w:rsidRPr="004406DE">
              <w:t>Deltagande i kommissionens konsu</w:t>
            </w:r>
            <w:r w:rsidRPr="004406DE">
              <w:t>l</w:t>
            </w:r>
            <w:r w:rsidRPr="004406DE">
              <w:t>tationer</w:t>
            </w:r>
          </w:p>
        </w:tc>
        <w:tc>
          <w:tcPr>
            <w:tcW w:w="1064" w:type="pct"/>
          </w:tcPr>
          <w:p w:rsidR="004406DE" w:rsidRPr="004406DE" w:rsidRDefault="004406DE" w:rsidP="004406DE">
            <w:pPr>
              <w:pStyle w:val="ANormal"/>
            </w:pPr>
            <w:r w:rsidRPr="004406DE">
              <w:t>6 st</w:t>
            </w:r>
          </w:p>
        </w:tc>
        <w:tc>
          <w:tcPr>
            <w:tcW w:w="1276" w:type="pct"/>
          </w:tcPr>
          <w:p w:rsidR="004406DE" w:rsidRPr="004406DE" w:rsidRDefault="004406DE" w:rsidP="004406DE">
            <w:pPr>
              <w:pStyle w:val="ANormal"/>
            </w:pPr>
            <w:r w:rsidRPr="004406DE">
              <w:t>8 st</w:t>
            </w:r>
          </w:p>
        </w:tc>
      </w:tr>
      <w:tr w:rsidR="004406DE" w:rsidRPr="004406DE" w:rsidTr="00D551C8">
        <w:tc>
          <w:tcPr>
            <w:tcW w:w="2659" w:type="pct"/>
          </w:tcPr>
          <w:p w:rsidR="004406DE" w:rsidRPr="004406DE" w:rsidRDefault="004406DE" w:rsidP="004406DE">
            <w:pPr>
              <w:pStyle w:val="ANormal"/>
            </w:pPr>
            <w:r w:rsidRPr="004406DE">
              <w:t>Inkomna kommissionsinitiativ</w:t>
            </w:r>
          </w:p>
        </w:tc>
        <w:tc>
          <w:tcPr>
            <w:tcW w:w="1064" w:type="pct"/>
          </w:tcPr>
          <w:p w:rsidR="004406DE" w:rsidRPr="004406DE" w:rsidRDefault="004406DE" w:rsidP="004406DE">
            <w:pPr>
              <w:pStyle w:val="ANormal"/>
            </w:pPr>
            <w:r w:rsidRPr="004406DE">
              <w:t>797 st</w:t>
            </w:r>
          </w:p>
        </w:tc>
        <w:tc>
          <w:tcPr>
            <w:tcW w:w="1276" w:type="pct"/>
          </w:tcPr>
          <w:p w:rsidR="004406DE" w:rsidRPr="004406DE" w:rsidRDefault="004406DE" w:rsidP="004406DE">
            <w:pPr>
              <w:pStyle w:val="ANormal"/>
            </w:pPr>
            <w:r w:rsidRPr="004406DE">
              <w:t>864 st</w:t>
            </w:r>
          </w:p>
        </w:tc>
      </w:tr>
      <w:tr w:rsidR="004406DE" w:rsidRPr="004406DE" w:rsidTr="00D551C8">
        <w:tc>
          <w:tcPr>
            <w:tcW w:w="2659" w:type="pct"/>
          </w:tcPr>
          <w:p w:rsidR="004406DE" w:rsidRPr="004406DE" w:rsidRDefault="004406DE" w:rsidP="004406DE">
            <w:pPr>
              <w:pStyle w:val="ANormal"/>
            </w:pPr>
            <w:r w:rsidRPr="004406DE">
              <w:t>Diarieförda kommissionsinitiativ</w:t>
            </w:r>
          </w:p>
        </w:tc>
        <w:tc>
          <w:tcPr>
            <w:tcW w:w="1064" w:type="pct"/>
          </w:tcPr>
          <w:p w:rsidR="004406DE" w:rsidRPr="004406DE" w:rsidRDefault="004406DE" w:rsidP="004406DE">
            <w:pPr>
              <w:pStyle w:val="ANormal"/>
            </w:pPr>
            <w:r w:rsidRPr="004406DE">
              <w:t xml:space="preserve">10 st </w:t>
            </w:r>
          </w:p>
        </w:tc>
        <w:tc>
          <w:tcPr>
            <w:tcW w:w="1276" w:type="pct"/>
          </w:tcPr>
          <w:p w:rsidR="004406DE" w:rsidRPr="004406DE" w:rsidRDefault="004406DE" w:rsidP="004406DE">
            <w:pPr>
              <w:pStyle w:val="ANormal"/>
            </w:pPr>
            <w:r w:rsidRPr="004406DE">
              <w:t>13 st</w:t>
            </w:r>
          </w:p>
        </w:tc>
      </w:tr>
      <w:tr w:rsidR="004406DE" w:rsidRPr="004406DE" w:rsidTr="00D551C8">
        <w:tc>
          <w:tcPr>
            <w:tcW w:w="2659" w:type="pct"/>
          </w:tcPr>
          <w:p w:rsidR="004406DE" w:rsidRPr="004406DE" w:rsidRDefault="004406DE" w:rsidP="004406DE">
            <w:pPr>
              <w:pStyle w:val="ANormal"/>
            </w:pPr>
            <w:r w:rsidRPr="004406DE">
              <w:t>Samråd</w:t>
            </w:r>
            <w:r w:rsidRPr="00537B61">
              <w:t>särende</w:t>
            </w:r>
            <w:r w:rsidRPr="004406DE">
              <w:t xml:space="preserve"> </w:t>
            </w:r>
          </w:p>
        </w:tc>
        <w:tc>
          <w:tcPr>
            <w:tcW w:w="1064" w:type="pct"/>
          </w:tcPr>
          <w:p w:rsidR="004406DE" w:rsidRPr="004406DE" w:rsidRDefault="004406DE" w:rsidP="004406DE">
            <w:pPr>
              <w:pStyle w:val="ANormal"/>
            </w:pPr>
            <w:r w:rsidRPr="004406DE">
              <w:t>2 st</w:t>
            </w:r>
          </w:p>
        </w:tc>
        <w:tc>
          <w:tcPr>
            <w:tcW w:w="1276" w:type="pct"/>
          </w:tcPr>
          <w:p w:rsidR="004406DE" w:rsidRPr="004406DE" w:rsidRDefault="004406DE" w:rsidP="004406DE">
            <w:pPr>
              <w:pStyle w:val="ANormal"/>
            </w:pPr>
            <w:r w:rsidRPr="004406DE">
              <w:t>3 st</w:t>
            </w:r>
          </w:p>
        </w:tc>
      </w:tr>
      <w:tr w:rsidR="004406DE" w:rsidRPr="004406DE" w:rsidTr="00D551C8">
        <w:tc>
          <w:tcPr>
            <w:tcW w:w="2659" w:type="pct"/>
          </w:tcPr>
          <w:p w:rsidR="004406DE" w:rsidRPr="009C0E4E" w:rsidRDefault="004406DE" w:rsidP="004406DE">
            <w:pPr>
              <w:pStyle w:val="ANormal"/>
              <w:rPr>
                <w:bCs/>
                <w:color w:val="FF0000"/>
              </w:rPr>
            </w:pPr>
            <w:r w:rsidRPr="004406DE">
              <w:rPr>
                <w:bCs/>
                <w:lang w:val="sv-FI"/>
              </w:rPr>
              <w:t xml:space="preserve">Informationsärende </w:t>
            </w:r>
          </w:p>
        </w:tc>
        <w:tc>
          <w:tcPr>
            <w:tcW w:w="1064" w:type="pct"/>
          </w:tcPr>
          <w:p w:rsidR="004406DE" w:rsidRPr="004406DE" w:rsidRDefault="004406DE" w:rsidP="004406DE">
            <w:pPr>
              <w:pStyle w:val="ANormal"/>
            </w:pPr>
            <w:r w:rsidRPr="004406DE">
              <w:t>6 st</w:t>
            </w:r>
          </w:p>
        </w:tc>
        <w:tc>
          <w:tcPr>
            <w:tcW w:w="1276" w:type="pct"/>
          </w:tcPr>
          <w:p w:rsidR="004406DE" w:rsidRPr="004406DE" w:rsidRDefault="004406DE" w:rsidP="004406DE">
            <w:pPr>
              <w:pStyle w:val="ANormal"/>
            </w:pPr>
            <w:r w:rsidRPr="004406DE">
              <w:t>6 st</w:t>
            </w:r>
          </w:p>
        </w:tc>
      </w:tr>
      <w:tr w:rsidR="004406DE" w:rsidRPr="004406DE" w:rsidTr="00D551C8">
        <w:tc>
          <w:tcPr>
            <w:tcW w:w="2659" w:type="pct"/>
          </w:tcPr>
          <w:p w:rsidR="004406DE" w:rsidRPr="004406DE" w:rsidRDefault="004406DE" w:rsidP="004406DE">
            <w:pPr>
              <w:pStyle w:val="ANormal"/>
            </w:pPr>
            <w:r w:rsidRPr="004406DE">
              <w:t>Upprättade promemorior där initiat</w:t>
            </w:r>
            <w:r w:rsidRPr="004406DE">
              <w:t>i</w:t>
            </w:r>
            <w:r w:rsidRPr="004406DE">
              <w:t>vet bedömts inte lämpa sig för sa</w:t>
            </w:r>
            <w:r w:rsidRPr="004406DE">
              <w:t>m</w:t>
            </w:r>
            <w:r w:rsidRPr="004406DE">
              <w:lastRenderedPageBreak/>
              <w:t>råd/</w:t>
            </w:r>
          </w:p>
          <w:p w:rsidR="004406DE" w:rsidRPr="004406DE" w:rsidRDefault="004406DE" w:rsidP="004406DE">
            <w:pPr>
              <w:pStyle w:val="ANormal"/>
            </w:pPr>
            <w:r w:rsidRPr="004406DE">
              <w:t>informationsärende (promemorian skickats för kännedom till lagtinget)</w:t>
            </w:r>
          </w:p>
        </w:tc>
        <w:tc>
          <w:tcPr>
            <w:tcW w:w="1064" w:type="pct"/>
          </w:tcPr>
          <w:p w:rsidR="004406DE" w:rsidRPr="004406DE" w:rsidRDefault="004406DE" w:rsidP="004406DE">
            <w:pPr>
              <w:pStyle w:val="ANormal"/>
            </w:pPr>
            <w:r w:rsidRPr="004406DE">
              <w:lastRenderedPageBreak/>
              <w:t>2 st</w:t>
            </w:r>
          </w:p>
        </w:tc>
        <w:tc>
          <w:tcPr>
            <w:tcW w:w="1276" w:type="pct"/>
          </w:tcPr>
          <w:p w:rsidR="004406DE" w:rsidRPr="004406DE" w:rsidRDefault="004406DE" w:rsidP="004406DE">
            <w:pPr>
              <w:pStyle w:val="ANormal"/>
            </w:pPr>
            <w:r w:rsidRPr="004406DE">
              <w:t>-</w:t>
            </w:r>
          </w:p>
        </w:tc>
      </w:tr>
    </w:tbl>
    <w:p w:rsidR="004406DE" w:rsidRPr="004406DE" w:rsidRDefault="004406DE" w:rsidP="004406DE">
      <w:pPr>
        <w:pStyle w:val="ANormal"/>
      </w:pPr>
    </w:p>
    <w:p w:rsidR="004406DE" w:rsidRPr="004406DE" w:rsidRDefault="004406DE" w:rsidP="005242BE">
      <w:r w:rsidRPr="004406DE">
        <w:t>Landskapsregeringen deltar i mån av möjlighet i de konsultationer ko</w:t>
      </w:r>
      <w:r w:rsidRPr="004406DE">
        <w:t>m</w:t>
      </w:r>
      <w:r w:rsidRPr="004406DE">
        <w:t>missionen håller. För en närmare redogörelse över de konsultationer lan</w:t>
      </w:r>
      <w:r w:rsidRPr="004406DE">
        <w:t>d</w:t>
      </w:r>
      <w:r w:rsidRPr="004406DE">
        <w:t>skapsregeringen deltagit i under 2014 se kapitel 3.1.6.</w:t>
      </w:r>
    </w:p>
    <w:p w:rsidR="004406DE" w:rsidRPr="004406DE" w:rsidRDefault="004406DE" w:rsidP="00023C6C">
      <w:pPr>
        <w:ind w:firstLine="284"/>
      </w:pPr>
      <w:r w:rsidRPr="004406DE">
        <w:t xml:space="preserve">Landskapsregeringen erhåller alla nya kommissionsinitiativ via e-post från statsrådets kansli. De kommissionsinitiativ som är av </w:t>
      </w:r>
      <w:r w:rsidR="00681379">
        <w:t xml:space="preserve">särskilt </w:t>
      </w:r>
      <w:r w:rsidRPr="004406DE">
        <w:t>intresse för landskapet diarieförs och bereds. EU-enheten sköter koordineringen av kommissionsinitiativen, medan de sakkunniga tjänstemännen vid avde</w:t>
      </w:r>
      <w:r w:rsidRPr="004406DE">
        <w:t>l</w:t>
      </w:r>
      <w:r w:rsidRPr="004406DE">
        <w:t>ningarna bereder och föredrar ärendena för den minister till vars ansvar</w:t>
      </w:r>
      <w:r w:rsidRPr="004406DE">
        <w:t>s</w:t>
      </w:r>
      <w:r w:rsidRPr="004406DE">
        <w:t>område ärendet hör.</w:t>
      </w:r>
    </w:p>
    <w:p w:rsidR="009B4089" w:rsidRPr="00023C6C" w:rsidRDefault="009B4089" w:rsidP="00023C6C">
      <w:pPr>
        <w:ind w:firstLine="284"/>
      </w:pPr>
      <w:r>
        <w:t>Av de 797</w:t>
      </w:r>
      <w:r w:rsidR="004406DE" w:rsidRPr="004406DE">
        <w:t xml:space="preserve"> kommissionsinitiativen utgjorde knappt hälften sådana äre</w:t>
      </w:r>
      <w:r w:rsidR="004406DE" w:rsidRPr="004406DE">
        <w:t>n</w:t>
      </w:r>
      <w:r w:rsidR="004406DE" w:rsidRPr="004406DE">
        <w:t>den som bedömdes vara av intresse för landskapet; dessa initiativ har sänts för kännedom till berörda tjänstemän. EU-enheten diarieför initiativ när e</w:t>
      </w:r>
      <w:r w:rsidR="004406DE" w:rsidRPr="004406DE">
        <w:t>n</w:t>
      </w:r>
      <w:r w:rsidR="004406DE" w:rsidRPr="004406DE">
        <w:t>heten gör bedömningen att initiativet är av särskilt intresse för landskapet. Ofta avgörs dock behovet av diarieföring efter en diskussion mellan EU-enheten och den sakkunniga tjänstemannen. Som ses i tabellen ovan är det endast en liten andel – under år 2014 tio stycken – av kommissionsinitiat</w:t>
      </w:r>
      <w:r w:rsidR="004406DE" w:rsidRPr="004406DE">
        <w:t>i</w:t>
      </w:r>
      <w:r w:rsidR="004406DE" w:rsidRPr="004406DE">
        <w:t>ven som diarieförs och bereds. Antalet måste dock ses i f</w:t>
      </w:r>
      <w:r w:rsidR="004406DE" w:rsidRPr="00AE3D85">
        <w:t>örhållande till de resurser som landskapsregeringen har till sitt förfogande.</w:t>
      </w:r>
      <w:r w:rsidRPr="00AE3D85">
        <w:t xml:space="preserve"> </w:t>
      </w:r>
      <w:r w:rsidR="00AE3D85" w:rsidRPr="00AE3D85">
        <w:t>Av</w:t>
      </w:r>
      <w:r w:rsidR="006F467C" w:rsidRPr="00AE3D85">
        <w:t xml:space="preserve"> denna statistik </w:t>
      </w:r>
      <w:r w:rsidR="00AE3D85" w:rsidRPr="00AE3D85">
        <w:t>framkommer</w:t>
      </w:r>
      <w:r w:rsidR="006F467C" w:rsidRPr="00AE3D85">
        <w:t xml:space="preserve"> även att 2014 i många avseenden var </w:t>
      </w:r>
      <w:r w:rsidR="006F467C" w:rsidRPr="00023C6C">
        <w:t>ett mellanår i och med Europap</w:t>
      </w:r>
      <w:r w:rsidR="00AE3D85" w:rsidRPr="00023C6C">
        <w:t>arlamentsval och tillträde av ny</w:t>
      </w:r>
      <w:r w:rsidR="006F467C" w:rsidRPr="00023C6C">
        <w:t xml:space="preserve"> kommission.</w:t>
      </w:r>
    </w:p>
    <w:p w:rsidR="004406DE" w:rsidRPr="00537B61" w:rsidRDefault="004406DE" w:rsidP="00023C6C">
      <w:pPr>
        <w:ind w:firstLine="284"/>
      </w:pPr>
      <w:r w:rsidRPr="00023C6C">
        <w:t>Under året har sammanlagt nio promemorior och ett utlåtande upprättats över kommissionsinitiativ; utlåtandet samt en promemoria översändes en</w:t>
      </w:r>
      <w:r w:rsidRPr="00023C6C">
        <w:t>d</w:t>
      </w:r>
      <w:r w:rsidRPr="00023C6C">
        <w:t>ast för kännedom till lagtinget, sex promemorior fördes</w:t>
      </w:r>
      <w:r w:rsidRPr="004406DE">
        <w:t xml:space="preserve"> till lagtinget som informationsärenden medan två promemorior fördes för samråd med la</w:t>
      </w:r>
      <w:r w:rsidRPr="004406DE">
        <w:t>g</w:t>
      </w:r>
      <w:r w:rsidRPr="004406DE">
        <w:t>tinget</w:t>
      </w:r>
      <w:r w:rsidRPr="00537B61">
        <w:t>. Lagtinget kan alltid begära att ett samråd hålls i ett enskilt ärende.</w:t>
      </w:r>
    </w:p>
    <w:p w:rsidR="004406DE" w:rsidRPr="004406DE" w:rsidRDefault="004406DE" w:rsidP="004406DE">
      <w:pPr>
        <w:pStyle w:val="ANormal"/>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7"/>
        <w:gridCol w:w="98"/>
        <w:gridCol w:w="1805"/>
        <w:gridCol w:w="180"/>
        <w:gridCol w:w="1701"/>
        <w:gridCol w:w="142"/>
      </w:tblGrid>
      <w:tr w:rsidR="004406DE" w:rsidRPr="004406DE" w:rsidTr="00D551C8">
        <w:trPr>
          <w:cantSplit/>
        </w:trPr>
        <w:tc>
          <w:tcPr>
            <w:tcW w:w="6663" w:type="dxa"/>
            <w:gridSpan w:val="6"/>
            <w:tcBorders>
              <w:top w:val="nil"/>
              <w:left w:val="nil"/>
              <w:bottom w:val="single" w:sz="4" w:space="0" w:color="auto"/>
              <w:right w:val="nil"/>
            </w:tcBorders>
          </w:tcPr>
          <w:p w:rsidR="004406DE" w:rsidRPr="004406DE" w:rsidRDefault="004406DE" w:rsidP="004406DE">
            <w:pPr>
              <w:pStyle w:val="ANormal"/>
              <w:rPr>
                <w:b/>
              </w:rPr>
            </w:pPr>
            <w:r w:rsidRPr="004406DE">
              <w:rPr>
                <w:b/>
              </w:rPr>
              <w:t>Tabell 3: Landskapsregeringens samrådsärenden med Ålands lagting 2014</w:t>
            </w:r>
          </w:p>
        </w:tc>
      </w:tr>
      <w:tr w:rsidR="004406DE" w:rsidRPr="004406DE" w:rsidTr="00D551C8">
        <w:tc>
          <w:tcPr>
            <w:tcW w:w="2835" w:type="dxa"/>
            <w:gridSpan w:val="2"/>
            <w:tcBorders>
              <w:top w:val="single" w:sz="4" w:space="0" w:color="auto"/>
            </w:tcBorders>
            <w:shd w:val="clear" w:color="auto" w:fill="A6A6A6"/>
          </w:tcPr>
          <w:p w:rsidR="004406DE" w:rsidRPr="004406DE" w:rsidRDefault="004406DE" w:rsidP="004406DE">
            <w:pPr>
              <w:pStyle w:val="ANormal"/>
              <w:rPr>
                <w:b/>
                <w:bCs/>
              </w:rPr>
            </w:pPr>
            <w:r w:rsidRPr="004406DE">
              <w:rPr>
                <w:b/>
                <w:bCs/>
              </w:rPr>
              <w:t>Utskott</w:t>
            </w:r>
          </w:p>
        </w:tc>
        <w:tc>
          <w:tcPr>
            <w:tcW w:w="1985" w:type="dxa"/>
            <w:gridSpan w:val="2"/>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2014</w:t>
            </w:r>
          </w:p>
        </w:tc>
        <w:tc>
          <w:tcPr>
            <w:tcW w:w="1843" w:type="dxa"/>
            <w:gridSpan w:val="2"/>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2013</w:t>
            </w:r>
          </w:p>
        </w:tc>
      </w:tr>
      <w:tr w:rsidR="004406DE" w:rsidRPr="004406DE" w:rsidTr="00D551C8">
        <w:tc>
          <w:tcPr>
            <w:tcW w:w="2835" w:type="dxa"/>
            <w:gridSpan w:val="2"/>
          </w:tcPr>
          <w:p w:rsidR="004406DE" w:rsidRPr="004406DE" w:rsidRDefault="004406DE" w:rsidP="004406DE">
            <w:pPr>
              <w:pStyle w:val="ANormal"/>
              <w:rPr>
                <w:bCs/>
              </w:rPr>
            </w:pPr>
            <w:r w:rsidRPr="004406DE">
              <w:rPr>
                <w:bCs/>
              </w:rPr>
              <w:t>Lag- och kulturutskottet</w:t>
            </w:r>
          </w:p>
        </w:tc>
        <w:tc>
          <w:tcPr>
            <w:tcW w:w="1985" w:type="dxa"/>
            <w:gridSpan w:val="2"/>
            <w:vAlign w:val="center"/>
          </w:tcPr>
          <w:p w:rsidR="004406DE" w:rsidRPr="004406DE" w:rsidRDefault="004406DE" w:rsidP="004406DE">
            <w:pPr>
              <w:pStyle w:val="ANormal"/>
            </w:pPr>
          </w:p>
        </w:tc>
        <w:tc>
          <w:tcPr>
            <w:tcW w:w="1843" w:type="dxa"/>
            <w:gridSpan w:val="2"/>
            <w:vAlign w:val="center"/>
          </w:tcPr>
          <w:p w:rsidR="004406DE" w:rsidRPr="004406DE" w:rsidRDefault="004406DE" w:rsidP="004406DE">
            <w:pPr>
              <w:pStyle w:val="ANormal"/>
            </w:pPr>
            <w:r w:rsidRPr="004406DE">
              <w:t>-</w:t>
            </w:r>
          </w:p>
        </w:tc>
      </w:tr>
      <w:tr w:rsidR="004406DE" w:rsidRPr="004406DE" w:rsidTr="00D551C8">
        <w:tc>
          <w:tcPr>
            <w:tcW w:w="2835" w:type="dxa"/>
            <w:gridSpan w:val="2"/>
          </w:tcPr>
          <w:p w:rsidR="004406DE" w:rsidRPr="004406DE" w:rsidRDefault="004406DE" w:rsidP="004406DE">
            <w:pPr>
              <w:pStyle w:val="ANormal"/>
            </w:pPr>
            <w:r w:rsidRPr="004406DE">
              <w:rPr>
                <w:bCs/>
              </w:rPr>
              <w:t>Finans- och näringsutskottet</w:t>
            </w:r>
          </w:p>
        </w:tc>
        <w:tc>
          <w:tcPr>
            <w:tcW w:w="1985" w:type="dxa"/>
            <w:gridSpan w:val="2"/>
            <w:vAlign w:val="center"/>
          </w:tcPr>
          <w:p w:rsidR="004406DE" w:rsidRPr="004406DE" w:rsidRDefault="004406DE" w:rsidP="004406DE">
            <w:pPr>
              <w:pStyle w:val="ANormal"/>
            </w:pPr>
          </w:p>
        </w:tc>
        <w:tc>
          <w:tcPr>
            <w:tcW w:w="1843" w:type="dxa"/>
            <w:gridSpan w:val="2"/>
            <w:vAlign w:val="center"/>
          </w:tcPr>
          <w:p w:rsidR="004406DE" w:rsidRPr="004406DE" w:rsidRDefault="004406DE" w:rsidP="004406DE">
            <w:pPr>
              <w:pStyle w:val="ANormal"/>
            </w:pPr>
            <w:r w:rsidRPr="004406DE">
              <w:t>1 st</w:t>
            </w:r>
          </w:p>
        </w:tc>
      </w:tr>
      <w:tr w:rsidR="004406DE" w:rsidRPr="004406DE" w:rsidTr="00D551C8">
        <w:tc>
          <w:tcPr>
            <w:tcW w:w="2835" w:type="dxa"/>
            <w:gridSpan w:val="2"/>
          </w:tcPr>
          <w:p w:rsidR="004406DE" w:rsidRPr="004406DE" w:rsidRDefault="004406DE" w:rsidP="004406DE">
            <w:pPr>
              <w:pStyle w:val="ANormal"/>
            </w:pPr>
            <w:r w:rsidRPr="004406DE">
              <w:rPr>
                <w:bCs/>
              </w:rPr>
              <w:t>Social- och miljöutskottet</w:t>
            </w:r>
          </w:p>
        </w:tc>
        <w:tc>
          <w:tcPr>
            <w:tcW w:w="1985" w:type="dxa"/>
            <w:gridSpan w:val="2"/>
            <w:vAlign w:val="center"/>
          </w:tcPr>
          <w:p w:rsidR="004406DE" w:rsidRPr="004406DE" w:rsidRDefault="004406DE" w:rsidP="004406DE">
            <w:pPr>
              <w:pStyle w:val="ANormal"/>
            </w:pPr>
            <w:r w:rsidRPr="004406DE">
              <w:t>2 st</w:t>
            </w:r>
          </w:p>
        </w:tc>
        <w:tc>
          <w:tcPr>
            <w:tcW w:w="1843" w:type="dxa"/>
            <w:gridSpan w:val="2"/>
            <w:vAlign w:val="center"/>
          </w:tcPr>
          <w:p w:rsidR="004406DE" w:rsidRPr="004406DE" w:rsidRDefault="004406DE" w:rsidP="004406DE">
            <w:pPr>
              <w:pStyle w:val="ANormal"/>
            </w:pPr>
            <w:r w:rsidRPr="004406DE">
              <w:t>2 st</w:t>
            </w:r>
          </w:p>
        </w:tc>
      </w:tr>
      <w:tr w:rsidR="004406DE" w:rsidRPr="004406DE" w:rsidTr="00D551C8">
        <w:tc>
          <w:tcPr>
            <w:tcW w:w="2835" w:type="dxa"/>
            <w:gridSpan w:val="2"/>
          </w:tcPr>
          <w:p w:rsidR="004406DE" w:rsidRPr="004406DE" w:rsidRDefault="004406DE" w:rsidP="004406DE">
            <w:pPr>
              <w:pStyle w:val="ANormal"/>
            </w:pPr>
            <w:r w:rsidRPr="004406DE">
              <w:rPr>
                <w:bCs/>
              </w:rPr>
              <w:t>Justeringsutskottet</w:t>
            </w:r>
          </w:p>
        </w:tc>
        <w:tc>
          <w:tcPr>
            <w:tcW w:w="1985" w:type="dxa"/>
            <w:gridSpan w:val="2"/>
            <w:vAlign w:val="center"/>
          </w:tcPr>
          <w:p w:rsidR="004406DE" w:rsidRPr="004406DE" w:rsidRDefault="004406DE" w:rsidP="004406DE">
            <w:pPr>
              <w:pStyle w:val="ANormal"/>
            </w:pPr>
          </w:p>
        </w:tc>
        <w:tc>
          <w:tcPr>
            <w:tcW w:w="1843" w:type="dxa"/>
            <w:gridSpan w:val="2"/>
            <w:vAlign w:val="center"/>
          </w:tcPr>
          <w:p w:rsidR="004406DE" w:rsidRPr="004406DE" w:rsidRDefault="004406DE" w:rsidP="004406DE">
            <w:pPr>
              <w:pStyle w:val="ANormal"/>
            </w:pPr>
            <w:r w:rsidRPr="004406DE">
              <w:t>-</w:t>
            </w:r>
          </w:p>
        </w:tc>
      </w:tr>
      <w:tr w:rsidR="004406DE" w:rsidRPr="004406DE" w:rsidTr="00D551C8">
        <w:tc>
          <w:tcPr>
            <w:tcW w:w="2835" w:type="dxa"/>
            <w:gridSpan w:val="2"/>
          </w:tcPr>
          <w:p w:rsidR="004406DE" w:rsidRPr="004406DE" w:rsidRDefault="004406DE" w:rsidP="004406DE">
            <w:pPr>
              <w:pStyle w:val="ANormal"/>
            </w:pPr>
            <w:r w:rsidRPr="004406DE">
              <w:t>Kanslikommissionen</w:t>
            </w:r>
          </w:p>
        </w:tc>
        <w:tc>
          <w:tcPr>
            <w:tcW w:w="1985" w:type="dxa"/>
            <w:gridSpan w:val="2"/>
            <w:vAlign w:val="center"/>
          </w:tcPr>
          <w:p w:rsidR="004406DE" w:rsidRPr="004406DE" w:rsidRDefault="004406DE" w:rsidP="004406DE">
            <w:pPr>
              <w:pStyle w:val="ANormal"/>
            </w:pPr>
          </w:p>
        </w:tc>
        <w:tc>
          <w:tcPr>
            <w:tcW w:w="1843" w:type="dxa"/>
            <w:gridSpan w:val="2"/>
            <w:vAlign w:val="center"/>
          </w:tcPr>
          <w:p w:rsidR="004406DE" w:rsidRPr="004406DE" w:rsidRDefault="004406DE" w:rsidP="004406DE">
            <w:pPr>
              <w:pStyle w:val="ANormal"/>
            </w:pPr>
            <w:r w:rsidRPr="004406DE">
              <w:t>-</w:t>
            </w:r>
          </w:p>
        </w:tc>
      </w:tr>
      <w:tr w:rsidR="004406DE" w:rsidRPr="004406DE" w:rsidTr="00D551C8">
        <w:tc>
          <w:tcPr>
            <w:tcW w:w="2835" w:type="dxa"/>
            <w:gridSpan w:val="2"/>
          </w:tcPr>
          <w:p w:rsidR="004406DE" w:rsidRPr="004406DE" w:rsidRDefault="004406DE" w:rsidP="004406DE">
            <w:pPr>
              <w:pStyle w:val="ANormal"/>
            </w:pPr>
            <w:r w:rsidRPr="004406DE">
              <w:t>Självstyrelsepolitiska näm</w:t>
            </w:r>
            <w:r w:rsidRPr="004406DE">
              <w:t>n</w:t>
            </w:r>
            <w:r w:rsidRPr="004406DE">
              <w:t>den</w:t>
            </w:r>
          </w:p>
        </w:tc>
        <w:tc>
          <w:tcPr>
            <w:tcW w:w="1985" w:type="dxa"/>
            <w:gridSpan w:val="2"/>
            <w:vAlign w:val="center"/>
          </w:tcPr>
          <w:p w:rsidR="004406DE" w:rsidRPr="004406DE" w:rsidRDefault="004406DE" w:rsidP="004406DE">
            <w:pPr>
              <w:pStyle w:val="ANormal"/>
              <w:rPr>
                <w:bCs/>
                <w:lang w:val="en-GB"/>
              </w:rPr>
            </w:pPr>
          </w:p>
        </w:tc>
        <w:tc>
          <w:tcPr>
            <w:tcW w:w="1843" w:type="dxa"/>
            <w:gridSpan w:val="2"/>
            <w:vAlign w:val="center"/>
          </w:tcPr>
          <w:p w:rsidR="004406DE" w:rsidRPr="004406DE" w:rsidRDefault="004406DE" w:rsidP="004406DE">
            <w:pPr>
              <w:pStyle w:val="ANormal"/>
              <w:rPr>
                <w:bCs/>
                <w:lang w:val="en-GB"/>
              </w:rPr>
            </w:pPr>
            <w:r w:rsidRPr="004406DE">
              <w:rPr>
                <w:bCs/>
                <w:lang w:val="en-GB"/>
              </w:rPr>
              <w:t>-</w:t>
            </w:r>
          </w:p>
        </w:tc>
      </w:tr>
      <w:tr w:rsidR="004406DE" w:rsidRPr="004406DE" w:rsidTr="00D551C8">
        <w:tc>
          <w:tcPr>
            <w:tcW w:w="2835" w:type="dxa"/>
            <w:gridSpan w:val="2"/>
          </w:tcPr>
          <w:p w:rsidR="004406DE" w:rsidRPr="004406DE" w:rsidRDefault="004406DE" w:rsidP="004406DE">
            <w:pPr>
              <w:pStyle w:val="ANormal"/>
              <w:rPr>
                <w:b/>
                <w:bCs/>
              </w:rPr>
            </w:pPr>
            <w:r w:rsidRPr="004406DE">
              <w:rPr>
                <w:b/>
                <w:bCs/>
              </w:rPr>
              <w:t>Totalt</w:t>
            </w:r>
          </w:p>
        </w:tc>
        <w:tc>
          <w:tcPr>
            <w:tcW w:w="1985" w:type="dxa"/>
            <w:gridSpan w:val="2"/>
            <w:vAlign w:val="center"/>
          </w:tcPr>
          <w:p w:rsidR="004406DE" w:rsidRPr="004406DE" w:rsidRDefault="004406DE" w:rsidP="004406DE">
            <w:pPr>
              <w:pStyle w:val="ANormal"/>
              <w:rPr>
                <w:b/>
                <w:bCs/>
                <w:lang w:val="en-GB"/>
              </w:rPr>
            </w:pPr>
            <w:r w:rsidRPr="004406DE">
              <w:rPr>
                <w:b/>
                <w:bCs/>
                <w:lang w:val="en-GB"/>
              </w:rPr>
              <w:t>2 st</w:t>
            </w:r>
          </w:p>
        </w:tc>
        <w:tc>
          <w:tcPr>
            <w:tcW w:w="1843" w:type="dxa"/>
            <w:gridSpan w:val="2"/>
            <w:vAlign w:val="center"/>
          </w:tcPr>
          <w:p w:rsidR="004406DE" w:rsidRPr="004406DE" w:rsidRDefault="004406DE" w:rsidP="004406DE">
            <w:pPr>
              <w:pStyle w:val="ANormal"/>
              <w:rPr>
                <w:b/>
                <w:bCs/>
                <w:lang w:val="en-GB"/>
              </w:rPr>
            </w:pPr>
            <w:r w:rsidRPr="004406DE">
              <w:rPr>
                <w:b/>
                <w:bCs/>
                <w:lang w:val="en-GB"/>
              </w:rPr>
              <w:t>3 st</w:t>
            </w:r>
          </w:p>
        </w:tc>
      </w:tr>
      <w:tr w:rsidR="004406DE" w:rsidRPr="004406DE" w:rsidTr="00D551C8">
        <w:trPr>
          <w:gridAfter w:val="1"/>
          <w:wAfter w:w="142" w:type="dxa"/>
          <w:cantSplit/>
        </w:trPr>
        <w:tc>
          <w:tcPr>
            <w:tcW w:w="6521" w:type="dxa"/>
            <w:gridSpan w:val="5"/>
            <w:tcBorders>
              <w:top w:val="nil"/>
              <w:left w:val="nil"/>
              <w:bottom w:val="single" w:sz="4" w:space="0" w:color="auto"/>
              <w:right w:val="nil"/>
            </w:tcBorders>
          </w:tcPr>
          <w:p w:rsidR="004406DE" w:rsidRDefault="004406DE" w:rsidP="004406DE">
            <w:pPr>
              <w:pStyle w:val="ANormal"/>
              <w:rPr>
                <w:b/>
              </w:rPr>
            </w:pPr>
          </w:p>
          <w:p w:rsidR="002621D1" w:rsidRDefault="002621D1" w:rsidP="004406DE">
            <w:pPr>
              <w:pStyle w:val="ANormal"/>
              <w:rPr>
                <w:b/>
              </w:rPr>
            </w:pPr>
          </w:p>
          <w:p w:rsidR="004406DE" w:rsidRPr="004406DE" w:rsidRDefault="004406DE" w:rsidP="004406DE">
            <w:pPr>
              <w:pStyle w:val="ANormal"/>
              <w:rPr>
                <w:b/>
              </w:rPr>
            </w:pPr>
            <w:r w:rsidRPr="004406DE">
              <w:rPr>
                <w:b/>
              </w:rPr>
              <w:t>Tabell 4. Landskapsregeringens informationsärenden med Ålands lagting 2014</w:t>
            </w:r>
          </w:p>
        </w:tc>
      </w:tr>
      <w:tr w:rsidR="004406DE" w:rsidRPr="004406DE" w:rsidTr="00D551C8">
        <w:trPr>
          <w:gridAfter w:val="1"/>
          <w:wAfter w:w="142" w:type="dxa"/>
        </w:trPr>
        <w:tc>
          <w:tcPr>
            <w:tcW w:w="2737" w:type="dxa"/>
            <w:tcBorders>
              <w:top w:val="single" w:sz="4" w:space="0" w:color="auto"/>
            </w:tcBorders>
            <w:shd w:val="clear" w:color="auto" w:fill="A6A6A6"/>
          </w:tcPr>
          <w:p w:rsidR="004406DE" w:rsidRPr="004406DE" w:rsidRDefault="004406DE" w:rsidP="004406DE">
            <w:pPr>
              <w:pStyle w:val="ANormal"/>
              <w:rPr>
                <w:b/>
                <w:bCs/>
              </w:rPr>
            </w:pPr>
            <w:r w:rsidRPr="004406DE">
              <w:rPr>
                <w:b/>
                <w:bCs/>
              </w:rPr>
              <w:t>Utskott</w:t>
            </w:r>
          </w:p>
        </w:tc>
        <w:tc>
          <w:tcPr>
            <w:tcW w:w="1903" w:type="dxa"/>
            <w:gridSpan w:val="2"/>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2014</w:t>
            </w:r>
          </w:p>
        </w:tc>
        <w:tc>
          <w:tcPr>
            <w:tcW w:w="1881" w:type="dxa"/>
            <w:gridSpan w:val="2"/>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2013</w:t>
            </w:r>
          </w:p>
        </w:tc>
      </w:tr>
      <w:tr w:rsidR="004406DE" w:rsidRPr="004406DE" w:rsidTr="00D551C8">
        <w:trPr>
          <w:gridAfter w:val="1"/>
          <w:wAfter w:w="142" w:type="dxa"/>
        </w:trPr>
        <w:tc>
          <w:tcPr>
            <w:tcW w:w="2737" w:type="dxa"/>
          </w:tcPr>
          <w:p w:rsidR="004406DE" w:rsidRPr="004406DE" w:rsidRDefault="004406DE" w:rsidP="004406DE">
            <w:pPr>
              <w:pStyle w:val="ANormal"/>
              <w:rPr>
                <w:bCs/>
              </w:rPr>
            </w:pPr>
            <w:r w:rsidRPr="004406DE">
              <w:rPr>
                <w:bCs/>
              </w:rPr>
              <w:t>Lag- och kulturutskottet</w:t>
            </w:r>
          </w:p>
        </w:tc>
        <w:tc>
          <w:tcPr>
            <w:tcW w:w="1903" w:type="dxa"/>
            <w:gridSpan w:val="2"/>
          </w:tcPr>
          <w:p w:rsidR="004406DE" w:rsidRPr="004406DE" w:rsidRDefault="004406DE" w:rsidP="004406DE">
            <w:pPr>
              <w:pStyle w:val="ANormal"/>
            </w:pPr>
            <w:r w:rsidRPr="004406DE">
              <w:t>2 st</w:t>
            </w:r>
          </w:p>
        </w:tc>
        <w:tc>
          <w:tcPr>
            <w:tcW w:w="1881" w:type="dxa"/>
            <w:gridSpan w:val="2"/>
          </w:tcPr>
          <w:p w:rsidR="004406DE" w:rsidRPr="004406DE" w:rsidRDefault="004406DE" w:rsidP="004406DE">
            <w:pPr>
              <w:pStyle w:val="ANormal"/>
            </w:pPr>
            <w:r w:rsidRPr="004406DE">
              <w:t>-</w:t>
            </w:r>
          </w:p>
        </w:tc>
      </w:tr>
      <w:tr w:rsidR="004406DE" w:rsidRPr="004406DE" w:rsidTr="00D551C8">
        <w:trPr>
          <w:gridAfter w:val="1"/>
          <w:wAfter w:w="142" w:type="dxa"/>
        </w:trPr>
        <w:tc>
          <w:tcPr>
            <w:tcW w:w="2737" w:type="dxa"/>
          </w:tcPr>
          <w:p w:rsidR="004406DE" w:rsidRPr="004406DE" w:rsidRDefault="004406DE" w:rsidP="004406DE">
            <w:pPr>
              <w:pStyle w:val="ANormal"/>
            </w:pPr>
            <w:r w:rsidRPr="004406DE">
              <w:rPr>
                <w:bCs/>
              </w:rPr>
              <w:t>Finans- och näringsutskottet</w:t>
            </w:r>
          </w:p>
        </w:tc>
        <w:tc>
          <w:tcPr>
            <w:tcW w:w="1903" w:type="dxa"/>
            <w:gridSpan w:val="2"/>
          </w:tcPr>
          <w:p w:rsidR="004406DE" w:rsidRPr="004406DE" w:rsidRDefault="004406DE" w:rsidP="004406DE">
            <w:pPr>
              <w:pStyle w:val="ANormal"/>
            </w:pPr>
            <w:r w:rsidRPr="004406DE">
              <w:t>2 st</w:t>
            </w:r>
          </w:p>
        </w:tc>
        <w:tc>
          <w:tcPr>
            <w:tcW w:w="1881" w:type="dxa"/>
            <w:gridSpan w:val="2"/>
          </w:tcPr>
          <w:p w:rsidR="004406DE" w:rsidRPr="004406DE" w:rsidRDefault="004406DE" w:rsidP="004406DE">
            <w:pPr>
              <w:pStyle w:val="ANormal"/>
            </w:pPr>
            <w:r w:rsidRPr="004406DE">
              <w:t>-</w:t>
            </w:r>
          </w:p>
        </w:tc>
      </w:tr>
      <w:tr w:rsidR="004406DE" w:rsidRPr="004406DE" w:rsidTr="00D551C8">
        <w:trPr>
          <w:gridAfter w:val="1"/>
          <w:wAfter w:w="142" w:type="dxa"/>
        </w:trPr>
        <w:tc>
          <w:tcPr>
            <w:tcW w:w="2737" w:type="dxa"/>
          </w:tcPr>
          <w:p w:rsidR="004406DE" w:rsidRPr="004406DE" w:rsidRDefault="004406DE" w:rsidP="004406DE">
            <w:pPr>
              <w:pStyle w:val="ANormal"/>
            </w:pPr>
            <w:r w:rsidRPr="004406DE">
              <w:rPr>
                <w:bCs/>
              </w:rPr>
              <w:t>Social- och miljöutskottet</w:t>
            </w:r>
          </w:p>
        </w:tc>
        <w:tc>
          <w:tcPr>
            <w:tcW w:w="1903" w:type="dxa"/>
            <w:gridSpan w:val="2"/>
          </w:tcPr>
          <w:p w:rsidR="004406DE" w:rsidRPr="004406DE" w:rsidRDefault="004406DE" w:rsidP="004406DE">
            <w:pPr>
              <w:pStyle w:val="ANormal"/>
            </w:pPr>
            <w:r w:rsidRPr="004406DE">
              <w:t>2 st</w:t>
            </w:r>
          </w:p>
        </w:tc>
        <w:tc>
          <w:tcPr>
            <w:tcW w:w="1881" w:type="dxa"/>
            <w:gridSpan w:val="2"/>
          </w:tcPr>
          <w:p w:rsidR="004406DE" w:rsidRPr="004406DE" w:rsidRDefault="004406DE" w:rsidP="004406DE">
            <w:pPr>
              <w:pStyle w:val="ANormal"/>
            </w:pPr>
            <w:r w:rsidRPr="004406DE">
              <w:t>6 st</w:t>
            </w:r>
          </w:p>
        </w:tc>
      </w:tr>
      <w:tr w:rsidR="004406DE" w:rsidRPr="004406DE" w:rsidTr="00D551C8">
        <w:trPr>
          <w:gridAfter w:val="1"/>
          <w:wAfter w:w="142" w:type="dxa"/>
        </w:trPr>
        <w:tc>
          <w:tcPr>
            <w:tcW w:w="2737" w:type="dxa"/>
          </w:tcPr>
          <w:p w:rsidR="004406DE" w:rsidRPr="004406DE" w:rsidRDefault="004406DE" w:rsidP="004406DE">
            <w:pPr>
              <w:pStyle w:val="ANormal"/>
            </w:pPr>
            <w:r w:rsidRPr="004406DE">
              <w:rPr>
                <w:bCs/>
              </w:rPr>
              <w:t>Justeringsutskottet</w:t>
            </w:r>
          </w:p>
        </w:tc>
        <w:tc>
          <w:tcPr>
            <w:tcW w:w="1903" w:type="dxa"/>
            <w:gridSpan w:val="2"/>
          </w:tcPr>
          <w:p w:rsidR="004406DE" w:rsidRPr="004406DE" w:rsidRDefault="004406DE" w:rsidP="004406DE">
            <w:pPr>
              <w:pStyle w:val="ANormal"/>
            </w:pPr>
          </w:p>
        </w:tc>
        <w:tc>
          <w:tcPr>
            <w:tcW w:w="1881" w:type="dxa"/>
            <w:gridSpan w:val="2"/>
          </w:tcPr>
          <w:p w:rsidR="004406DE" w:rsidRPr="004406DE" w:rsidRDefault="004406DE" w:rsidP="004406DE">
            <w:pPr>
              <w:pStyle w:val="ANormal"/>
            </w:pPr>
            <w:r w:rsidRPr="004406DE">
              <w:t>-</w:t>
            </w:r>
          </w:p>
        </w:tc>
      </w:tr>
      <w:tr w:rsidR="004406DE" w:rsidRPr="004406DE" w:rsidTr="00D551C8">
        <w:trPr>
          <w:gridAfter w:val="1"/>
          <w:wAfter w:w="142" w:type="dxa"/>
        </w:trPr>
        <w:tc>
          <w:tcPr>
            <w:tcW w:w="2737" w:type="dxa"/>
          </w:tcPr>
          <w:p w:rsidR="004406DE" w:rsidRPr="004406DE" w:rsidRDefault="004406DE" w:rsidP="004406DE">
            <w:pPr>
              <w:pStyle w:val="ANormal"/>
            </w:pPr>
            <w:r w:rsidRPr="004406DE">
              <w:t>Kanslikommissionen</w:t>
            </w:r>
          </w:p>
        </w:tc>
        <w:tc>
          <w:tcPr>
            <w:tcW w:w="1903" w:type="dxa"/>
            <w:gridSpan w:val="2"/>
          </w:tcPr>
          <w:p w:rsidR="004406DE" w:rsidRPr="004406DE" w:rsidRDefault="004406DE" w:rsidP="004406DE">
            <w:pPr>
              <w:pStyle w:val="ANormal"/>
            </w:pPr>
          </w:p>
        </w:tc>
        <w:tc>
          <w:tcPr>
            <w:tcW w:w="1881" w:type="dxa"/>
            <w:gridSpan w:val="2"/>
          </w:tcPr>
          <w:p w:rsidR="004406DE" w:rsidRPr="004406DE" w:rsidRDefault="004406DE" w:rsidP="004406DE">
            <w:pPr>
              <w:pStyle w:val="ANormal"/>
            </w:pPr>
            <w:r w:rsidRPr="004406DE">
              <w:t>-</w:t>
            </w:r>
          </w:p>
        </w:tc>
      </w:tr>
      <w:tr w:rsidR="004406DE" w:rsidRPr="004406DE" w:rsidTr="00D551C8">
        <w:trPr>
          <w:gridAfter w:val="1"/>
          <w:wAfter w:w="142" w:type="dxa"/>
          <w:trHeight w:val="77"/>
        </w:trPr>
        <w:tc>
          <w:tcPr>
            <w:tcW w:w="2737" w:type="dxa"/>
          </w:tcPr>
          <w:p w:rsidR="004406DE" w:rsidRPr="004406DE" w:rsidRDefault="004406DE" w:rsidP="004406DE">
            <w:pPr>
              <w:pStyle w:val="ANormal"/>
            </w:pPr>
            <w:r w:rsidRPr="004406DE">
              <w:t>Självstyrelsepolitiska näm</w:t>
            </w:r>
            <w:r w:rsidRPr="004406DE">
              <w:t>n</w:t>
            </w:r>
            <w:r w:rsidRPr="004406DE">
              <w:t>den</w:t>
            </w:r>
          </w:p>
        </w:tc>
        <w:tc>
          <w:tcPr>
            <w:tcW w:w="1903" w:type="dxa"/>
            <w:gridSpan w:val="2"/>
          </w:tcPr>
          <w:p w:rsidR="004406DE" w:rsidRPr="004406DE" w:rsidRDefault="004406DE" w:rsidP="004406DE">
            <w:pPr>
              <w:pStyle w:val="ANormal"/>
              <w:rPr>
                <w:lang w:val="en-GB"/>
              </w:rPr>
            </w:pPr>
          </w:p>
        </w:tc>
        <w:tc>
          <w:tcPr>
            <w:tcW w:w="1881" w:type="dxa"/>
            <w:gridSpan w:val="2"/>
          </w:tcPr>
          <w:p w:rsidR="004406DE" w:rsidRPr="004406DE" w:rsidRDefault="004406DE" w:rsidP="004406DE">
            <w:pPr>
              <w:pStyle w:val="ANormal"/>
              <w:rPr>
                <w:lang w:val="en-GB"/>
              </w:rPr>
            </w:pPr>
            <w:r w:rsidRPr="004406DE">
              <w:rPr>
                <w:lang w:val="en-GB"/>
              </w:rPr>
              <w:t>-</w:t>
            </w:r>
          </w:p>
        </w:tc>
      </w:tr>
      <w:tr w:rsidR="004406DE" w:rsidRPr="004406DE" w:rsidTr="00D551C8">
        <w:trPr>
          <w:gridAfter w:val="1"/>
          <w:wAfter w:w="142" w:type="dxa"/>
        </w:trPr>
        <w:tc>
          <w:tcPr>
            <w:tcW w:w="2737" w:type="dxa"/>
          </w:tcPr>
          <w:p w:rsidR="004406DE" w:rsidRPr="004406DE" w:rsidRDefault="004406DE" w:rsidP="004406DE">
            <w:pPr>
              <w:pStyle w:val="ANormal"/>
              <w:rPr>
                <w:b/>
                <w:bCs/>
              </w:rPr>
            </w:pPr>
            <w:r w:rsidRPr="004406DE">
              <w:rPr>
                <w:b/>
                <w:bCs/>
              </w:rPr>
              <w:t>Totalt</w:t>
            </w:r>
          </w:p>
        </w:tc>
        <w:tc>
          <w:tcPr>
            <w:tcW w:w="1903" w:type="dxa"/>
            <w:gridSpan w:val="2"/>
          </w:tcPr>
          <w:p w:rsidR="004406DE" w:rsidRPr="004406DE" w:rsidRDefault="004406DE" w:rsidP="004406DE">
            <w:pPr>
              <w:pStyle w:val="ANormal"/>
              <w:rPr>
                <w:b/>
                <w:bCs/>
                <w:lang w:val="en-GB"/>
              </w:rPr>
            </w:pPr>
            <w:r w:rsidRPr="004406DE">
              <w:rPr>
                <w:b/>
                <w:bCs/>
                <w:lang w:val="en-GB"/>
              </w:rPr>
              <w:t>6 st</w:t>
            </w:r>
          </w:p>
        </w:tc>
        <w:tc>
          <w:tcPr>
            <w:tcW w:w="1881" w:type="dxa"/>
            <w:gridSpan w:val="2"/>
          </w:tcPr>
          <w:p w:rsidR="004406DE" w:rsidRPr="004406DE" w:rsidRDefault="004406DE" w:rsidP="004406DE">
            <w:pPr>
              <w:pStyle w:val="ANormal"/>
              <w:rPr>
                <w:b/>
                <w:bCs/>
                <w:lang w:val="en-GB"/>
              </w:rPr>
            </w:pPr>
            <w:r w:rsidRPr="004406DE">
              <w:rPr>
                <w:b/>
                <w:bCs/>
                <w:lang w:val="en-GB"/>
              </w:rPr>
              <w:t>6 st</w:t>
            </w:r>
          </w:p>
        </w:tc>
      </w:tr>
    </w:tbl>
    <w:p w:rsidR="004406DE" w:rsidRDefault="004406DE" w:rsidP="004406DE">
      <w:pPr>
        <w:pStyle w:val="ANormal"/>
      </w:pPr>
    </w:p>
    <w:p w:rsidR="002621D1" w:rsidRPr="004406DE" w:rsidRDefault="002621D1" w:rsidP="004406DE">
      <w:pPr>
        <w:pStyle w:val="ANormal"/>
      </w:pPr>
    </w:p>
    <w:p w:rsidR="004406DE" w:rsidRPr="004406DE" w:rsidRDefault="004406DE" w:rsidP="005242BE">
      <w:r w:rsidRPr="004406DE">
        <w:lastRenderedPageBreak/>
        <w:t>De diarieförda kommissionsinitiativen fördelades på landskapsregeringens avdelningar och enheter enligt tabellen nedan:</w:t>
      </w:r>
    </w:p>
    <w:p w:rsidR="004406DE" w:rsidRPr="004406DE" w:rsidRDefault="004406DE" w:rsidP="004406DE">
      <w:pPr>
        <w:pStyle w:val="ANormal"/>
      </w:pPr>
    </w:p>
    <w:p w:rsidR="004406DE" w:rsidRPr="004406DE" w:rsidRDefault="004406DE" w:rsidP="004406DE">
      <w:pPr>
        <w:pStyle w:val="ANormal"/>
        <w:rPr>
          <w:b/>
        </w:rPr>
      </w:pPr>
      <w:r w:rsidRPr="004406DE">
        <w:rPr>
          <w:b/>
        </w:rPr>
        <w:t xml:space="preserve">Tabell 5. Fördelning inom landskapsregeringen av diarieförda </w:t>
      </w:r>
    </w:p>
    <w:p w:rsidR="004406DE" w:rsidRPr="004406DE" w:rsidRDefault="004406DE" w:rsidP="004406DE">
      <w:pPr>
        <w:pStyle w:val="ANormal"/>
        <w:rPr>
          <w:b/>
        </w:rPr>
      </w:pPr>
      <w:r w:rsidRPr="004406DE">
        <w:rPr>
          <w:b/>
        </w:rPr>
        <w:t>kommissionsinitiativ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60"/>
        <w:gridCol w:w="1559"/>
      </w:tblGrid>
      <w:tr w:rsidR="004406DE" w:rsidRPr="004406DE" w:rsidTr="00D551C8">
        <w:tc>
          <w:tcPr>
            <w:tcW w:w="3402" w:type="dxa"/>
            <w:shd w:val="clear" w:color="auto" w:fill="A6A6A6"/>
          </w:tcPr>
          <w:p w:rsidR="004406DE" w:rsidRPr="004406DE" w:rsidRDefault="004406DE" w:rsidP="004406DE">
            <w:pPr>
              <w:pStyle w:val="ANormal"/>
              <w:rPr>
                <w:b/>
                <w:bCs/>
              </w:rPr>
            </w:pPr>
            <w:r w:rsidRPr="004406DE">
              <w:rPr>
                <w:b/>
                <w:bCs/>
              </w:rPr>
              <w:t>Enhet inom landskapsregeringen</w:t>
            </w:r>
          </w:p>
        </w:tc>
        <w:tc>
          <w:tcPr>
            <w:tcW w:w="1560" w:type="dxa"/>
            <w:shd w:val="clear" w:color="auto" w:fill="A6A6A6"/>
          </w:tcPr>
          <w:p w:rsidR="004406DE" w:rsidRPr="004406DE" w:rsidRDefault="004406DE" w:rsidP="004406DE">
            <w:pPr>
              <w:pStyle w:val="ANormal"/>
              <w:rPr>
                <w:b/>
                <w:bCs/>
              </w:rPr>
            </w:pPr>
            <w:r w:rsidRPr="004406DE">
              <w:rPr>
                <w:b/>
                <w:bCs/>
              </w:rPr>
              <w:t>2014</w:t>
            </w:r>
          </w:p>
        </w:tc>
        <w:tc>
          <w:tcPr>
            <w:tcW w:w="1559" w:type="dxa"/>
            <w:shd w:val="clear" w:color="auto" w:fill="A6A6A6"/>
          </w:tcPr>
          <w:p w:rsidR="004406DE" w:rsidRPr="004406DE" w:rsidRDefault="004406DE" w:rsidP="004406DE">
            <w:pPr>
              <w:pStyle w:val="ANormal"/>
              <w:rPr>
                <w:b/>
                <w:bCs/>
              </w:rPr>
            </w:pPr>
            <w:r w:rsidRPr="004406DE">
              <w:rPr>
                <w:b/>
                <w:bCs/>
              </w:rPr>
              <w:t>2013</w:t>
            </w:r>
          </w:p>
        </w:tc>
      </w:tr>
      <w:tr w:rsidR="004406DE" w:rsidRPr="004406DE" w:rsidTr="00D551C8">
        <w:tc>
          <w:tcPr>
            <w:tcW w:w="3402" w:type="dxa"/>
            <w:shd w:val="clear" w:color="auto" w:fill="auto"/>
          </w:tcPr>
          <w:p w:rsidR="004406DE" w:rsidRPr="004406DE" w:rsidRDefault="004406DE" w:rsidP="004406DE">
            <w:pPr>
              <w:pStyle w:val="ANormal"/>
              <w:rPr>
                <w:b/>
                <w:bCs/>
              </w:rPr>
            </w:pPr>
            <w:r w:rsidRPr="004406DE">
              <w:rPr>
                <w:b/>
                <w:bCs/>
              </w:rPr>
              <w:t>Kansliavdelningen</w:t>
            </w:r>
          </w:p>
        </w:tc>
        <w:tc>
          <w:tcPr>
            <w:tcW w:w="1560" w:type="dxa"/>
            <w:shd w:val="clear" w:color="auto" w:fill="auto"/>
          </w:tcPr>
          <w:p w:rsidR="004406DE" w:rsidRPr="004406DE" w:rsidRDefault="004406DE" w:rsidP="004406DE">
            <w:pPr>
              <w:pStyle w:val="ANormal"/>
            </w:pPr>
          </w:p>
        </w:tc>
        <w:tc>
          <w:tcPr>
            <w:tcW w:w="1559" w:type="dxa"/>
          </w:tcPr>
          <w:p w:rsidR="004406DE" w:rsidRPr="004406DE" w:rsidRDefault="004406DE" w:rsidP="004406DE">
            <w:pPr>
              <w:pStyle w:val="ANormal"/>
            </w:pPr>
          </w:p>
        </w:tc>
      </w:tr>
      <w:tr w:rsidR="004406DE" w:rsidRPr="004406DE" w:rsidTr="00D551C8">
        <w:tc>
          <w:tcPr>
            <w:tcW w:w="3402" w:type="dxa"/>
            <w:shd w:val="clear" w:color="auto" w:fill="auto"/>
          </w:tcPr>
          <w:p w:rsidR="004406DE" w:rsidRPr="004406DE" w:rsidRDefault="004406DE" w:rsidP="004406DE">
            <w:pPr>
              <w:pStyle w:val="ANormal"/>
            </w:pPr>
            <w:r w:rsidRPr="004406DE">
              <w:t>EU-enheten (K1c)</w:t>
            </w:r>
          </w:p>
        </w:tc>
        <w:tc>
          <w:tcPr>
            <w:tcW w:w="1560" w:type="dxa"/>
            <w:shd w:val="clear" w:color="auto" w:fill="auto"/>
          </w:tcPr>
          <w:p w:rsidR="004406DE" w:rsidRPr="004406DE" w:rsidRDefault="004406DE" w:rsidP="004406DE">
            <w:pPr>
              <w:pStyle w:val="ANormal"/>
            </w:pPr>
            <w:r w:rsidRPr="004406DE">
              <w:t>1 st</w:t>
            </w:r>
          </w:p>
        </w:tc>
        <w:tc>
          <w:tcPr>
            <w:tcW w:w="1559" w:type="dxa"/>
          </w:tcPr>
          <w:p w:rsidR="004406DE" w:rsidRPr="004406DE" w:rsidRDefault="004406DE" w:rsidP="004406DE">
            <w:pPr>
              <w:pStyle w:val="ANormal"/>
            </w:pPr>
            <w:r w:rsidRPr="004406DE">
              <w:t>1 st</w:t>
            </w:r>
          </w:p>
        </w:tc>
      </w:tr>
      <w:tr w:rsidR="004406DE" w:rsidRPr="004406DE" w:rsidTr="00D551C8">
        <w:tc>
          <w:tcPr>
            <w:tcW w:w="3402" w:type="dxa"/>
            <w:shd w:val="clear" w:color="auto" w:fill="auto"/>
          </w:tcPr>
          <w:p w:rsidR="004406DE" w:rsidRPr="004406DE" w:rsidRDefault="004406DE" w:rsidP="004406DE">
            <w:pPr>
              <w:pStyle w:val="ANormal"/>
              <w:rPr>
                <w:b/>
                <w:bCs/>
              </w:rPr>
            </w:pPr>
            <w:r w:rsidRPr="004406DE">
              <w:rPr>
                <w:b/>
                <w:bCs/>
              </w:rPr>
              <w:t>Finansavdelningen</w:t>
            </w:r>
          </w:p>
        </w:tc>
        <w:tc>
          <w:tcPr>
            <w:tcW w:w="1560" w:type="dxa"/>
            <w:shd w:val="clear" w:color="auto" w:fill="auto"/>
          </w:tcPr>
          <w:p w:rsidR="004406DE" w:rsidRPr="004406DE" w:rsidRDefault="004406DE" w:rsidP="004406DE">
            <w:pPr>
              <w:pStyle w:val="ANormal"/>
            </w:pPr>
          </w:p>
        </w:tc>
        <w:tc>
          <w:tcPr>
            <w:tcW w:w="1559" w:type="dxa"/>
          </w:tcPr>
          <w:p w:rsidR="004406DE" w:rsidRPr="004406DE" w:rsidRDefault="004406DE" w:rsidP="004406DE">
            <w:pPr>
              <w:pStyle w:val="ANormal"/>
            </w:pPr>
          </w:p>
        </w:tc>
      </w:tr>
      <w:tr w:rsidR="004406DE" w:rsidRPr="004406DE" w:rsidTr="00D551C8">
        <w:tc>
          <w:tcPr>
            <w:tcW w:w="3402" w:type="dxa"/>
            <w:shd w:val="clear" w:color="auto" w:fill="auto"/>
          </w:tcPr>
          <w:p w:rsidR="004406DE" w:rsidRPr="004406DE" w:rsidRDefault="004406DE" w:rsidP="004406DE">
            <w:pPr>
              <w:pStyle w:val="ANormal"/>
            </w:pPr>
            <w:r w:rsidRPr="004406DE">
              <w:t>Allmänna byrån (F1)</w:t>
            </w:r>
          </w:p>
        </w:tc>
        <w:tc>
          <w:tcPr>
            <w:tcW w:w="1560" w:type="dxa"/>
            <w:shd w:val="clear" w:color="auto" w:fill="auto"/>
          </w:tcPr>
          <w:p w:rsidR="004406DE" w:rsidRPr="004406DE" w:rsidRDefault="004406DE" w:rsidP="004406DE">
            <w:pPr>
              <w:pStyle w:val="ANormal"/>
            </w:pPr>
            <w:r w:rsidRPr="004406DE">
              <w:t>3 st</w:t>
            </w:r>
          </w:p>
        </w:tc>
        <w:tc>
          <w:tcPr>
            <w:tcW w:w="1559" w:type="dxa"/>
          </w:tcPr>
          <w:p w:rsidR="004406DE" w:rsidRPr="004406DE" w:rsidRDefault="004406DE" w:rsidP="004406DE">
            <w:pPr>
              <w:pStyle w:val="ANormal"/>
            </w:pPr>
            <w:r w:rsidRPr="004406DE">
              <w:t>1 st</w:t>
            </w:r>
          </w:p>
        </w:tc>
      </w:tr>
      <w:tr w:rsidR="004406DE" w:rsidRPr="004406DE" w:rsidTr="00D551C8">
        <w:tc>
          <w:tcPr>
            <w:tcW w:w="3402" w:type="dxa"/>
            <w:shd w:val="clear" w:color="auto" w:fill="auto"/>
          </w:tcPr>
          <w:p w:rsidR="004406DE" w:rsidRPr="004406DE" w:rsidRDefault="004406DE" w:rsidP="004406DE">
            <w:pPr>
              <w:pStyle w:val="ANormal"/>
              <w:rPr>
                <w:b/>
                <w:bCs/>
                <w:lang w:val="sv-FI"/>
              </w:rPr>
            </w:pPr>
            <w:r w:rsidRPr="004406DE">
              <w:rPr>
                <w:b/>
                <w:bCs/>
                <w:lang w:val="sv-FI"/>
              </w:rPr>
              <w:t>Social- och miljöavdelningen</w:t>
            </w:r>
          </w:p>
        </w:tc>
        <w:tc>
          <w:tcPr>
            <w:tcW w:w="1560" w:type="dxa"/>
            <w:shd w:val="clear" w:color="auto" w:fill="auto"/>
          </w:tcPr>
          <w:p w:rsidR="004406DE" w:rsidRPr="004406DE" w:rsidRDefault="004406DE" w:rsidP="004406DE">
            <w:pPr>
              <w:pStyle w:val="ANormal"/>
            </w:pPr>
          </w:p>
        </w:tc>
        <w:tc>
          <w:tcPr>
            <w:tcW w:w="1559" w:type="dxa"/>
          </w:tcPr>
          <w:p w:rsidR="004406DE" w:rsidRPr="004406DE" w:rsidRDefault="004406DE" w:rsidP="004406DE">
            <w:pPr>
              <w:pStyle w:val="ANormal"/>
            </w:pPr>
          </w:p>
        </w:tc>
      </w:tr>
      <w:tr w:rsidR="004406DE" w:rsidRPr="004406DE" w:rsidTr="00D551C8">
        <w:tc>
          <w:tcPr>
            <w:tcW w:w="3402" w:type="dxa"/>
            <w:shd w:val="clear" w:color="auto" w:fill="auto"/>
          </w:tcPr>
          <w:p w:rsidR="004406DE" w:rsidRPr="004406DE" w:rsidRDefault="004406DE" w:rsidP="004406DE">
            <w:pPr>
              <w:pStyle w:val="ANormal"/>
              <w:rPr>
                <w:lang w:val="sv-FI"/>
              </w:rPr>
            </w:pPr>
            <w:r w:rsidRPr="004406DE">
              <w:rPr>
                <w:lang w:val="sv-FI"/>
              </w:rPr>
              <w:t>Miljöbyrån (S3)</w:t>
            </w:r>
          </w:p>
        </w:tc>
        <w:tc>
          <w:tcPr>
            <w:tcW w:w="1560" w:type="dxa"/>
            <w:shd w:val="clear" w:color="auto" w:fill="auto"/>
          </w:tcPr>
          <w:p w:rsidR="004406DE" w:rsidRPr="004406DE" w:rsidRDefault="004406DE" w:rsidP="004406DE">
            <w:pPr>
              <w:pStyle w:val="ANormal"/>
              <w:rPr>
                <w:lang w:val="en-GB"/>
              </w:rPr>
            </w:pPr>
            <w:r w:rsidRPr="004406DE">
              <w:rPr>
                <w:lang w:val="en-GB"/>
              </w:rPr>
              <w:t>3 st</w:t>
            </w:r>
          </w:p>
        </w:tc>
        <w:tc>
          <w:tcPr>
            <w:tcW w:w="1559" w:type="dxa"/>
          </w:tcPr>
          <w:p w:rsidR="004406DE" w:rsidRPr="004406DE" w:rsidRDefault="004406DE" w:rsidP="004406DE">
            <w:pPr>
              <w:pStyle w:val="ANormal"/>
              <w:rPr>
                <w:lang w:val="en-GB"/>
              </w:rPr>
            </w:pPr>
            <w:r w:rsidRPr="004406DE">
              <w:rPr>
                <w:lang w:val="en-GB"/>
              </w:rPr>
              <w:t>3 st</w:t>
            </w:r>
          </w:p>
        </w:tc>
      </w:tr>
      <w:tr w:rsidR="004406DE" w:rsidRPr="004406DE" w:rsidTr="00D551C8">
        <w:tc>
          <w:tcPr>
            <w:tcW w:w="3402" w:type="dxa"/>
            <w:shd w:val="clear" w:color="auto" w:fill="auto"/>
          </w:tcPr>
          <w:p w:rsidR="004406DE" w:rsidRPr="004406DE" w:rsidRDefault="004406DE" w:rsidP="004406DE">
            <w:pPr>
              <w:pStyle w:val="ANormal"/>
              <w:rPr>
                <w:b/>
                <w:bCs/>
                <w:lang w:val="sv-FI"/>
              </w:rPr>
            </w:pPr>
            <w:r w:rsidRPr="004406DE">
              <w:rPr>
                <w:b/>
                <w:bCs/>
                <w:lang w:val="sv-FI"/>
              </w:rPr>
              <w:t>Näringsavdelningen</w:t>
            </w:r>
          </w:p>
        </w:tc>
        <w:tc>
          <w:tcPr>
            <w:tcW w:w="1560" w:type="dxa"/>
            <w:shd w:val="clear" w:color="auto" w:fill="auto"/>
          </w:tcPr>
          <w:p w:rsidR="004406DE" w:rsidRPr="004406DE" w:rsidRDefault="004406DE" w:rsidP="004406DE">
            <w:pPr>
              <w:pStyle w:val="ANormal"/>
            </w:pPr>
          </w:p>
        </w:tc>
        <w:tc>
          <w:tcPr>
            <w:tcW w:w="1559" w:type="dxa"/>
          </w:tcPr>
          <w:p w:rsidR="004406DE" w:rsidRPr="004406DE" w:rsidRDefault="004406DE" w:rsidP="004406DE">
            <w:pPr>
              <w:pStyle w:val="ANormal"/>
            </w:pPr>
          </w:p>
        </w:tc>
      </w:tr>
      <w:tr w:rsidR="004406DE" w:rsidRPr="004406DE" w:rsidTr="00D551C8">
        <w:tc>
          <w:tcPr>
            <w:tcW w:w="3402" w:type="dxa"/>
            <w:shd w:val="clear" w:color="auto" w:fill="auto"/>
          </w:tcPr>
          <w:p w:rsidR="004406DE" w:rsidRPr="004406DE" w:rsidRDefault="004406DE" w:rsidP="004406DE">
            <w:pPr>
              <w:pStyle w:val="ANormal"/>
              <w:rPr>
                <w:lang w:val="sv-FI"/>
              </w:rPr>
            </w:pPr>
            <w:r w:rsidRPr="004406DE">
              <w:rPr>
                <w:lang w:val="sv-FI"/>
              </w:rPr>
              <w:t>Jordbruksbyrån (N2)</w:t>
            </w:r>
          </w:p>
        </w:tc>
        <w:tc>
          <w:tcPr>
            <w:tcW w:w="1560" w:type="dxa"/>
            <w:shd w:val="clear" w:color="auto" w:fill="auto"/>
          </w:tcPr>
          <w:p w:rsidR="004406DE" w:rsidRPr="004406DE" w:rsidRDefault="004406DE" w:rsidP="004406DE">
            <w:pPr>
              <w:pStyle w:val="ANormal"/>
            </w:pPr>
            <w:r w:rsidRPr="004406DE">
              <w:t>3 st</w:t>
            </w:r>
          </w:p>
        </w:tc>
        <w:tc>
          <w:tcPr>
            <w:tcW w:w="1559" w:type="dxa"/>
          </w:tcPr>
          <w:p w:rsidR="004406DE" w:rsidRPr="004406DE" w:rsidRDefault="004406DE" w:rsidP="004406DE">
            <w:pPr>
              <w:pStyle w:val="ANormal"/>
            </w:pPr>
            <w:r w:rsidRPr="004406DE">
              <w:t>5 st</w:t>
            </w:r>
          </w:p>
        </w:tc>
      </w:tr>
      <w:tr w:rsidR="004406DE" w:rsidRPr="004406DE" w:rsidTr="00D551C8">
        <w:tc>
          <w:tcPr>
            <w:tcW w:w="3402" w:type="dxa"/>
            <w:shd w:val="clear" w:color="auto" w:fill="auto"/>
          </w:tcPr>
          <w:p w:rsidR="004406DE" w:rsidRPr="004406DE" w:rsidRDefault="004406DE" w:rsidP="004406DE">
            <w:pPr>
              <w:pStyle w:val="ANormal"/>
              <w:rPr>
                <w:b/>
                <w:bCs/>
                <w:lang w:val="sv-FI"/>
              </w:rPr>
            </w:pPr>
            <w:r w:rsidRPr="004406DE">
              <w:rPr>
                <w:b/>
                <w:bCs/>
                <w:lang w:val="sv-FI"/>
              </w:rPr>
              <w:t>Utbildnings och kulturavdelnin</w:t>
            </w:r>
            <w:r w:rsidRPr="004406DE">
              <w:rPr>
                <w:b/>
                <w:bCs/>
                <w:lang w:val="sv-FI"/>
              </w:rPr>
              <w:t>g</w:t>
            </w:r>
            <w:r w:rsidRPr="004406DE">
              <w:rPr>
                <w:b/>
                <w:bCs/>
                <w:lang w:val="sv-FI"/>
              </w:rPr>
              <w:t>en</w:t>
            </w:r>
          </w:p>
        </w:tc>
        <w:tc>
          <w:tcPr>
            <w:tcW w:w="1560" w:type="dxa"/>
            <w:shd w:val="clear" w:color="auto" w:fill="auto"/>
          </w:tcPr>
          <w:p w:rsidR="004406DE" w:rsidRPr="004406DE" w:rsidRDefault="004406DE" w:rsidP="004406DE">
            <w:pPr>
              <w:pStyle w:val="ANormal"/>
            </w:pPr>
          </w:p>
        </w:tc>
        <w:tc>
          <w:tcPr>
            <w:tcW w:w="1559" w:type="dxa"/>
          </w:tcPr>
          <w:p w:rsidR="004406DE" w:rsidRPr="004406DE" w:rsidRDefault="004406DE" w:rsidP="004406DE">
            <w:pPr>
              <w:pStyle w:val="ANormal"/>
            </w:pPr>
          </w:p>
        </w:tc>
      </w:tr>
      <w:tr w:rsidR="004406DE" w:rsidRPr="004406DE" w:rsidTr="00D551C8">
        <w:tc>
          <w:tcPr>
            <w:tcW w:w="3402" w:type="dxa"/>
            <w:shd w:val="clear" w:color="auto" w:fill="auto"/>
          </w:tcPr>
          <w:p w:rsidR="004406DE" w:rsidRPr="004406DE" w:rsidRDefault="004406DE" w:rsidP="004406DE">
            <w:pPr>
              <w:pStyle w:val="ANormal"/>
              <w:rPr>
                <w:lang w:val="sv-FI"/>
              </w:rPr>
            </w:pPr>
            <w:r w:rsidRPr="004406DE">
              <w:rPr>
                <w:lang w:val="sv-FI"/>
              </w:rPr>
              <w:t>Allmänna byrån (U1)</w:t>
            </w:r>
          </w:p>
        </w:tc>
        <w:tc>
          <w:tcPr>
            <w:tcW w:w="1560" w:type="dxa"/>
            <w:shd w:val="clear" w:color="auto" w:fill="auto"/>
          </w:tcPr>
          <w:p w:rsidR="004406DE" w:rsidRPr="004406DE" w:rsidRDefault="004406DE" w:rsidP="004406DE">
            <w:pPr>
              <w:pStyle w:val="ANormal"/>
              <w:rPr>
                <w:lang w:val="en-GB"/>
              </w:rPr>
            </w:pPr>
            <w:r w:rsidRPr="004406DE">
              <w:rPr>
                <w:lang w:val="en-GB"/>
              </w:rPr>
              <w:t>-</w:t>
            </w:r>
          </w:p>
        </w:tc>
        <w:tc>
          <w:tcPr>
            <w:tcW w:w="1559" w:type="dxa"/>
          </w:tcPr>
          <w:p w:rsidR="004406DE" w:rsidRPr="004406DE" w:rsidRDefault="004406DE" w:rsidP="004406DE">
            <w:pPr>
              <w:pStyle w:val="ANormal"/>
              <w:rPr>
                <w:lang w:val="en-GB"/>
              </w:rPr>
            </w:pPr>
            <w:r w:rsidRPr="004406DE">
              <w:rPr>
                <w:lang w:val="en-GB"/>
              </w:rPr>
              <w:t>2 st</w:t>
            </w:r>
          </w:p>
        </w:tc>
      </w:tr>
      <w:tr w:rsidR="004406DE" w:rsidRPr="004406DE" w:rsidTr="00D551C8">
        <w:tc>
          <w:tcPr>
            <w:tcW w:w="3402" w:type="dxa"/>
            <w:shd w:val="clear" w:color="auto" w:fill="auto"/>
          </w:tcPr>
          <w:p w:rsidR="004406DE" w:rsidRPr="004406DE" w:rsidRDefault="004406DE" w:rsidP="004406DE">
            <w:pPr>
              <w:pStyle w:val="ANormal"/>
              <w:rPr>
                <w:lang w:val="sv-FI"/>
              </w:rPr>
            </w:pPr>
            <w:r w:rsidRPr="004406DE">
              <w:rPr>
                <w:lang w:val="sv-FI"/>
              </w:rPr>
              <w:t>Kulturbyrån (U3)</w:t>
            </w:r>
          </w:p>
        </w:tc>
        <w:tc>
          <w:tcPr>
            <w:tcW w:w="1560" w:type="dxa"/>
            <w:shd w:val="clear" w:color="auto" w:fill="auto"/>
          </w:tcPr>
          <w:p w:rsidR="004406DE" w:rsidRPr="004406DE" w:rsidRDefault="004406DE" w:rsidP="004406DE">
            <w:pPr>
              <w:pStyle w:val="ANormal"/>
              <w:rPr>
                <w:lang w:val="en-GB"/>
              </w:rPr>
            </w:pPr>
            <w:r w:rsidRPr="004406DE">
              <w:rPr>
                <w:lang w:val="en-GB"/>
              </w:rPr>
              <w:t>-</w:t>
            </w:r>
          </w:p>
        </w:tc>
        <w:tc>
          <w:tcPr>
            <w:tcW w:w="1559" w:type="dxa"/>
          </w:tcPr>
          <w:p w:rsidR="004406DE" w:rsidRPr="004406DE" w:rsidRDefault="004406DE" w:rsidP="004406DE">
            <w:pPr>
              <w:pStyle w:val="ANormal"/>
              <w:rPr>
                <w:lang w:val="en-GB"/>
              </w:rPr>
            </w:pPr>
            <w:r w:rsidRPr="004406DE">
              <w:rPr>
                <w:lang w:val="en-GB"/>
              </w:rPr>
              <w:t>1 st</w:t>
            </w:r>
          </w:p>
        </w:tc>
      </w:tr>
      <w:tr w:rsidR="004406DE" w:rsidRPr="004406DE" w:rsidTr="00D551C8">
        <w:tc>
          <w:tcPr>
            <w:tcW w:w="3402" w:type="dxa"/>
            <w:shd w:val="clear" w:color="auto" w:fill="auto"/>
          </w:tcPr>
          <w:p w:rsidR="004406DE" w:rsidRPr="004406DE" w:rsidRDefault="004406DE" w:rsidP="004406DE">
            <w:pPr>
              <w:pStyle w:val="ANormal"/>
              <w:rPr>
                <w:b/>
                <w:bCs/>
                <w:lang w:val="sv-FI"/>
              </w:rPr>
            </w:pPr>
            <w:r w:rsidRPr="004406DE">
              <w:rPr>
                <w:b/>
                <w:bCs/>
                <w:lang w:val="sv-FI"/>
              </w:rPr>
              <w:t>Totalt</w:t>
            </w:r>
          </w:p>
        </w:tc>
        <w:tc>
          <w:tcPr>
            <w:tcW w:w="1560" w:type="dxa"/>
            <w:shd w:val="clear" w:color="auto" w:fill="auto"/>
          </w:tcPr>
          <w:p w:rsidR="004406DE" w:rsidRPr="004406DE" w:rsidRDefault="004406DE" w:rsidP="004406DE">
            <w:pPr>
              <w:pStyle w:val="ANormal"/>
              <w:rPr>
                <w:b/>
                <w:bCs/>
                <w:lang w:val="en-GB"/>
              </w:rPr>
            </w:pPr>
            <w:r w:rsidRPr="004406DE">
              <w:rPr>
                <w:b/>
                <w:bCs/>
                <w:lang w:val="en-GB"/>
              </w:rPr>
              <w:t>10 st</w:t>
            </w:r>
          </w:p>
        </w:tc>
        <w:tc>
          <w:tcPr>
            <w:tcW w:w="1559" w:type="dxa"/>
          </w:tcPr>
          <w:p w:rsidR="004406DE" w:rsidRPr="004406DE" w:rsidRDefault="004406DE" w:rsidP="004406DE">
            <w:pPr>
              <w:pStyle w:val="ANormal"/>
              <w:rPr>
                <w:b/>
                <w:bCs/>
                <w:lang w:val="en-GB"/>
              </w:rPr>
            </w:pPr>
            <w:r w:rsidRPr="004406DE">
              <w:rPr>
                <w:b/>
                <w:bCs/>
                <w:lang w:val="en-GB"/>
              </w:rPr>
              <w:t>13 st</w:t>
            </w:r>
          </w:p>
        </w:tc>
      </w:tr>
    </w:tbl>
    <w:p w:rsidR="004406DE" w:rsidRPr="004406DE" w:rsidRDefault="004406DE" w:rsidP="004406DE">
      <w:pPr>
        <w:pStyle w:val="ANormal"/>
      </w:pPr>
    </w:p>
    <w:p w:rsidR="004406DE" w:rsidRPr="004406DE" w:rsidRDefault="004406DE" w:rsidP="00E47DAE">
      <w:pPr>
        <w:pStyle w:val="Rubrik3"/>
      </w:pPr>
      <w:bookmarkStart w:id="110" w:name="_Toc410897687"/>
      <w:bookmarkStart w:id="111" w:name="_Toc412712704"/>
      <w:r w:rsidRPr="004406DE">
        <w:t>3.5.2 Genomförandet av EU-lagstiftning inom landskapet</w:t>
      </w:r>
      <w:bookmarkEnd w:id="110"/>
      <w:bookmarkEnd w:id="111"/>
    </w:p>
    <w:p w:rsidR="004406DE" w:rsidRPr="004406DE" w:rsidRDefault="004406DE" w:rsidP="00E47DAE">
      <w:pPr>
        <w:pStyle w:val="Rubrik4"/>
      </w:pPr>
      <w:r w:rsidRPr="00537B61">
        <w:t>Genomförandet av EU-direktiv i landskapet</w:t>
      </w:r>
    </w:p>
    <w:p w:rsidR="004406DE" w:rsidRPr="004406DE" w:rsidRDefault="004406DE" w:rsidP="005242BE">
      <w:r w:rsidRPr="004406DE">
        <w:t xml:space="preserve">De bindande rättsakter som antas inom EU utgörs av förordningar, beslut och direktiv. Förordningar och beslut är direkt tillämpliga, vilket innebär att </w:t>
      </w:r>
      <w:r w:rsidRPr="00537B61">
        <w:t>de som</w:t>
      </w:r>
      <w:r w:rsidRPr="004406DE">
        <w:t xml:space="preserve"> sådana binder landskapets myndigheter och kräver inte särskilda implementeringsåtgärder. Direktiv däremot är bindande med avseende på det resultat som skall uppnås, och kräver således implementeringsåtgärder.</w:t>
      </w:r>
      <w:r w:rsidR="00681379">
        <w:t xml:space="preserve"> </w:t>
      </w:r>
      <w:r w:rsidR="00681379" w:rsidRPr="004406DE">
        <w:t xml:space="preserve">Under år 2014 antog EU 116 st direktiv. </w:t>
      </w:r>
      <w:r w:rsidRPr="004406DE">
        <w:t>Direktiv innehåller en tidsfrist inom vilken medlemsstaterna skall meddela kommissionen om de natio</w:t>
      </w:r>
      <w:r w:rsidRPr="004406DE">
        <w:t>n</w:t>
      </w:r>
      <w:r w:rsidRPr="004406DE">
        <w:t>ella bestämmelser som antagits i syfte att genomföra direktivet. Via utr</w:t>
      </w:r>
      <w:r w:rsidRPr="004406DE">
        <w:t>i</w:t>
      </w:r>
      <w:r w:rsidRPr="004406DE">
        <w:t>kesministeriet meddelar (</w:t>
      </w:r>
      <w:proofErr w:type="gramStart"/>
      <w:r w:rsidRPr="004406DE">
        <w:t>notifierar</w:t>
      </w:r>
      <w:proofErr w:type="gramEnd"/>
      <w:r w:rsidRPr="004406DE">
        <w:t xml:space="preserve">) landskapsregeringen kommissionen hur direktiven har genomförts i landskapet. </w:t>
      </w:r>
    </w:p>
    <w:p w:rsidR="004406DE" w:rsidRPr="004406DE" w:rsidRDefault="004406DE" w:rsidP="00023C6C">
      <w:pPr>
        <w:ind w:firstLine="284"/>
      </w:pPr>
      <w:r w:rsidRPr="004406DE">
        <w:t xml:space="preserve">Tabellen nedan redogör för antalet </w:t>
      </w:r>
      <w:proofErr w:type="gramStart"/>
      <w:r w:rsidRPr="004406DE">
        <w:t>notifieringar</w:t>
      </w:r>
      <w:proofErr w:type="gramEnd"/>
      <w:r w:rsidRPr="004406DE">
        <w:t xml:space="preserve"> av direktiv som lan</w:t>
      </w:r>
      <w:r w:rsidRPr="004406DE">
        <w:t>d</w:t>
      </w:r>
      <w:r w:rsidRPr="004406DE">
        <w:t>skapsregeringen gjort under året samt för hur många av dessa dir</w:t>
      </w:r>
      <w:r w:rsidR="00681379">
        <w:t xml:space="preserve">ektiv som fallit inom </w:t>
      </w:r>
      <w:r w:rsidRPr="004406DE">
        <w:t>landskapets lagstiftningsbehörighet.</w:t>
      </w:r>
    </w:p>
    <w:p w:rsidR="004406DE" w:rsidRDefault="004406DE" w:rsidP="004406DE">
      <w:pPr>
        <w:pStyle w:val="ANormal"/>
      </w:pPr>
    </w:p>
    <w:p w:rsidR="002621D1" w:rsidRPr="004406DE" w:rsidRDefault="002621D1" w:rsidP="004406DE">
      <w:pPr>
        <w:pStyle w:val="ANormal"/>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0"/>
        <w:gridCol w:w="2389"/>
        <w:gridCol w:w="1994"/>
      </w:tblGrid>
      <w:tr w:rsidR="004406DE" w:rsidRPr="004406DE" w:rsidTr="00E07851">
        <w:trPr>
          <w:cantSplit/>
        </w:trPr>
        <w:tc>
          <w:tcPr>
            <w:tcW w:w="6663" w:type="dxa"/>
            <w:gridSpan w:val="3"/>
            <w:tcBorders>
              <w:top w:val="nil"/>
              <w:left w:val="nil"/>
              <w:bottom w:val="single" w:sz="4" w:space="0" w:color="auto"/>
              <w:right w:val="nil"/>
            </w:tcBorders>
          </w:tcPr>
          <w:p w:rsidR="004406DE" w:rsidRPr="004406DE" w:rsidRDefault="004406DE" w:rsidP="004406DE">
            <w:pPr>
              <w:pStyle w:val="ANormal"/>
              <w:rPr>
                <w:b/>
              </w:rPr>
            </w:pPr>
            <w:r w:rsidRPr="004406DE">
              <w:rPr>
                <w:b/>
              </w:rPr>
              <w:t xml:space="preserve">Tabell 6. Landskapsregeringens </w:t>
            </w:r>
            <w:proofErr w:type="gramStart"/>
            <w:r w:rsidRPr="004406DE">
              <w:rPr>
                <w:b/>
              </w:rPr>
              <w:t>notifieringar</w:t>
            </w:r>
            <w:proofErr w:type="gramEnd"/>
            <w:r w:rsidRPr="004406DE">
              <w:rPr>
                <w:b/>
              </w:rPr>
              <w:t xml:space="preserve"> av direktiv 2014</w:t>
            </w:r>
          </w:p>
        </w:tc>
      </w:tr>
      <w:tr w:rsidR="004406DE" w:rsidRPr="004406DE" w:rsidTr="00E07851">
        <w:tc>
          <w:tcPr>
            <w:tcW w:w="2280" w:type="dxa"/>
            <w:tcBorders>
              <w:top w:val="single" w:sz="4" w:space="0" w:color="auto"/>
            </w:tcBorders>
            <w:shd w:val="clear" w:color="auto" w:fill="A6A6A6"/>
          </w:tcPr>
          <w:p w:rsidR="004406DE" w:rsidRPr="004406DE" w:rsidRDefault="004406DE" w:rsidP="004406DE">
            <w:pPr>
              <w:pStyle w:val="ANormal"/>
            </w:pPr>
          </w:p>
        </w:tc>
        <w:tc>
          <w:tcPr>
            <w:tcW w:w="2389" w:type="dxa"/>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2014</w:t>
            </w:r>
          </w:p>
        </w:tc>
        <w:tc>
          <w:tcPr>
            <w:tcW w:w="1994" w:type="dxa"/>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2013</w:t>
            </w:r>
          </w:p>
        </w:tc>
      </w:tr>
      <w:tr w:rsidR="004406DE" w:rsidRPr="004406DE" w:rsidTr="00E07851">
        <w:tc>
          <w:tcPr>
            <w:tcW w:w="2280" w:type="dxa"/>
          </w:tcPr>
          <w:p w:rsidR="004406DE" w:rsidRPr="004406DE" w:rsidRDefault="004406DE" w:rsidP="004406DE">
            <w:pPr>
              <w:pStyle w:val="ANormal"/>
            </w:pPr>
            <w:r w:rsidRPr="004406DE">
              <w:t>Rikets behörighet</w:t>
            </w:r>
          </w:p>
        </w:tc>
        <w:tc>
          <w:tcPr>
            <w:tcW w:w="2389" w:type="dxa"/>
          </w:tcPr>
          <w:p w:rsidR="004406DE" w:rsidRPr="004406DE" w:rsidRDefault="004406DE" w:rsidP="004406DE">
            <w:pPr>
              <w:pStyle w:val="ANormal"/>
            </w:pPr>
            <w:r w:rsidRPr="004406DE">
              <w:t>40 st</w:t>
            </w:r>
          </w:p>
        </w:tc>
        <w:tc>
          <w:tcPr>
            <w:tcW w:w="1994" w:type="dxa"/>
          </w:tcPr>
          <w:p w:rsidR="004406DE" w:rsidRPr="004406DE" w:rsidRDefault="004406DE" w:rsidP="004406DE">
            <w:pPr>
              <w:pStyle w:val="ANormal"/>
            </w:pPr>
            <w:r w:rsidRPr="004406DE">
              <w:t>27 st</w:t>
            </w:r>
          </w:p>
        </w:tc>
      </w:tr>
      <w:tr w:rsidR="004406DE" w:rsidRPr="004406DE" w:rsidTr="00E07851">
        <w:tc>
          <w:tcPr>
            <w:tcW w:w="2280" w:type="dxa"/>
          </w:tcPr>
          <w:p w:rsidR="004406DE" w:rsidRPr="004406DE" w:rsidRDefault="004406DE" w:rsidP="004406DE">
            <w:pPr>
              <w:pStyle w:val="ANormal"/>
            </w:pPr>
            <w:r w:rsidRPr="004406DE">
              <w:t>Landskapets behörighet</w:t>
            </w:r>
          </w:p>
        </w:tc>
        <w:tc>
          <w:tcPr>
            <w:tcW w:w="2389" w:type="dxa"/>
          </w:tcPr>
          <w:p w:rsidR="004406DE" w:rsidRPr="004406DE" w:rsidRDefault="004406DE" w:rsidP="004406DE">
            <w:pPr>
              <w:pStyle w:val="ANormal"/>
              <w:rPr>
                <w:lang w:val="en-GB"/>
              </w:rPr>
            </w:pPr>
            <w:r w:rsidRPr="004406DE">
              <w:rPr>
                <w:lang w:val="en-GB"/>
              </w:rPr>
              <w:t>61 st</w:t>
            </w:r>
          </w:p>
        </w:tc>
        <w:tc>
          <w:tcPr>
            <w:tcW w:w="1994" w:type="dxa"/>
          </w:tcPr>
          <w:p w:rsidR="004406DE" w:rsidRPr="004406DE" w:rsidRDefault="004406DE" w:rsidP="004406DE">
            <w:pPr>
              <w:pStyle w:val="ANormal"/>
              <w:rPr>
                <w:lang w:val="en-GB"/>
              </w:rPr>
            </w:pPr>
            <w:r w:rsidRPr="004406DE">
              <w:rPr>
                <w:lang w:val="en-GB"/>
              </w:rPr>
              <w:t>34 st</w:t>
            </w:r>
          </w:p>
        </w:tc>
      </w:tr>
      <w:tr w:rsidR="004406DE" w:rsidRPr="004406DE" w:rsidTr="00E07851">
        <w:tc>
          <w:tcPr>
            <w:tcW w:w="2280" w:type="dxa"/>
          </w:tcPr>
          <w:p w:rsidR="004406DE" w:rsidRPr="004406DE" w:rsidRDefault="004406DE" w:rsidP="004406DE">
            <w:pPr>
              <w:pStyle w:val="ANormal"/>
              <w:rPr>
                <w:b/>
                <w:bCs/>
                <w:lang w:val="en-GB"/>
              </w:rPr>
            </w:pPr>
            <w:r w:rsidRPr="004406DE">
              <w:rPr>
                <w:b/>
                <w:bCs/>
                <w:lang w:val="sv-FI"/>
              </w:rPr>
              <w:t>Totalt</w:t>
            </w:r>
          </w:p>
        </w:tc>
        <w:tc>
          <w:tcPr>
            <w:tcW w:w="2389" w:type="dxa"/>
          </w:tcPr>
          <w:p w:rsidR="004406DE" w:rsidRPr="004406DE" w:rsidRDefault="004406DE" w:rsidP="004406DE">
            <w:pPr>
              <w:pStyle w:val="ANormal"/>
              <w:rPr>
                <w:b/>
                <w:bCs/>
              </w:rPr>
            </w:pPr>
            <w:r w:rsidRPr="004406DE">
              <w:rPr>
                <w:b/>
                <w:bCs/>
              </w:rPr>
              <w:t>101 st</w:t>
            </w:r>
          </w:p>
        </w:tc>
        <w:tc>
          <w:tcPr>
            <w:tcW w:w="1994" w:type="dxa"/>
          </w:tcPr>
          <w:p w:rsidR="004406DE" w:rsidRPr="004406DE" w:rsidRDefault="004406DE" w:rsidP="004406DE">
            <w:pPr>
              <w:pStyle w:val="ANormal"/>
              <w:rPr>
                <w:b/>
                <w:bCs/>
              </w:rPr>
            </w:pPr>
            <w:r w:rsidRPr="004406DE">
              <w:rPr>
                <w:b/>
                <w:bCs/>
              </w:rPr>
              <w:t>61 st</w:t>
            </w:r>
          </w:p>
        </w:tc>
      </w:tr>
    </w:tbl>
    <w:p w:rsidR="004406DE" w:rsidRDefault="004406DE" w:rsidP="004406DE">
      <w:pPr>
        <w:pStyle w:val="ANormal"/>
      </w:pPr>
    </w:p>
    <w:p w:rsidR="002621D1" w:rsidRPr="004406DE" w:rsidRDefault="002621D1" w:rsidP="004406DE">
      <w:pPr>
        <w:pStyle w:val="ANormal"/>
      </w:pPr>
    </w:p>
    <w:p w:rsidR="004406DE" w:rsidRPr="004406DE" w:rsidRDefault="004406DE" w:rsidP="005242BE">
      <w:r w:rsidRPr="004406DE">
        <w:t xml:space="preserve">De </w:t>
      </w:r>
      <w:proofErr w:type="gramStart"/>
      <w:r w:rsidRPr="004406DE">
        <w:t>notifierade</w:t>
      </w:r>
      <w:proofErr w:type="gramEnd"/>
      <w:r w:rsidRPr="004406DE">
        <w:t xml:space="preserve"> direktiven inom landskapets lagstiftningsbehörighet fördel</w:t>
      </w:r>
      <w:r w:rsidRPr="004406DE">
        <w:t>a</w:t>
      </w:r>
      <w:r w:rsidRPr="004406DE">
        <w:t>des på de olika enheterna inom landskapsregeringen enligt tabellen nedan.</w:t>
      </w:r>
    </w:p>
    <w:p w:rsidR="004406DE" w:rsidRPr="004406DE" w:rsidRDefault="004406DE" w:rsidP="004406DE">
      <w:pPr>
        <w:pStyle w:val="ANormal"/>
      </w:pPr>
    </w:p>
    <w:tbl>
      <w:tblPr>
        <w:tblW w:w="66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7"/>
        <w:gridCol w:w="1704"/>
        <w:gridCol w:w="1692"/>
      </w:tblGrid>
      <w:tr w:rsidR="004406DE" w:rsidRPr="004406DE" w:rsidTr="00E07851">
        <w:trPr>
          <w:cantSplit/>
          <w:trHeight w:val="195"/>
        </w:trPr>
        <w:tc>
          <w:tcPr>
            <w:tcW w:w="6663" w:type="dxa"/>
            <w:gridSpan w:val="3"/>
            <w:tcBorders>
              <w:top w:val="nil"/>
              <w:left w:val="nil"/>
              <w:bottom w:val="single" w:sz="4" w:space="0" w:color="auto"/>
              <w:right w:val="nil"/>
            </w:tcBorders>
          </w:tcPr>
          <w:p w:rsidR="004406DE" w:rsidRPr="004406DE" w:rsidRDefault="004406DE" w:rsidP="004406DE">
            <w:pPr>
              <w:pStyle w:val="ANormal"/>
              <w:rPr>
                <w:b/>
              </w:rPr>
            </w:pPr>
            <w:r w:rsidRPr="004406DE">
              <w:rPr>
                <w:b/>
              </w:rPr>
              <w:t xml:space="preserve">Tabell 7. Fördelning avdelningsvis av </w:t>
            </w:r>
            <w:proofErr w:type="gramStart"/>
            <w:r w:rsidRPr="004406DE">
              <w:rPr>
                <w:b/>
              </w:rPr>
              <w:t>notifieringar</w:t>
            </w:r>
            <w:proofErr w:type="gramEnd"/>
            <w:r w:rsidRPr="004406DE">
              <w:rPr>
                <w:b/>
              </w:rPr>
              <w:t xml:space="preserve"> inom landskapets behörighet 2014</w:t>
            </w:r>
          </w:p>
        </w:tc>
      </w:tr>
      <w:tr w:rsidR="004406DE" w:rsidRPr="004406DE" w:rsidTr="00E07851">
        <w:trPr>
          <w:trHeight w:val="255"/>
        </w:trPr>
        <w:tc>
          <w:tcPr>
            <w:tcW w:w="3267" w:type="dxa"/>
            <w:tcBorders>
              <w:top w:val="single" w:sz="4" w:space="0" w:color="auto"/>
              <w:left w:val="single" w:sz="4" w:space="0" w:color="auto"/>
              <w:bottom w:val="single" w:sz="4" w:space="0" w:color="auto"/>
              <w:right w:val="single" w:sz="4" w:space="0" w:color="auto"/>
            </w:tcBorders>
            <w:shd w:val="clear" w:color="auto" w:fill="A6A6A6"/>
          </w:tcPr>
          <w:p w:rsidR="004406DE" w:rsidRPr="004406DE" w:rsidRDefault="004406DE" w:rsidP="004406DE">
            <w:pPr>
              <w:pStyle w:val="ANormal"/>
              <w:rPr>
                <w:b/>
                <w:bCs/>
              </w:rPr>
            </w:pPr>
            <w:r w:rsidRPr="004406DE">
              <w:rPr>
                <w:b/>
                <w:bCs/>
              </w:rPr>
              <w:t>Enhet inom landskapsregeringen</w:t>
            </w:r>
          </w:p>
        </w:tc>
        <w:tc>
          <w:tcPr>
            <w:tcW w:w="1704" w:type="dxa"/>
            <w:tcBorders>
              <w:top w:val="single" w:sz="4" w:space="0" w:color="auto"/>
              <w:left w:val="single" w:sz="4" w:space="0" w:color="auto"/>
              <w:bottom w:val="single" w:sz="4" w:space="0" w:color="auto"/>
              <w:right w:val="single" w:sz="4" w:space="0" w:color="auto"/>
            </w:tcBorders>
            <w:shd w:val="clear" w:color="auto" w:fill="A6A6A6"/>
          </w:tcPr>
          <w:p w:rsidR="004406DE" w:rsidRPr="004406DE" w:rsidRDefault="004406DE" w:rsidP="004406DE">
            <w:pPr>
              <w:pStyle w:val="ANormal"/>
              <w:rPr>
                <w:b/>
              </w:rPr>
            </w:pPr>
            <w:r w:rsidRPr="004406DE">
              <w:rPr>
                <w:b/>
              </w:rPr>
              <w:t>2014</w:t>
            </w:r>
          </w:p>
        </w:tc>
        <w:tc>
          <w:tcPr>
            <w:tcW w:w="1692" w:type="dxa"/>
            <w:tcBorders>
              <w:top w:val="single" w:sz="4" w:space="0" w:color="auto"/>
              <w:left w:val="single" w:sz="4" w:space="0" w:color="auto"/>
              <w:bottom w:val="single" w:sz="4" w:space="0" w:color="auto"/>
              <w:right w:val="single" w:sz="4" w:space="0" w:color="auto"/>
            </w:tcBorders>
            <w:shd w:val="clear" w:color="auto" w:fill="A6A6A6"/>
          </w:tcPr>
          <w:p w:rsidR="004406DE" w:rsidRPr="004406DE" w:rsidRDefault="004406DE" w:rsidP="004406DE">
            <w:pPr>
              <w:pStyle w:val="ANormal"/>
              <w:rPr>
                <w:b/>
              </w:rPr>
            </w:pPr>
            <w:r w:rsidRPr="004406DE">
              <w:rPr>
                <w:b/>
              </w:rPr>
              <w:t>2013</w:t>
            </w:r>
          </w:p>
        </w:tc>
      </w:tr>
      <w:tr w:rsidR="004406DE" w:rsidRPr="004406DE" w:rsidTr="00E07851">
        <w:trPr>
          <w:trHeight w:val="255"/>
        </w:trPr>
        <w:tc>
          <w:tcPr>
            <w:tcW w:w="3267" w:type="dxa"/>
          </w:tcPr>
          <w:p w:rsidR="004406DE" w:rsidRPr="004406DE" w:rsidRDefault="004406DE" w:rsidP="004406DE">
            <w:pPr>
              <w:pStyle w:val="ANormal"/>
              <w:rPr>
                <w:b/>
                <w:bCs/>
              </w:rPr>
            </w:pPr>
            <w:r w:rsidRPr="004406DE">
              <w:rPr>
                <w:b/>
                <w:bCs/>
              </w:rPr>
              <w:t>Kansliavdelningen</w:t>
            </w:r>
          </w:p>
        </w:tc>
        <w:tc>
          <w:tcPr>
            <w:tcW w:w="1704" w:type="dxa"/>
          </w:tcPr>
          <w:p w:rsidR="004406DE" w:rsidRPr="004406DE" w:rsidRDefault="004406DE" w:rsidP="004406DE">
            <w:pPr>
              <w:pStyle w:val="ANormal"/>
            </w:pPr>
          </w:p>
        </w:tc>
        <w:tc>
          <w:tcPr>
            <w:tcW w:w="1692" w:type="dxa"/>
          </w:tcPr>
          <w:p w:rsidR="004406DE" w:rsidRPr="004406DE" w:rsidRDefault="004406DE" w:rsidP="004406DE">
            <w:pPr>
              <w:pStyle w:val="ANormal"/>
            </w:pPr>
          </w:p>
        </w:tc>
      </w:tr>
      <w:tr w:rsidR="004406DE" w:rsidRPr="004406DE" w:rsidTr="00E07851">
        <w:trPr>
          <w:trHeight w:val="240"/>
        </w:trPr>
        <w:tc>
          <w:tcPr>
            <w:tcW w:w="3267" w:type="dxa"/>
          </w:tcPr>
          <w:p w:rsidR="004406DE" w:rsidRPr="004406DE" w:rsidRDefault="004406DE" w:rsidP="004406DE">
            <w:pPr>
              <w:pStyle w:val="ANormal"/>
            </w:pPr>
            <w:r w:rsidRPr="004406DE">
              <w:t>Rättsserviceenheten (K1a)</w:t>
            </w:r>
          </w:p>
        </w:tc>
        <w:tc>
          <w:tcPr>
            <w:tcW w:w="1704" w:type="dxa"/>
          </w:tcPr>
          <w:p w:rsidR="004406DE" w:rsidRPr="004406DE" w:rsidRDefault="004406DE" w:rsidP="004406DE">
            <w:pPr>
              <w:pStyle w:val="ANormal"/>
              <w:rPr>
                <w:lang w:val="sv-FI"/>
              </w:rPr>
            </w:pPr>
            <w:r w:rsidRPr="004406DE">
              <w:rPr>
                <w:lang w:val="sv-FI"/>
              </w:rPr>
              <w:t>2 st</w:t>
            </w:r>
          </w:p>
        </w:tc>
        <w:tc>
          <w:tcPr>
            <w:tcW w:w="1692" w:type="dxa"/>
          </w:tcPr>
          <w:p w:rsidR="004406DE" w:rsidRPr="004406DE" w:rsidRDefault="004406DE" w:rsidP="004406DE">
            <w:pPr>
              <w:pStyle w:val="ANormal"/>
              <w:rPr>
                <w:lang w:val="sv-FI"/>
              </w:rPr>
            </w:pPr>
            <w:r w:rsidRPr="004406DE">
              <w:rPr>
                <w:lang w:val="sv-FI"/>
              </w:rPr>
              <w:t>6 st</w:t>
            </w:r>
          </w:p>
        </w:tc>
      </w:tr>
      <w:tr w:rsidR="004406DE" w:rsidRPr="004406DE" w:rsidTr="00E07851">
        <w:trPr>
          <w:trHeight w:val="255"/>
        </w:trPr>
        <w:tc>
          <w:tcPr>
            <w:tcW w:w="3267" w:type="dxa"/>
          </w:tcPr>
          <w:p w:rsidR="004406DE" w:rsidRPr="004406DE" w:rsidRDefault="004406DE" w:rsidP="004406DE">
            <w:pPr>
              <w:pStyle w:val="ANormal"/>
            </w:pPr>
            <w:r w:rsidRPr="004406DE">
              <w:t>El- och energienheten (K2c)</w:t>
            </w:r>
          </w:p>
        </w:tc>
        <w:tc>
          <w:tcPr>
            <w:tcW w:w="1704" w:type="dxa"/>
          </w:tcPr>
          <w:p w:rsidR="004406DE" w:rsidRPr="004406DE" w:rsidRDefault="004406DE" w:rsidP="004406DE">
            <w:pPr>
              <w:pStyle w:val="ANormal"/>
              <w:rPr>
                <w:lang w:val="sv-FI"/>
              </w:rPr>
            </w:pPr>
            <w:r w:rsidRPr="004406DE">
              <w:rPr>
                <w:lang w:val="sv-FI"/>
              </w:rPr>
              <w:t>3 st</w:t>
            </w:r>
          </w:p>
        </w:tc>
        <w:tc>
          <w:tcPr>
            <w:tcW w:w="1692" w:type="dxa"/>
          </w:tcPr>
          <w:p w:rsidR="004406DE" w:rsidRPr="004406DE" w:rsidRDefault="004406DE" w:rsidP="004406DE">
            <w:pPr>
              <w:pStyle w:val="ANormal"/>
              <w:rPr>
                <w:lang w:val="sv-FI"/>
              </w:rPr>
            </w:pPr>
            <w:r w:rsidRPr="004406DE">
              <w:rPr>
                <w:lang w:val="sv-FI"/>
              </w:rPr>
              <w:t>2 st</w:t>
            </w:r>
          </w:p>
        </w:tc>
      </w:tr>
      <w:tr w:rsidR="004406DE" w:rsidRPr="004406DE" w:rsidTr="00E07851">
        <w:trPr>
          <w:trHeight w:val="255"/>
        </w:trPr>
        <w:tc>
          <w:tcPr>
            <w:tcW w:w="3267" w:type="dxa"/>
          </w:tcPr>
          <w:p w:rsidR="004406DE" w:rsidRPr="004406DE" w:rsidRDefault="004406DE" w:rsidP="004406DE">
            <w:pPr>
              <w:pStyle w:val="ANormal"/>
              <w:rPr>
                <w:b/>
                <w:bCs/>
              </w:rPr>
            </w:pPr>
            <w:r w:rsidRPr="004406DE">
              <w:rPr>
                <w:b/>
                <w:bCs/>
              </w:rPr>
              <w:lastRenderedPageBreak/>
              <w:t>Finansavdelningen</w:t>
            </w:r>
          </w:p>
        </w:tc>
        <w:tc>
          <w:tcPr>
            <w:tcW w:w="1704" w:type="dxa"/>
          </w:tcPr>
          <w:p w:rsidR="004406DE" w:rsidRPr="004406DE" w:rsidRDefault="004406DE" w:rsidP="004406DE">
            <w:pPr>
              <w:pStyle w:val="ANormal"/>
            </w:pPr>
          </w:p>
        </w:tc>
        <w:tc>
          <w:tcPr>
            <w:tcW w:w="1692" w:type="dxa"/>
          </w:tcPr>
          <w:p w:rsidR="004406DE" w:rsidRPr="004406DE" w:rsidRDefault="004406DE" w:rsidP="004406DE">
            <w:pPr>
              <w:pStyle w:val="ANormal"/>
            </w:pPr>
          </w:p>
        </w:tc>
      </w:tr>
      <w:tr w:rsidR="004406DE" w:rsidRPr="004406DE" w:rsidTr="00E07851">
        <w:trPr>
          <w:trHeight w:val="255"/>
        </w:trPr>
        <w:tc>
          <w:tcPr>
            <w:tcW w:w="3267" w:type="dxa"/>
          </w:tcPr>
          <w:p w:rsidR="004406DE" w:rsidRPr="004406DE" w:rsidRDefault="004406DE" w:rsidP="004406DE">
            <w:pPr>
              <w:pStyle w:val="ANormal"/>
              <w:rPr>
                <w:bCs/>
              </w:rPr>
            </w:pPr>
            <w:r w:rsidRPr="004406DE">
              <w:rPr>
                <w:bCs/>
              </w:rPr>
              <w:t>Allmänna byrån (F1)</w:t>
            </w:r>
          </w:p>
        </w:tc>
        <w:tc>
          <w:tcPr>
            <w:tcW w:w="1704" w:type="dxa"/>
          </w:tcPr>
          <w:p w:rsidR="004406DE" w:rsidRPr="004406DE" w:rsidRDefault="004406DE" w:rsidP="004406DE">
            <w:pPr>
              <w:pStyle w:val="ANormal"/>
            </w:pPr>
            <w:r w:rsidRPr="004406DE">
              <w:t>1 st</w:t>
            </w:r>
          </w:p>
        </w:tc>
        <w:tc>
          <w:tcPr>
            <w:tcW w:w="1692" w:type="dxa"/>
          </w:tcPr>
          <w:p w:rsidR="004406DE" w:rsidRPr="004406DE" w:rsidRDefault="004406DE" w:rsidP="004406DE">
            <w:pPr>
              <w:pStyle w:val="ANormal"/>
            </w:pPr>
            <w:r w:rsidRPr="004406DE">
              <w:t>2 st</w:t>
            </w:r>
          </w:p>
        </w:tc>
      </w:tr>
      <w:tr w:rsidR="004406DE" w:rsidRPr="004406DE" w:rsidTr="00E07851">
        <w:trPr>
          <w:trHeight w:val="255"/>
        </w:trPr>
        <w:tc>
          <w:tcPr>
            <w:tcW w:w="3267" w:type="dxa"/>
          </w:tcPr>
          <w:p w:rsidR="004406DE" w:rsidRPr="004406DE" w:rsidRDefault="004406DE" w:rsidP="004406DE">
            <w:pPr>
              <w:pStyle w:val="ANormal"/>
              <w:rPr>
                <w:b/>
                <w:bCs/>
              </w:rPr>
            </w:pPr>
            <w:r w:rsidRPr="004406DE">
              <w:rPr>
                <w:b/>
                <w:bCs/>
              </w:rPr>
              <w:t>Social- och miljöavdelningen</w:t>
            </w:r>
          </w:p>
        </w:tc>
        <w:tc>
          <w:tcPr>
            <w:tcW w:w="1704" w:type="dxa"/>
          </w:tcPr>
          <w:p w:rsidR="004406DE" w:rsidRPr="004406DE" w:rsidRDefault="004406DE" w:rsidP="004406DE">
            <w:pPr>
              <w:pStyle w:val="ANormal"/>
            </w:pPr>
          </w:p>
        </w:tc>
        <w:tc>
          <w:tcPr>
            <w:tcW w:w="1692" w:type="dxa"/>
          </w:tcPr>
          <w:p w:rsidR="004406DE" w:rsidRPr="004406DE" w:rsidRDefault="004406DE" w:rsidP="004406DE">
            <w:pPr>
              <w:pStyle w:val="ANormal"/>
            </w:pPr>
          </w:p>
        </w:tc>
      </w:tr>
      <w:tr w:rsidR="004406DE" w:rsidRPr="004406DE" w:rsidTr="00E07851">
        <w:trPr>
          <w:trHeight w:val="255"/>
        </w:trPr>
        <w:tc>
          <w:tcPr>
            <w:tcW w:w="3267" w:type="dxa"/>
          </w:tcPr>
          <w:p w:rsidR="004406DE" w:rsidRPr="004406DE" w:rsidRDefault="004406DE" w:rsidP="004406DE">
            <w:pPr>
              <w:pStyle w:val="ANormal"/>
              <w:rPr>
                <w:bCs/>
              </w:rPr>
            </w:pPr>
            <w:r w:rsidRPr="004406DE">
              <w:rPr>
                <w:bCs/>
              </w:rPr>
              <w:t>Socialvårdsbyrån (S1)</w:t>
            </w:r>
          </w:p>
        </w:tc>
        <w:tc>
          <w:tcPr>
            <w:tcW w:w="1704" w:type="dxa"/>
          </w:tcPr>
          <w:p w:rsidR="004406DE" w:rsidRPr="004406DE" w:rsidRDefault="004406DE" w:rsidP="004406DE">
            <w:pPr>
              <w:pStyle w:val="ANormal"/>
            </w:pPr>
          </w:p>
        </w:tc>
        <w:tc>
          <w:tcPr>
            <w:tcW w:w="1692" w:type="dxa"/>
          </w:tcPr>
          <w:p w:rsidR="004406DE" w:rsidRPr="004406DE" w:rsidRDefault="004406DE" w:rsidP="004406DE">
            <w:pPr>
              <w:pStyle w:val="ANormal"/>
            </w:pPr>
            <w:r w:rsidRPr="004406DE">
              <w:t>-</w:t>
            </w:r>
          </w:p>
        </w:tc>
      </w:tr>
      <w:tr w:rsidR="004406DE" w:rsidRPr="004406DE" w:rsidTr="00E07851">
        <w:trPr>
          <w:trHeight w:val="255"/>
        </w:trPr>
        <w:tc>
          <w:tcPr>
            <w:tcW w:w="3267" w:type="dxa"/>
          </w:tcPr>
          <w:p w:rsidR="004406DE" w:rsidRPr="004406DE" w:rsidRDefault="004406DE" w:rsidP="004406DE">
            <w:pPr>
              <w:pStyle w:val="ANormal"/>
            </w:pPr>
            <w:r w:rsidRPr="004406DE">
              <w:t xml:space="preserve">Miljöbyrån (S3) </w:t>
            </w:r>
          </w:p>
        </w:tc>
        <w:tc>
          <w:tcPr>
            <w:tcW w:w="1704" w:type="dxa"/>
          </w:tcPr>
          <w:p w:rsidR="004406DE" w:rsidRPr="004406DE" w:rsidRDefault="004406DE" w:rsidP="004406DE">
            <w:pPr>
              <w:pStyle w:val="ANormal"/>
              <w:rPr>
                <w:lang w:val="en-GB"/>
              </w:rPr>
            </w:pPr>
            <w:r w:rsidRPr="004406DE">
              <w:rPr>
                <w:lang w:val="en-GB"/>
              </w:rPr>
              <w:t>33 st</w:t>
            </w:r>
          </w:p>
        </w:tc>
        <w:tc>
          <w:tcPr>
            <w:tcW w:w="1692" w:type="dxa"/>
          </w:tcPr>
          <w:p w:rsidR="004406DE" w:rsidRPr="004406DE" w:rsidRDefault="004406DE" w:rsidP="004406DE">
            <w:pPr>
              <w:pStyle w:val="ANormal"/>
              <w:rPr>
                <w:lang w:val="en-GB"/>
              </w:rPr>
            </w:pPr>
            <w:r w:rsidRPr="004406DE">
              <w:rPr>
                <w:lang w:val="en-GB"/>
              </w:rPr>
              <w:t xml:space="preserve">3 st </w:t>
            </w:r>
          </w:p>
        </w:tc>
      </w:tr>
      <w:tr w:rsidR="004406DE" w:rsidRPr="004406DE" w:rsidTr="00E07851">
        <w:trPr>
          <w:trHeight w:val="240"/>
        </w:trPr>
        <w:tc>
          <w:tcPr>
            <w:tcW w:w="3267" w:type="dxa"/>
          </w:tcPr>
          <w:p w:rsidR="004406DE" w:rsidRPr="004406DE" w:rsidRDefault="004406DE" w:rsidP="004406DE">
            <w:pPr>
              <w:pStyle w:val="ANormal"/>
            </w:pPr>
            <w:r w:rsidRPr="004406DE">
              <w:t>Hälso- och sjukvårdsbyrån (S2)</w:t>
            </w:r>
          </w:p>
        </w:tc>
        <w:tc>
          <w:tcPr>
            <w:tcW w:w="1704" w:type="dxa"/>
          </w:tcPr>
          <w:p w:rsidR="004406DE" w:rsidRPr="004406DE" w:rsidRDefault="004406DE" w:rsidP="004406DE">
            <w:pPr>
              <w:pStyle w:val="ANormal"/>
              <w:rPr>
                <w:lang w:val="en-GB"/>
              </w:rPr>
            </w:pPr>
            <w:r w:rsidRPr="004406DE">
              <w:rPr>
                <w:lang w:val="en-GB"/>
              </w:rPr>
              <w:t>1 st</w:t>
            </w:r>
          </w:p>
        </w:tc>
        <w:tc>
          <w:tcPr>
            <w:tcW w:w="1692" w:type="dxa"/>
          </w:tcPr>
          <w:p w:rsidR="004406DE" w:rsidRPr="004406DE" w:rsidRDefault="004406DE" w:rsidP="004406DE">
            <w:pPr>
              <w:pStyle w:val="ANormal"/>
              <w:rPr>
                <w:lang w:val="en-GB"/>
              </w:rPr>
            </w:pPr>
            <w:r w:rsidRPr="004406DE">
              <w:rPr>
                <w:lang w:val="en-GB"/>
              </w:rPr>
              <w:t>13 st</w:t>
            </w:r>
          </w:p>
        </w:tc>
      </w:tr>
      <w:tr w:rsidR="004406DE" w:rsidRPr="004406DE" w:rsidTr="00E07851">
        <w:trPr>
          <w:trHeight w:val="240"/>
        </w:trPr>
        <w:tc>
          <w:tcPr>
            <w:tcW w:w="3267" w:type="dxa"/>
          </w:tcPr>
          <w:p w:rsidR="004406DE" w:rsidRPr="004406DE" w:rsidRDefault="004406DE" w:rsidP="004406DE">
            <w:pPr>
              <w:pStyle w:val="ANormal"/>
              <w:rPr>
                <w:lang w:val="sv-FI"/>
              </w:rPr>
            </w:pPr>
            <w:r w:rsidRPr="004406DE">
              <w:rPr>
                <w:b/>
                <w:bCs/>
                <w:lang w:val="sv-FI"/>
              </w:rPr>
              <w:t>Utbildnings- och kulturavde</w:t>
            </w:r>
            <w:r w:rsidRPr="004406DE">
              <w:rPr>
                <w:b/>
                <w:bCs/>
                <w:lang w:val="sv-FI"/>
              </w:rPr>
              <w:t>l</w:t>
            </w:r>
            <w:r w:rsidRPr="004406DE">
              <w:rPr>
                <w:b/>
                <w:bCs/>
                <w:lang w:val="sv-FI"/>
              </w:rPr>
              <w:t>ningen</w:t>
            </w:r>
          </w:p>
        </w:tc>
        <w:tc>
          <w:tcPr>
            <w:tcW w:w="1704" w:type="dxa"/>
          </w:tcPr>
          <w:p w:rsidR="004406DE" w:rsidRPr="004406DE" w:rsidRDefault="004406DE" w:rsidP="004406DE">
            <w:pPr>
              <w:pStyle w:val="ANormal"/>
              <w:rPr>
                <w:lang w:val="sv-FI"/>
              </w:rPr>
            </w:pPr>
          </w:p>
        </w:tc>
        <w:tc>
          <w:tcPr>
            <w:tcW w:w="1692" w:type="dxa"/>
          </w:tcPr>
          <w:p w:rsidR="004406DE" w:rsidRPr="004406DE" w:rsidRDefault="004406DE" w:rsidP="004406DE">
            <w:pPr>
              <w:pStyle w:val="ANormal"/>
              <w:rPr>
                <w:lang w:val="sv-FI"/>
              </w:rPr>
            </w:pPr>
          </w:p>
        </w:tc>
      </w:tr>
      <w:tr w:rsidR="004406DE" w:rsidRPr="004406DE" w:rsidTr="00E07851">
        <w:trPr>
          <w:trHeight w:val="240"/>
        </w:trPr>
        <w:tc>
          <w:tcPr>
            <w:tcW w:w="3267" w:type="dxa"/>
          </w:tcPr>
          <w:p w:rsidR="004406DE" w:rsidRPr="004406DE" w:rsidRDefault="004406DE" w:rsidP="004406DE">
            <w:pPr>
              <w:pStyle w:val="ANormal"/>
              <w:rPr>
                <w:lang w:val="sv-FI"/>
              </w:rPr>
            </w:pPr>
            <w:r w:rsidRPr="004406DE">
              <w:rPr>
                <w:lang w:val="sv-FI"/>
              </w:rPr>
              <w:t>Utbildningsbyrån (U2)</w:t>
            </w:r>
          </w:p>
        </w:tc>
        <w:tc>
          <w:tcPr>
            <w:tcW w:w="1704" w:type="dxa"/>
          </w:tcPr>
          <w:p w:rsidR="004406DE" w:rsidRPr="004406DE" w:rsidRDefault="004406DE" w:rsidP="004406DE">
            <w:pPr>
              <w:pStyle w:val="ANormal"/>
              <w:rPr>
                <w:lang w:val="sv-FI"/>
              </w:rPr>
            </w:pPr>
          </w:p>
        </w:tc>
        <w:tc>
          <w:tcPr>
            <w:tcW w:w="1692" w:type="dxa"/>
          </w:tcPr>
          <w:p w:rsidR="004406DE" w:rsidRPr="004406DE" w:rsidRDefault="004406DE" w:rsidP="004406DE">
            <w:pPr>
              <w:pStyle w:val="ANormal"/>
              <w:rPr>
                <w:lang w:val="sv-FI"/>
              </w:rPr>
            </w:pPr>
            <w:r w:rsidRPr="004406DE">
              <w:rPr>
                <w:lang w:val="sv-FI"/>
              </w:rPr>
              <w:t>1 st</w:t>
            </w:r>
          </w:p>
        </w:tc>
      </w:tr>
      <w:tr w:rsidR="004406DE" w:rsidRPr="004406DE" w:rsidTr="00E07851">
        <w:trPr>
          <w:trHeight w:val="255"/>
        </w:trPr>
        <w:tc>
          <w:tcPr>
            <w:tcW w:w="3267" w:type="dxa"/>
          </w:tcPr>
          <w:p w:rsidR="004406DE" w:rsidRPr="004406DE" w:rsidRDefault="004406DE" w:rsidP="004406DE">
            <w:pPr>
              <w:pStyle w:val="ANormal"/>
              <w:rPr>
                <w:lang w:val="sv-FI"/>
              </w:rPr>
            </w:pPr>
            <w:r w:rsidRPr="004406DE">
              <w:rPr>
                <w:b/>
                <w:bCs/>
                <w:lang w:val="sv-FI"/>
              </w:rPr>
              <w:t>Näringsavdelningen</w:t>
            </w:r>
          </w:p>
        </w:tc>
        <w:tc>
          <w:tcPr>
            <w:tcW w:w="1704" w:type="dxa"/>
          </w:tcPr>
          <w:p w:rsidR="004406DE" w:rsidRPr="004406DE" w:rsidRDefault="004406DE" w:rsidP="004406DE">
            <w:pPr>
              <w:pStyle w:val="ANormal"/>
              <w:rPr>
                <w:lang w:val="sv-FI"/>
              </w:rPr>
            </w:pPr>
          </w:p>
        </w:tc>
        <w:tc>
          <w:tcPr>
            <w:tcW w:w="1692" w:type="dxa"/>
          </w:tcPr>
          <w:p w:rsidR="004406DE" w:rsidRPr="004406DE" w:rsidRDefault="004406DE" w:rsidP="004406DE">
            <w:pPr>
              <w:pStyle w:val="ANormal"/>
              <w:rPr>
                <w:lang w:val="sv-FI"/>
              </w:rPr>
            </w:pPr>
          </w:p>
        </w:tc>
      </w:tr>
      <w:tr w:rsidR="004406DE" w:rsidRPr="004406DE" w:rsidTr="00E07851">
        <w:trPr>
          <w:trHeight w:val="255"/>
        </w:trPr>
        <w:tc>
          <w:tcPr>
            <w:tcW w:w="3267" w:type="dxa"/>
          </w:tcPr>
          <w:p w:rsidR="004406DE" w:rsidRPr="004406DE" w:rsidRDefault="004406DE" w:rsidP="004406DE">
            <w:pPr>
              <w:pStyle w:val="ANormal"/>
              <w:rPr>
                <w:lang w:val="sv-FI"/>
              </w:rPr>
            </w:pPr>
            <w:r w:rsidRPr="004406DE">
              <w:rPr>
                <w:lang w:val="sv-FI"/>
              </w:rPr>
              <w:t>Jordbruksbyrån (N2c)</w:t>
            </w:r>
          </w:p>
        </w:tc>
        <w:tc>
          <w:tcPr>
            <w:tcW w:w="1704" w:type="dxa"/>
          </w:tcPr>
          <w:p w:rsidR="004406DE" w:rsidRPr="004406DE" w:rsidRDefault="004406DE" w:rsidP="004406DE">
            <w:pPr>
              <w:pStyle w:val="ANormal"/>
              <w:rPr>
                <w:lang w:val="sv-FI"/>
              </w:rPr>
            </w:pPr>
            <w:r w:rsidRPr="004406DE">
              <w:rPr>
                <w:lang w:val="sv-FI"/>
              </w:rPr>
              <w:t>8 st</w:t>
            </w:r>
          </w:p>
        </w:tc>
        <w:tc>
          <w:tcPr>
            <w:tcW w:w="1692" w:type="dxa"/>
          </w:tcPr>
          <w:p w:rsidR="004406DE" w:rsidRPr="004406DE" w:rsidRDefault="004406DE" w:rsidP="004406DE">
            <w:pPr>
              <w:pStyle w:val="ANormal"/>
              <w:rPr>
                <w:lang w:val="sv-FI"/>
              </w:rPr>
            </w:pPr>
            <w:r w:rsidRPr="004406DE">
              <w:rPr>
                <w:lang w:val="sv-FI"/>
              </w:rPr>
              <w:t>1 st</w:t>
            </w:r>
          </w:p>
        </w:tc>
      </w:tr>
      <w:tr w:rsidR="004406DE" w:rsidRPr="004406DE" w:rsidTr="00E07851">
        <w:trPr>
          <w:trHeight w:val="240"/>
        </w:trPr>
        <w:tc>
          <w:tcPr>
            <w:tcW w:w="3267" w:type="dxa"/>
          </w:tcPr>
          <w:p w:rsidR="004406DE" w:rsidRPr="004406DE" w:rsidRDefault="004406DE" w:rsidP="004406DE">
            <w:pPr>
              <w:pStyle w:val="ANormal"/>
              <w:rPr>
                <w:lang w:val="sv-FI"/>
              </w:rPr>
            </w:pPr>
            <w:r w:rsidRPr="004406DE">
              <w:rPr>
                <w:b/>
                <w:bCs/>
                <w:lang w:val="sv-FI"/>
              </w:rPr>
              <w:t>Trafikavdelningen</w:t>
            </w:r>
          </w:p>
        </w:tc>
        <w:tc>
          <w:tcPr>
            <w:tcW w:w="1704" w:type="dxa"/>
          </w:tcPr>
          <w:p w:rsidR="004406DE" w:rsidRPr="004406DE" w:rsidRDefault="004406DE" w:rsidP="004406DE">
            <w:pPr>
              <w:pStyle w:val="ANormal"/>
              <w:rPr>
                <w:lang w:val="sv-FI"/>
              </w:rPr>
            </w:pPr>
          </w:p>
        </w:tc>
        <w:tc>
          <w:tcPr>
            <w:tcW w:w="1692" w:type="dxa"/>
          </w:tcPr>
          <w:p w:rsidR="004406DE" w:rsidRPr="004406DE" w:rsidRDefault="004406DE" w:rsidP="004406DE">
            <w:pPr>
              <w:pStyle w:val="ANormal"/>
              <w:rPr>
                <w:lang w:val="sv-FI"/>
              </w:rPr>
            </w:pPr>
          </w:p>
        </w:tc>
      </w:tr>
      <w:tr w:rsidR="004406DE" w:rsidRPr="004406DE" w:rsidTr="00E07851">
        <w:trPr>
          <w:trHeight w:val="255"/>
        </w:trPr>
        <w:tc>
          <w:tcPr>
            <w:tcW w:w="3267" w:type="dxa"/>
          </w:tcPr>
          <w:p w:rsidR="004406DE" w:rsidRPr="004406DE" w:rsidRDefault="004406DE" w:rsidP="004406DE">
            <w:pPr>
              <w:pStyle w:val="ANormal"/>
              <w:rPr>
                <w:lang w:val="sv-FI"/>
              </w:rPr>
            </w:pPr>
            <w:r w:rsidRPr="004406DE">
              <w:rPr>
                <w:lang w:val="sv-FI"/>
              </w:rPr>
              <w:t>Allmänna byrån (T1)</w:t>
            </w:r>
          </w:p>
        </w:tc>
        <w:tc>
          <w:tcPr>
            <w:tcW w:w="1704" w:type="dxa"/>
          </w:tcPr>
          <w:p w:rsidR="004406DE" w:rsidRPr="004406DE" w:rsidRDefault="004406DE" w:rsidP="004406DE">
            <w:pPr>
              <w:pStyle w:val="ANormal"/>
              <w:rPr>
                <w:lang w:val="en-GB"/>
              </w:rPr>
            </w:pPr>
            <w:r w:rsidRPr="004406DE">
              <w:rPr>
                <w:lang w:val="en-GB"/>
              </w:rPr>
              <w:t>13 st</w:t>
            </w:r>
          </w:p>
        </w:tc>
        <w:tc>
          <w:tcPr>
            <w:tcW w:w="1692" w:type="dxa"/>
          </w:tcPr>
          <w:p w:rsidR="004406DE" w:rsidRPr="004406DE" w:rsidRDefault="004406DE" w:rsidP="004406DE">
            <w:pPr>
              <w:pStyle w:val="ANormal"/>
              <w:rPr>
                <w:lang w:val="en-GB"/>
              </w:rPr>
            </w:pPr>
            <w:r w:rsidRPr="004406DE">
              <w:rPr>
                <w:lang w:val="en-GB"/>
              </w:rPr>
              <w:t>2 st</w:t>
            </w:r>
          </w:p>
        </w:tc>
      </w:tr>
      <w:tr w:rsidR="004406DE" w:rsidRPr="004406DE" w:rsidTr="00E07851">
        <w:tc>
          <w:tcPr>
            <w:tcW w:w="3267" w:type="dxa"/>
          </w:tcPr>
          <w:p w:rsidR="004406DE" w:rsidRPr="004406DE" w:rsidRDefault="004406DE" w:rsidP="004406DE">
            <w:pPr>
              <w:pStyle w:val="ANormal"/>
              <w:rPr>
                <w:b/>
                <w:bCs/>
                <w:lang w:val="sv-FI"/>
              </w:rPr>
            </w:pPr>
            <w:r w:rsidRPr="004406DE">
              <w:rPr>
                <w:b/>
                <w:bCs/>
                <w:lang w:val="sv-FI"/>
              </w:rPr>
              <w:t>Totalt</w:t>
            </w:r>
          </w:p>
        </w:tc>
        <w:tc>
          <w:tcPr>
            <w:tcW w:w="1704" w:type="dxa"/>
          </w:tcPr>
          <w:p w:rsidR="004406DE" w:rsidRPr="004406DE" w:rsidRDefault="004406DE" w:rsidP="004406DE">
            <w:pPr>
              <w:pStyle w:val="ANormal"/>
              <w:rPr>
                <w:b/>
                <w:bCs/>
                <w:lang w:val="sv-FI"/>
              </w:rPr>
            </w:pPr>
            <w:r w:rsidRPr="004406DE">
              <w:rPr>
                <w:b/>
                <w:bCs/>
                <w:lang w:val="sv-FI"/>
              </w:rPr>
              <w:t>61 st</w:t>
            </w:r>
          </w:p>
        </w:tc>
        <w:tc>
          <w:tcPr>
            <w:tcW w:w="1692" w:type="dxa"/>
          </w:tcPr>
          <w:p w:rsidR="004406DE" w:rsidRPr="004406DE" w:rsidRDefault="004406DE" w:rsidP="004406DE">
            <w:pPr>
              <w:pStyle w:val="ANormal"/>
              <w:rPr>
                <w:b/>
                <w:bCs/>
                <w:lang w:val="sv-FI"/>
              </w:rPr>
            </w:pPr>
            <w:r w:rsidRPr="004406DE">
              <w:rPr>
                <w:b/>
                <w:bCs/>
                <w:lang w:val="sv-FI"/>
              </w:rPr>
              <w:t>34 st</w:t>
            </w:r>
          </w:p>
        </w:tc>
      </w:tr>
    </w:tbl>
    <w:p w:rsidR="004406DE" w:rsidRPr="004406DE" w:rsidRDefault="004406DE" w:rsidP="004406DE">
      <w:pPr>
        <w:pStyle w:val="ANormal"/>
      </w:pPr>
    </w:p>
    <w:p w:rsidR="004406DE" w:rsidRPr="004406DE" w:rsidRDefault="004406DE" w:rsidP="004406DE">
      <w:pPr>
        <w:pStyle w:val="ANormal"/>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4"/>
        <w:gridCol w:w="1975"/>
        <w:gridCol w:w="2004"/>
      </w:tblGrid>
      <w:tr w:rsidR="004406DE" w:rsidRPr="004406DE" w:rsidTr="00E07851">
        <w:trPr>
          <w:cantSplit/>
        </w:trPr>
        <w:tc>
          <w:tcPr>
            <w:tcW w:w="6663" w:type="dxa"/>
            <w:gridSpan w:val="3"/>
            <w:tcBorders>
              <w:top w:val="nil"/>
              <w:left w:val="nil"/>
              <w:bottom w:val="single" w:sz="4" w:space="0" w:color="auto"/>
              <w:right w:val="nil"/>
            </w:tcBorders>
          </w:tcPr>
          <w:p w:rsidR="004406DE" w:rsidRPr="004406DE" w:rsidRDefault="004406DE" w:rsidP="004406DE">
            <w:pPr>
              <w:pStyle w:val="ANormal"/>
              <w:rPr>
                <w:b/>
              </w:rPr>
            </w:pPr>
            <w:r w:rsidRPr="004406DE">
              <w:rPr>
                <w:b/>
              </w:rPr>
              <w:t xml:space="preserve">Tabell 8. Fördelning områdesvis av </w:t>
            </w:r>
            <w:proofErr w:type="gramStart"/>
            <w:r w:rsidRPr="004406DE">
              <w:rPr>
                <w:b/>
              </w:rPr>
              <w:t>notifieringar</w:t>
            </w:r>
            <w:proofErr w:type="gramEnd"/>
            <w:r w:rsidRPr="004406DE">
              <w:rPr>
                <w:b/>
              </w:rPr>
              <w:t xml:space="preserve"> inom landskapets lagstiftningsbehörighet 2014</w:t>
            </w:r>
          </w:p>
        </w:tc>
      </w:tr>
      <w:tr w:rsidR="004406DE" w:rsidRPr="004406DE" w:rsidTr="00E07851">
        <w:tc>
          <w:tcPr>
            <w:tcW w:w="2684" w:type="dxa"/>
            <w:tcBorders>
              <w:top w:val="single" w:sz="4" w:space="0" w:color="auto"/>
            </w:tcBorders>
            <w:shd w:val="clear" w:color="auto" w:fill="A6A6A6"/>
          </w:tcPr>
          <w:p w:rsidR="004406DE" w:rsidRPr="004406DE" w:rsidRDefault="004406DE" w:rsidP="004406DE">
            <w:pPr>
              <w:pStyle w:val="ANormal"/>
              <w:rPr>
                <w:b/>
                <w:bCs/>
              </w:rPr>
            </w:pPr>
            <w:r w:rsidRPr="004406DE">
              <w:rPr>
                <w:b/>
                <w:bCs/>
              </w:rPr>
              <w:t>Område</w:t>
            </w:r>
          </w:p>
        </w:tc>
        <w:tc>
          <w:tcPr>
            <w:tcW w:w="1975" w:type="dxa"/>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2014</w:t>
            </w:r>
          </w:p>
        </w:tc>
        <w:tc>
          <w:tcPr>
            <w:tcW w:w="2004" w:type="dxa"/>
            <w:tcBorders>
              <w:top w:val="single" w:sz="4" w:space="0" w:color="auto"/>
            </w:tcBorders>
            <w:shd w:val="clear" w:color="auto" w:fill="A6A6A6"/>
            <w:vAlign w:val="bottom"/>
          </w:tcPr>
          <w:p w:rsidR="004406DE" w:rsidRPr="004406DE" w:rsidRDefault="004406DE" w:rsidP="004406DE">
            <w:pPr>
              <w:pStyle w:val="ANormal"/>
              <w:rPr>
                <w:b/>
                <w:bCs/>
              </w:rPr>
            </w:pPr>
            <w:r w:rsidRPr="004406DE">
              <w:rPr>
                <w:b/>
                <w:bCs/>
              </w:rPr>
              <w:t>2013</w:t>
            </w:r>
          </w:p>
        </w:tc>
      </w:tr>
      <w:tr w:rsidR="004406DE" w:rsidRPr="004406DE" w:rsidTr="00E07851">
        <w:tc>
          <w:tcPr>
            <w:tcW w:w="2684" w:type="dxa"/>
          </w:tcPr>
          <w:p w:rsidR="004406DE" w:rsidRPr="004406DE" w:rsidRDefault="004406DE" w:rsidP="004406DE">
            <w:pPr>
              <w:pStyle w:val="ANormal"/>
            </w:pPr>
            <w:r w:rsidRPr="004406DE">
              <w:t>Avfall</w:t>
            </w:r>
          </w:p>
        </w:tc>
        <w:tc>
          <w:tcPr>
            <w:tcW w:w="1975" w:type="dxa"/>
            <w:vAlign w:val="center"/>
          </w:tcPr>
          <w:p w:rsidR="004406DE" w:rsidRPr="004406DE" w:rsidRDefault="004406DE" w:rsidP="004406DE">
            <w:pPr>
              <w:pStyle w:val="ANormal"/>
            </w:pPr>
            <w:r w:rsidRPr="004406DE">
              <w:t>1 st</w:t>
            </w:r>
          </w:p>
        </w:tc>
        <w:tc>
          <w:tcPr>
            <w:tcW w:w="2004" w:type="dxa"/>
            <w:vAlign w:val="center"/>
          </w:tcPr>
          <w:p w:rsidR="004406DE" w:rsidRPr="004406DE" w:rsidRDefault="004406DE" w:rsidP="004406DE">
            <w:pPr>
              <w:pStyle w:val="ANormal"/>
            </w:pPr>
            <w:r w:rsidRPr="004406DE">
              <w:t>3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Beskattning</w:t>
            </w:r>
          </w:p>
        </w:tc>
        <w:tc>
          <w:tcPr>
            <w:tcW w:w="1975" w:type="dxa"/>
            <w:vAlign w:val="center"/>
          </w:tcPr>
          <w:p w:rsidR="004406DE" w:rsidRPr="004406DE" w:rsidRDefault="004406DE" w:rsidP="004406DE">
            <w:pPr>
              <w:pStyle w:val="ANormal"/>
            </w:pPr>
            <w:r w:rsidRPr="004406DE">
              <w:t>1 st</w:t>
            </w:r>
          </w:p>
        </w:tc>
        <w:tc>
          <w:tcPr>
            <w:tcW w:w="2004" w:type="dxa"/>
            <w:vAlign w:val="center"/>
          </w:tcPr>
          <w:p w:rsidR="004406DE" w:rsidRPr="004406DE" w:rsidRDefault="004406DE" w:rsidP="004406DE">
            <w:pPr>
              <w:pStyle w:val="ANormal"/>
            </w:pPr>
          </w:p>
        </w:tc>
      </w:tr>
      <w:tr w:rsidR="004406DE" w:rsidRPr="004406DE" w:rsidTr="00E07851">
        <w:tc>
          <w:tcPr>
            <w:tcW w:w="2684" w:type="dxa"/>
          </w:tcPr>
          <w:p w:rsidR="004406DE" w:rsidRPr="004406DE" w:rsidRDefault="004406DE" w:rsidP="004406DE">
            <w:pPr>
              <w:pStyle w:val="ANormal"/>
              <w:rPr>
                <w:lang w:val="sv-FI"/>
              </w:rPr>
            </w:pPr>
            <w:r w:rsidRPr="004406DE">
              <w:rPr>
                <w:lang w:val="sv-FI"/>
              </w:rPr>
              <w:t>Budget</w:t>
            </w:r>
          </w:p>
        </w:tc>
        <w:tc>
          <w:tcPr>
            <w:tcW w:w="1975" w:type="dxa"/>
            <w:vAlign w:val="center"/>
          </w:tcPr>
          <w:p w:rsidR="004406DE" w:rsidRPr="004406DE" w:rsidRDefault="004406DE" w:rsidP="004406DE">
            <w:pPr>
              <w:pStyle w:val="ANormal"/>
            </w:pPr>
            <w:r w:rsidRPr="004406DE">
              <w:t>-</w:t>
            </w:r>
          </w:p>
        </w:tc>
        <w:tc>
          <w:tcPr>
            <w:tcW w:w="2004" w:type="dxa"/>
            <w:vAlign w:val="center"/>
          </w:tcPr>
          <w:p w:rsidR="004406DE" w:rsidRPr="004406DE" w:rsidRDefault="004406DE" w:rsidP="004406DE">
            <w:pPr>
              <w:pStyle w:val="ANormal"/>
            </w:pPr>
            <w:r w:rsidRPr="004406DE">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Djurskydd</w:t>
            </w:r>
          </w:p>
        </w:tc>
        <w:tc>
          <w:tcPr>
            <w:tcW w:w="1975" w:type="dxa"/>
            <w:vAlign w:val="center"/>
          </w:tcPr>
          <w:p w:rsidR="004406DE" w:rsidRPr="004406DE" w:rsidRDefault="004406DE" w:rsidP="004406DE">
            <w:pPr>
              <w:pStyle w:val="ANormal"/>
              <w:rPr>
                <w:lang w:val="en-GB"/>
              </w:rPr>
            </w:pPr>
            <w:r w:rsidRPr="004406DE">
              <w:rPr>
                <w:lang w:val="en-GB"/>
              </w:rPr>
              <w:t>-</w:t>
            </w:r>
          </w:p>
        </w:tc>
        <w:tc>
          <w:tcPr>
            <w:tcW w:w="2004" w:type="dxa"/>
            <w:vAlign w:val="center"/>
          </w:tcPr>
          <w:p w:rsidR="004406DE" w:rsidRPr="004406DE" w:rsidRDefault="004406DE" w:rsidP="004406DE">
            <w:pPr>
              <w:pStyle w:val="ANormal"/>
              <w:rPr>
                <w:lang w:val="en-GB"/>
              </w:rPr>
            </w:pPr>
            <w:r w:rsidRPr="004406DE">
              <w:rPr>
                <w:lang w:val="en-GB"/>
              </w:rPr>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Energi</w:t>
            </w:r>
          </w:p>
        </w:tc>
        <w:tc>
          <w:tcPr>
            <w:tcW w:w="1975" w:type="dxa"/>
            <w:vAlign w:val="center"/>
          </w:tcPr>
          <w:p w:rsidR="004406DE" w:rsidRPr="004406DE" w:rsidRDefault="004406DE" w:rsidP="004406DE">
            <w:pPr>
              <w:pStyle w:val="ANormal"/>
              <w:rPr>
                <w:lang w:val="en-GB"/>
              </w:rPr>
            </w:pPr>
            <w:r w:rsidRPr="004406DE">
              <w:rPr>
                <w:lang w:val="en-GB"/>
              </w:rPr>
              <w:t>3 st</w:t>
            </w:r>
          </w:p>
        </w:tc>
        <w:tc>
          <w:tcPr>
            <w:tcW w:w="2004" w:type="dxa"/>
            <w:vAlign w:val="center"/>
          </w:tcPr>
          <w:p w:rsidR="004406DE" w:rsidRPr="004406DE" w:rsidRDefault="004406DE" w:rsidP="004406DE">
            <w:pPr>
              <w:pStyle w:val="ANormal"/>
              <w:rPr>
                <w:lang w:val="en-GB"/>
              </w:rPr>
            </w:pPr>
            <w:r w:rsidRPr="004406DE">
              <w:rPr>
                <w:lang w:val="en-GB"/>
              </w:rPr>
              <w:t>2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Hälso- och sjukvård</w:t>
            </w:r>
          </w:p>
        </w:tc>
        <w:tc>
          <w:tcPr>
            <w:tcW w:w="1975" w:type="dxa"/>
            <w:vAlign w:val="center"/>
          </w:tcPr>
          <w:p w:rsidR="004406DE" w:rsidRPr="004406DE" w:rsidRDefault="004406DE" w:rsidP="004406DE">
            <w:pPr>
              <w:pStyle w:val="ANormal"/>
              <w:rPr>
                <w:lang w:val="en-GB"/>
              </w:rPr>
            </w:pPr>
            <w:r w:rsidRPr="004406DE">
              <w:rPr>
                <w:lang w:val="en-GB"/>
              </w:rPr>
              <w:t>1 st</w:t>
            </w:r>
          </w:p>
        </w:tc>
        <w:tc>
          <w:tcPr>
            <w:tcW w:w="2004" w:type="dxa"/>
            <w:vAlign w:val="center"/>
          </w:tcPr>
          <w:p w:rsidR="004406DE" w:rsidRPr="004406DE" w:rsidRDefault="004406DE" w:rsidP="004406DE">
            <w:pPr>
              <w:pStyle w:val="ANormal"/>
              <w:rPr>
                <w:lang w:val="en-GB"/>
              </w:rPr>
            </w:pPr>
          </w:p>
        </w:tc>
      </w:tr>
      <w:tr w:rsidR="004406DE" w:rsidRPr="004406DE" w:rsidTr="00E07851">
        <w:tc>
          <w:tcPr>
            <w:tcW w:w="2684" w:type="dxa"/>
          </w:tcPr>
          <w:p w:rsidR="004406DE" w:rsidRPr="004406DE" w:rsidRDefault="004406DE" w:rsidP="004406DE">
            <w:pPr>
              <w:pStyle w:val="ANormal"/>
              <w:rPr>
                <w:lang w:val="sv-FI"/>
              </w:rPr>
            </w:pPr>
            <w:r w:rsidRPr="004406DE">
              <w:rPr>
                <w:lang w:val="sv-FI"/>
              </w:rPr>
              <w:t>Jord- och skogsbruk</w:t>
            </w:r>
          </w:p>
        </w:tc>
        <w:tc>
          <w:tcPr>
            <w:tcW w:w="1975" w:type="dxa"/>
            <w:vAlign w:val="center"/>
          </w:tcPr>
          <w:p w:rsidR="004406DE" w:rsidRPr="004406DE" w:rsidRDefault="004406DE" w:rsidP="004406DE">
            <w:pPr>
              <w:pStyle w:val="ANormal"/>
              <w:rPr>
                <w:lang w:val="en-GB"/>
              </w:rPr>
            </w:pPr>
            <w:r w:rsidRPr="004406DE">
              <w:rPr>
                <w:lang w:val="en-GB"/>
              </w:rPr>
              <w:t>8 st</w:t>
            </w:r>
          </w:p>
        </w:tc>
        <w:tc>
          <w:tcPr>
            <w:tcW w:w="2004" w:type="dxa"/>
            <w:vAlign w:val="center"/>
          </w:tcPr>
          <w:p w:rsidR="004406DE" w:rsidRPr="004406DE" w:rsidRDefault="004406DE" w:rsidP="004406DE">
            <w:pPr>
              <w:pStyle w:val="ANormal"/>
              <w:rPr>
                <w:lang w:val="en-GB"/>
              </w:rPr>
            </w:pPr>
            <w:r w:rsidRPr="004406DE">
              <w:rPr>
                <w:lang w:val="en-GB"/>
              </w:rPr>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Kemikalier</w:t>
            </w:r>
          </w:p>
        </w:tc>
        <w:tc>
          <w:tcPr>
            <w:tcW w:w="1975" w:type="dxa"/>
            <w:vAlign w:val="center"/>
          </w:tcPr>
          <w:p w:rsidR="004406DE" w:rsidRPr="004406DE" w:rsidRDefault="004406DE" w:rsidP="004406DE">
            <w:pPr>
              <w:pStyle w:val="ANormal"/>
              <w:rPr>
                <w:lang w:val="en-GB"/>
              </w:rPr>
            </w:pPr>
            <w:r w:rsidRPr="004406DE">
              <w:rPr>
                <w:lang w:val="en-GB"/>
              </w:rPr>
              <w:t>2 st</w:t>
            </w:r>
          </w:p>
        </w:tc>
        <w:tc>
          <w:tcPr>
            <w:tcW w:w="2004" w:type="dxa"/>
            <w:vAlign w:val="center"/>
          </w:tcPr>
          <w:p w:rsidR="004406DE" w:rsidRPr="004406DE" w:rsidRDefault="004406DE" w:rsidP="004406DE">
            <w:pPr>
              <w:pStyle w:val="ANormal"/>
              <w:rPr>
                <w:lang w:val="en-GB"/>
              </w:rPr>
            </w:pPr>
            <w:r w:rsidRPr="004406DE">
              <w:rPr>
                <w:lang w:val="en-GB"/>
              </w:rPr>
              <w:t>15 st</w:t>
            </w:r>
          </w:p>
        </w:tc>
      </w:tr>
      <w:tr w:rsidR="004406DE" w:rsidRPr="004406DE" w:rsidTr="00E07851">
        <w:tc>
          <w:tcPr>
            <w:tcW w:w="2684" w:type="dxa"/>
          </w:tcPr>
          <w:p w:rsidR="004406DE" w:rsidRPr="004406DE" w:rsidRDefault="004406DE" w:rsidP="004406DE">
            <w:pPr>
              <w:pStyle w:val="ANormal"/>
              <w:rPr>
                <w:bCs/>
                <w:lang w:val="sv-FI"/>
              </w:rPr>
            </w:pPr>
            <w:r w:rsidRPr="004406DE">
              <w:rPr>
                <w:bCs/>
                <w:lang w:val="sv-FI"/>
              </w:rPr>
              <w:t>Livsmedel</w:t>
            </w:r>
          </w:p>
        </w:tc>
        <w:tc>
          <w:tcPr>
            <w:tcW w:w="1975" w:type="dxa"/>
            <w:vAlign w:val="center"/>
          </w:tcPr>
          <w:p w:rsidR="004406DE" w:rsidRPr="004406DE" w:rsidRDefault="004406DE" w:rsidP="004406DE">
            <w:pPr>
              <w:pStyle w:val="ANormal"/>
              <w:rPr>
                <w:lang w:val="sv-FI"/>
              </w:rPr>
            </w:pPr>
            <w:r w:rsidRPr="004406DE">
              <w:rPr>
                <w:lang w:val="sv-FI"/>
              </w:rPr>
              <w:t>2 st</w:t>
            </w:r>
          </w:p>
        </w:tc>
        <w:tc>
          <w:tcPr>
            <w:tcW w:w="2004" w:type="dxa"/>
            <w:vAlign w:val="center"/>
          </w:tcPr>
          <w:p w:rsidR="004406DE" w:rsidRPr="004406DE" w:rsidRDefault="004406DE" w:rsidP="004406DE">
            <w:pPr>
              <w:pStyle w:val="ANormal"/>
              <w:rPr>
                <w:lang w:val="sv-FI"/>
              </w:rPr>
            </w:pPr>
            <w:r w:rsidRPr="004406DE">
              <w:rPr>
                <w:lang w:val="sv-FI"/>
              </w:rPr>
              <w: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Natur- och miljövård</w:t>
            </w:r>
          </w:p>
        </w:tc>
        <w:tc>
          <w:tcPr>
            <w:tcW w:w="1975" w:type="dxa"/>
            <w:vAlign w:val="center"/>
          </w:tcPr>
          <w:p w:rsidR="004406DE" w:rsidRPr="004406DE" w:rsidRDefault="004406DE" w:rsidP="004406DE">
            <w:pPr>
              <w:pStyle w:val="ANormal"/>
            </w:pPr>
            <w:r w:rsidRPr="004406DE">
              <w:t>3 st</w:t>
            </w:r>
          </w:p>
        </w:tc>
        <w:tc>
          <w:tcPr>
            <w:tcW w:w="2004" w:type="dxa"/>
            <w:vAlign w:val="center"/>
          </w:tcPr>
          <w:p w:rsidR="004406DE" w:rsidRPr="004406DE" w:rsidRDefault="004406DE" w:rsidP="004406DE">
            <w:pPr>
              <w:pStyle w:val="ANormal"/>
            </w:pPr>
            <w:r w:rsidRPr="004406DE">
              <w:t>3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Offentlig upphandling</w:t>
            </w:r>
          </w:p>
        </w:tc>
        <w:tc>
          <w:tcPr>
            <w:tcW w:w="1975" w:type="dxa"/>
            <w:vAlign w:val="center"/>
          </w:tcPr>
          <w:p w:rsidR="004406DE" w:rsidRPr="004406DE" w:rsidRDefault="004406DE" w:rsidP="004406DE">
            <w:pPr>
              <w:pStyle w:val="ANormal"/>
            </w:pPr>
            <w:r w:rsidRPr="004406DE">
              <w:t>-</w:t>
            </w:r>
          </w:p>
        </w:tc>
        <w:tc>
          <w:tcPr>
            <w:tcW w:w="2004" w:type="dxa"/>
            <w:vAlign w:val="center"/>
          </w:tcPr>
          <w:p w:rsidR="004406DE" w:rsidRPr="004406DE" w:rsidRDefault="004406DE" w:rsidP="004406DE">
            <w:pPr>
              <w:pStyle w:val="ANormal"/>
            </w:pPr>
            <w:r w:rsidRPr="004406DE">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Produktsäkerhet</w:t>
            </w:r>
          </w:p>
        </w:tc>
        <w:tc>
          <w:tcPr>
            <w:tcW w:w="1975" w:type="dxa"/>
            <w:vAlign w:val="center"/>
          </w:tcPr>
          <w:p w:rsidR="004406DE" w:rsidRPr="004406DE" w:rsidRDefault="00125E09" w:rsidP="004406DE">
            <w:pPr>
              <w:pStyle w:val="ANormal"/>
            </w:pPr>
            <w:r>
              <w:t>27</w:t>
            </w:r>
            <w:r w:rsidR="004406DE" w:rsidRPr="004406DE">
              <w:t xml:space="preserve"> st</w:t>
            </w:r>
          </w:p>
        </w:tc>
        <w:tc>
          <w:tcPr>
            <w:tcW w:w="2004" w:type="dxa"/>
            <w:vAlign w:val="center"/>
          </w:tcPr>
          <w:p w:rsidR="004406DE" w:rsidRPr="004406DE" w:rsidRDefault="004406DE" w:rsidP="004406DE">
            <w:pPr>
              <w:pStyle w:val="ANormal"/>
            </w:pPr>
            <w:r w:rsidRPr="004406DE">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Rundradio- och television</w:t>
            </w:r>
            <w:r w:rsidRPr="004406DE">
              <w:rPr>
                <w:lang w:val="sv-FI"/>
              </w:rPr>
              <w:t>s</w:t>
            </w:r>
            <w:r w:rsidRPr="004406DE">
              <w:rPr>
                <w:lang w:val="sv-FI"/>
              </w:rPr>
              <w:t>verksamhet</w:t>
            </w:r>
          </w:p>
        </w:tc>
        <w:tc>
          <w:tcPr>
            <w:tcW w:w="1975" w:type="dxa"/>
            <w:vAlign w:val="center"/>
          </w:tcPr>
          <w:p w:rsidR="004406DE" w:rsidRPr="004406DE" w:rsidRDefault="004406DE" w:rsidP="004406DE">
            <w:pPr>
              <w:pStyle w:val="ANormal"/>
              <w:rPr>
                <w:lang w:val="sv-FI"/>
              </w:rPr>
            </w:pPr>
            <w:r w:rsidRPr="004406DE">
              <w:rPr>
                <w:lang w:val="sv-FI"/>
              </w:rPr>
              <w:t>-</w:t>
            </w:r>
          </w:p>
        </w:tc>
        <w:tc>
          <w:tcPr>
            <w:tcW w:w="2004" w:type="dxa"/>
            <w:vAlign w:val="center"/>
          </w:tcPr>
          <w:p w:rsidR="004406DE" w:rsidRPr="004406DE" w:rsidRDefault="004406DE" w:rsidP="004406DE">
            <w:pPr>
              <w:pStyle w:val="ANormal"/>
              <w:rPr>
                <w:lang w:val="sv-FI"/>
              </w:rPr>
            </w:pPr>
            <w:r w:rsidRPr="004406DE">
              <w:rPr>
                <w:lang w:val="sv-FI"/>
              </w:rPr>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Rösträtt och valbarhet</w:t>
            </w:r>
          </w:p>
        </w:tc>
        <w:tc>
          <w:tcPr>
            <w:tcW w:w="1975" w:type="dxa"/>
            <w:vAlign w:val="center"/>
          </w:tcPr>
          <w:p w:rsidR="004406DE" w:rsidRPr="004406DE" w:rsidRDefault="004406DE" w:rsidP="004406DE">
            <w:pPr>
              <w:pStyle w:val="ANormal"/>
              <w:rPr>
                <w:lang w:val="en-GB"/>
              </w:rPr>
            </w:pPr>
            <w:r w:rsidRPr="004406DE">
              <w:rPr>
                <w:lang w:val="en-GB"/>
              </w:rPr>
              <w:t>-</w:t>
            </w:r>
          </w:p>
        </w:tc>
        <w:tc>
          <w:tcPr>
            <w:tcW w:w="2004" w:type="dxa"/>
            <w:vAlign w:val="center"/>
          </w:tcPr>
          <w:p w:rsidR="004406DE" w:rsidRPr="004406DE" w:rsidRDefault="004406DE" w:rsidP="004406DE">
            <w:pPr>
              <w:pStyle w:val="ANormal"/>
              <w:rPr>
                <w:lang w:val="en-GB"/>
              </w:rPr>
            </w:pPr>
            <w:r w:rsidRPr="004406DE">
              <w:rPr>
                <w:lang w:val="en-GB"/>
              </w:rPr>
              <w:t>1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Trafik</w:t>
            </w:r>
          </w:p>
        </w:tc>
        <w:tc>
          <w:tcPr>
            <w:tcW w:w="1975" w:type="dxa"/>
            <w:vAlign w:val="center"/>
          </w:tcPr>
          <w:p w:rsidR="004406DE" w:rsidRPr="004406DE" w:rsidRDefault="00125E09" w:rsidP="004406DE">
            <w:pPr>
              <w:pStyle w:val="ANormal"/>
              <w:rPr>
                <w:lang w:val="en-GB"/>
              </w:rPr>
            </w:pPr>
            <w:r>
              <w:rPr>
                <w:lang w:val="en-GB"/>
              </w:rPr>
              <w:t>13</w:t>
            </w:r>
            <w:r w:rsidR="004406DE" w:rsidRPr="004406DE">
              <w:rPr>
                <w:lang w:val="en-GB"/>
              </w:rPr>
              <w:t xml:space="preserve"> st</w:t>
            </w:r>
          </w:p>
        </w:tc>
        <w:tc>
          <w:tcPr>
            <w:tcW w:w="2004" w:type="dxa"/>
            <w:vAlign w:val="center"/>
          </w:tcPr>
          <w:p w:rsidR="004406DE" w:rsidRPr="004406DE" w:rsidRDefault="004406DE" w:rsidP="004406DE">
            <w:pPr>
              <w:pStyle w:val="ANormal"/>
              <w:rPr>
                <w:lang w:val="en-GB"/>
              </w:rPr>
            </w:pPr>
            <w:r w:rsidRPr="004406DE">
              <w:rPr>
                <w:lang w:val="en-GB"/>
              </w:rPr>
              <w:t>3 st</w:t>
            </w:r>
          </w:p>
        </w:tc>
      </w:tr>
      <w:tr w:rsidR="004406DE" w:rsidRPr="004406DE" w:rsidTr="00E07851">
        <w:tc>
          <w:tcPr>
            <w:tcW w:w="2684" w:type="dxa"/>
          </w:tcPr>
          <w:p w:rsidR="004406DE" w:rsidRPr="004406DE" w:rsidRDefault="004406DE" w:rsidP="004406DE">
            <w:pPr>
              <w:pStyle w:val="ANormal"/>
              <w:rPr>
                <w:lang w:val="sv-FI"/>
              </w:rPr>
            </w:pPr>
            <w:r w:rsidRPr="004406DE">
              <w:rPr>
                <w:lang w:val="sv-FI"/>
              </w:rPr>
              <w:t>Yrkeskvalifikationer</w:t>
            </w:r>
          </w:p>
        </w:tc>
        <w:tc>
          <w:tcPr>
            <w:tcW w:w="1975" w:type="dxa"/>
            <w:vAlign w:val="center"/>
          </w:tcPr>
          <w:p w:rsidR="004406DE" w:rsidRPr="004406DE" w:rsidRDefault="004406DE" w:rsidP="004406DE">
            <w:pPr>
              <w:pStyle w:val="ANormal"/>
              <w:rPr>
                <w:lang w:val="sv-FI"/>
              </w:rPr>
            </w:pPr>
            <w:r w:rsidRPr="004406DE">
              <w:rPr>
                <w:lang w:val="sv-FI"/>
              </w:rPr>
              <w:t>-</w:t>
            </w:r>
          </w:p>
        </w:tc>
        <w:tc>
          <w:tcPr>
            <w:tcW w:w="2004" w:type="dxa"/>
            <w:vAlign w:val="center"/>
          </w:tcPr>
          <w:p w:rsidR="004406DE" w:rsidRPr="004406DE" w:rsidRDefault="004406DE" w:rsidP="004406DE">
            <w:pPr>
              <w:pStyle w:val="ANormal"/>
              <w:rPr>
                <w:lang w:val="sv-FI"/>
              </w:rPr>
            </w:pPr>
            <w:r w:rsidRPr="004406DE">
              <w:rPr>
                <w:lang w:val="sv-FI"/>
              </w:rPr>
              <w:t>1 st</w:t>
            </w:r>
          </w:p>
        </w:tc>
      </w:tr>
      <w:tr w:rsidR="004406DE" w:rsidRPr="004406DE" w:rsidTr="00E07851">
        <w:tc>
          <w:tcPr>
            <w:tcW w:w="2684" w:type="dxa"/>
          </w:tcPr>
          <w:p w:rsidR="004406DE" w:rsidRPr="004406DE" w:rsidRDefault="004406DE" w:rsidP="004406DE">
            <w:pPr>
              <w:pStyle w:val="ANormal"/>
              <w:rPr>
                <w:b/>
                <w:bCs/>
              </w:rPr>
            </w:pPr>
            <w:r w:rsidRPr="004406DE">
              <w:rPr>
                <w:b/>
                <w:bCs/>
              </w:rPr>
              <w:t>Totalt</w:t>
            </w:r>
          </w:p>
        </w:tc>
        <w:tc>
          <w:tcPr>
            <w:tcW w:w="1975" w:type="dxa"/>
            <w:vAlign w:val="center"/>
          </w:tcPr>
          <w:p w:rsidR="004406DE" w:rsidRPr="004406DE" w:rsidRDefault="004406DE" w:rsidP="004406DE">
            <w:pPr>
              <w:pStyle w:val="ANormal"/>
              <w:rPr>
                <w:b/>
                <w:bCs/>
              </w:rPr>
            </w:pPr>
            <w:r w:rsidRPr="004406DE">
              <w:rPr>
                <w:b/>
                <w:bCs/>
              </w:rPr>
              <w:t>61 st</w:t>
            </w:r>
          </w:p>
        </w:tc>
        <w:tc>
          <w:tcPr>
            <w:tcW w:w="2004" w:type="dxa"/>
            <w:vAlign w:val="center"/>
          </w:tcPr>
          <w:p w:rsidR="004406DE" w:rsidRPr="004406DE" w:rsidRDefault="004406DE" w:rsidP="004406DE">
            <w:pPr>
              <w:pStyle w:val="ANormal"/>
              <w:rPr>
                <w:b/>
                <w:bCs/>
              </w:rPr>
            </w:pPr>
            <w:r w:rsidRPr="004406DE">
              <w:rPr>
                <w:b/>
                <w:bCs/>
              </w:rPr>
              <w:t>34 st</w:t>
            </w:r>
          </w:p>
        </w:tc>
      </w:tr>
    </w:tbl>
    <w:p w:rsidR="004406DE" w:rsidRPr="004406DE" w:rsidRDefault="004406DE" w:rsidP="004406DE">
      <w:pPr>
        <w:pStyle w:val="ANormal"/>
      </w:pPr>
    </w:p>
    <w:p w:rsidR="004406DE" w:rsidRPr="004406DE" w:rsidRDefault="004406DE" w:rsidP="00E47DAE">
      <w:pPr>
        <w:pStyle w:val="Rubrik4"/>
      </w:pPr>
      <w:r w:rsidRPr="004406DE">
        <w:t>Överträdelseförfaranden och EU-domstolsärenden</w:t>
      </w:r>
    </w:p>
    <w:p w:rsidR="0056576A" w:rsidRPr="00425A30" w:rsidRDefault="0088679A" w:rsidP="005242BE">
      <w:r w:rsidRPr="00425A30">
        <w:t>En av kommissionens uppgifter är att bevaka att medlemsstaterna tillämpar EU-rätten på ett korrekt sätt, det vill säga att medlemsstaterna inte stiftat lagar som strider mot EU-rätten eller att medlemsstaterna inte har geno</w:t>
      </w:r>
      <w:r w:rsidRPr="00425A30">
        <w:t>m</w:t>
      </w:r>
      <w:r w:rsidRPr="00425A30">
        <w:t>fört ett direktiv i tid.</w:t>
      </w:r>
      <w:r w:rsidR="00512B5C">
        <w:t xml:space="preserve"> </w:t>
      </w:r>
      <w:r w:rsidR="004406DE" w:rsidRPr="00425A30">
        <w:t xml:space="preserve">Om kommissionen anser att en medlemsstat underlåtit att </w:t>
      </w:r>
      <w:r w:rsidRPr="00425A30">
        <w:t>korrekt tillämpa EU-rätten</w:t>
      </w:r>
      <w:r w:rsidR="004406DE" w:rsidRPr="00425A30">
        <w:t xml:space="preserve"> kan kommissionen </w:t>
      </w:r>
      <w:r w:rsidRPr="00425A30">
        <w:t>inleda</w:t>
      </w:r>
      <w:r w:rsidR="004406DE" w:rsidRPr="00425A30">
        <w:t xml:space="preserve"> ett överträdelsefö</w:t>
      </w:r>
      <w:r w:rsidR="004406DE" w:rsidRPr="00425A30">
        <w:t>r</w:t>
      </w:r>
      <w:r w:rsidR="004406DE" w:rsidRPr="00425A30">
        <w:t>farande</w:t>
      </w:r>
      <w:r w:rsidRPr="00425A30">
        <w:t>.</w:t>
      </w:r>
    </w:p>
    <w:p w:rsidR="0056576A" w:rsidRPr="0056576A" w:rsidRDefault="0056576A" w:rsidP="0056576A">
      <w:r w:rsidRPr="00425A30">
        <w:t>Stegen i överträdelseförfarandet</w:t>
      </w:r>
      <w:r w:rsidRPr="0056576A">
        <w:t xml:space="preserve"> är följande:</w:t>
      </w:r>
    </w:p>
    <w:p w:rsidR="0056576A" w:rsidRPr="0056576A" w:rsidRDefault="0056576A" w:rsidP="0056576A">
      <w:pPr>
        <w:numPr>
          <w:ilvl w:val="0"/>
          <w:numId w:val="16"/>
        </w:numPr>
      </w:pPr>
      <w:r w:rsidRPr="0056576A">
        <w:t>Informellt förfarande (EU Pilot)</w:t>
      </w:r>
    </w:p>
    <w:p w:rsidR="0056576A" w:rsidRPr="0056576A" w:rsidRDefault="0056576A" w:rsidP="0056576A">
      <w:pPr>
        <w:numPr>
          <w:ilvl w:val="0"/>
          <w:numId w:val="16"/>
        </w:numPr>
      </w:pPr>
      <w:r w:rsidRPr="0056576A">
        <w:t>Formell underrättelse</w:t>
      </w:r>
    </w:p>
    <w:p w:rsidR="0056576A" w:rsidRPr="0056576A" w:rsidRDefault="0056576A" w:rsidP="0056576A">
      <w:pPr>
        <w:numPr>
          <w:ilvl w:val="0"/>
          <w:numId w:val="16"/>
        </w:numPr>
      </w:pPr>
      <w:r w:rsidRPr="0056576A">
        <w:t>Motiverat yttrande</w:t>
      </w:r>
    </w:p>
    <w:p w:rsidR="0056576A" w:rsidRPr="00023C6C" w:rsidRDefault="0056576A" w:rsidP="0056576A">
      <w:pPr>
        <w:numPr>
          <w:ilvl w:val="0"/>
          <w:numId w:val="16"/>
        </w:numPr>
      </w:pPr>
      <w:r w:rsidRPr="00023C6C">
        <w:t>EU-domstolen</w:t>
      </w:r>
    </w:p>
    <w:p w:rsidR="0056576A" w:rsidRPr="00023C6C" w:rsidRDefault="0056576A" w:rsidP="005242BE"/>
    <w:p w:rsidR="0056576A" w:rsidRPr="008700F2" w:rsidRDefault="0056576A" w:rsidP="005242BE">
      <w:r w:rsidRPr="00023C6C">
        <w:t>Det informella EU Pilot-förfarandet som föregår det formella överträdels</w:t>
      </w:r>
      <w:r w:rsidRPr="00023C6C">
        <w:t>e</w:t>
      </w:r>
      <w:r w:rsidRPr="00023C6C">
        <w:t>förfarandet innebär att kommissionen efterfrågar kompletterande uppgifter</w:t>
      </w:r>
      <w:r w:rsidRPr="00244E70">
        <w:t xml:space="preserve"> om </w:t>
      </w:r>
      <w:r>
        <w:t xml:space="preserve">en medlemsstats </w:t>
      </w:r>
      <w:r w:rsidRPr="00244E70">
        <w:t>genomförande</w:t>
      </w:r>
      <w:r>
        <w:t xml:space="preserve"> av sådana direktiv, vilka</w:t>
      </w:r>
      <w:r w:rsidRPr="00244E70">
        <w:t xml:space="preserve"> kommission</w:t>
      </w:r>
      <w:r>
        <w:t xml:space="preserve">en </w:t>
      </w:r>
      <w:r>
        <w:lastRenderedPageBreak/>
        <w:t xml:space="preserve">anser </w:t>
      </w:r>
      <w:r w:rsidRPr="00244E70">
        <w:t xml:space="preserve">inte </w:t>
      </w:r>
      <w:r>
        <w:t xml:space="preserve">vara fullständigt eller korrekt genomförda </w:t>
      </w:r>
      <w:r w:rsidRPr="00244E70">
        <w:t>i medlemsstaterna. Syftet med EU Pilot</w:t>
      </w:r>
      <w:r>
        <w:t>-förfarandet</w:t>
      </w:r>
      <w:r w:rsidRPr="00244E70">
        <w:t xml:space="preserve"> är att medlemsstaterna ska kunna korrigera brister i genomförandet av EU-</w:t>
      </w:r>
      <w:r w:rsidR="00425A30">
        <w:t>rätten</w:t>
      </w:r>
      <w:r w:rsidRPr="00244E70">
        <w:t xml:space="preserve"> utan att kommiss</w:t>
      </w:r>
      <w:r>
        <w:t xml:space="preserve">ionen </w:t>
      </w:r>
      <w:r w:rsidRPr="00244E70">
        <w:t xml:space="preserve">tvingas inleda ett </w:t>
      </w:r>
      <w:r>
        <w:t xml:space="preserve">formellt </w:t>
      </w:r>
      <w:r w:rsidRPr="00244E70">
        <w:t>överträdelseförfara</w:t>
      </w:r>
      <w:r>
        <w:t xml:space="preserve">nde. Till följd av EU Pilot-förfarandet inleds således </w:t>
      </w:r>
      <w:r w:rsidRPr="00244E70">
        <w:t xml:space="preserve">färre </w:t>
      </w:r>
      <w:r w:rsidR="00425A30">
        <w:t xml:space="preserve">formella </w:t>
      </w:r>
      <w:r w:rsidRPr="00244E70">
        <w:t>överträdelseären</w:t>
      </w:r>
      <w:r>
        <w:t>den</w:t>
      </w:r>
      <w:r w:rsidRPr="00244E70">
        <w:t>. Landskap</w:t>
      </w:r>
      <w:r>
        <w:t xml:space="preserve">sregeringen har under året </w:t>
      </w:r>
      <w:r w:rsidRPr="00244E70">
        <w:t>svarat på flera EU Pilot-</w:t>
      </w:r>
      <w:r>
        <w:t>förfrågningar</w:t>
      </w:r>
      <w:r w:rsidRPr="00244E70">
        <w:t>. Även i d</w:t>
      </w:r>
      <w:r>
        <w:t>e fall brister i genomf</w:t>
      </w:r>
      <w:r>
        <w:t>ö</w:t>
      </w:r>
      <w:r>
        <w:t xml:space="preserve">randet </w:t>
      </w:r>
      <w:r w:rsidRPr="00244E70">
        <w:t xml:space="preserve">av </w:t>
      </w:r>
      <w:r>
        <w:t>direktiv</w:t>
      </w:r>
      <w:r w:rsidRPr="00244E70">
        <w:t xml:space="preserve"> inte har kunnat åtgärdas </w:t>
      </w:r>
      <w:r w:rsidR="0088679A">
        <w:t>under</w:t>
      </w:r>
      <w:r w:rsidRPr="00244E70">
        <w:t xml:space="preserve"> </w:t>
      </w:r>
      <w:r>
        <w:t>EU Pilot-förfarand</w:t>
      </w:r>
      <w:r w:rsidRPr="00244E70">
        <w:t xml:space="preserve">et anser landskapsregeringen att deltagandet i </w:t>
      </w:r>
      <w:r w:rsidRPr="008700F2">
        <w:t>förfarandet har varit givande, då lan</w:t>
      </w:r>
      <w:r w:rsidRPr="008700F2">
        <w:t>d</w:t>
      </w:r>
      <w:r w:rsidRPr="008700F2">
        <w:t xml:space="preserve">skapsregeringen som en följd får en förvarning om </w:t>
      </w:r>
      <w:r w:rsidR="008700F2" w:rsidRPr="008700F2">
        <w:t>vilka lagstiftningsän</w:t>
      </w:r>
      <w:r w:rsidR="008700F2" w:rsidRPr="008700F2">
        <w:t>d</w:t>
      </w:r>
      <w:r w:rsidR="008700F2" w:rsidRPr="008700F2">
        <w:t>ringar som möjligen krävs för att genomföra ett direktiv</w:t>
      </w:r>
      <w:r w:rsidRPr="008700F2">
        <w:t>.</w:t>
      </w:r>
    </w:p>
    <w:p w:rsidR="0056576A" w:rsidRPr="002621D1" w:rsidRDefault="00425A30" w:rsidP="00023C6C">
      <w:pPr>
        <w:ind w:firstLine="284"/>
      </w:pPr>
      <w:r w:rsidRPr="008700F2">
        <w:t>Efter EU Pilot är följande steg i överträdelseförfarandet en formell underrättelse, i vilken kommissionen vidhåller på vilket sätt medlemsstaten anses ha brutit mot EU-rätten. Medlemsstaten har vanligtvis två månader på sig att besvara den formella underrättelsen. Om kommissionen inte är nöjd med det svar medlemsstaten ger på den formella underrättelsen går förf</w:t>
      </w:r>
      <w:r w:rsidRPr="008700F2">
        <w:t>a</w:t>
      </w:r>
      <w:r w:rsidRPr="008700F2">
        <w:t>randet vidare till ett motiverat yttrande,</w:t>
      </w:r>
      <w:r w:rsidRPr="002621D1">
        <w:t xml:space="preserve"> vilket medlemsstaten igen vanlig</w:t>
      </w:r>
      <w:r w:rsidRPr="002621D1">
        <w:t>t</w:t>
      </w:r>
      <w:r w:rsidRPr="002621D1">
        <w:t>vis har två månader på sig att besvara.</w:t>
      </w:r>
    </w:p>
    <w:p w:rsidR="004406DE" w:rsidRPr="00125E09" w:rsidRDefault="004406DE" w:rsidP="00023C6C">
      <w:pPr>
        <w:ind w:firstLine="284"/>
      </w:pPr>
      <w:r w:rsidRPr="002621D1">
        <w:t xml:space="preserve">Om </w:t>
      </w:r>
      <w:r w:rsidR="0056576A" w:rsidRPr="002621D1">
        <w:t xml:space="preserve">kommissionen </w:t>
      </w:r>
      <w:r w:rsidRPr="002621D1">
        <w:t>fortsättningsvis</w:t>
      </w:r>
      <w:r w:rsidR="0056576A" w:rsidRPr="002621D1">
        <w:t xml:space="preserve"> efter medlemsstatens svar på det m</w:t>
      </w:r>
      <w:r w:rsidR="0056576A" w:rsidRPr="002621D1">
        <w:t>o</w:t>
      </w:r>
      <w:r w:rsidR="0056576A" w:rsidRPr="002621D1">
        <w:t>tiverade yttrandet</w:t>
      </w:r>
      <w:r w:rsidRPr="002621D1">
        <w:t xml:space="preserve"> </w:t>
      </w:r>
      <w:r w:rsidR="0056576A" w:rsidRPr="002621D1">
        <w:t xml:space="preserve">är missnöjd med de åtgärder medlemsstaten vidtagit </w:t>
      </w:r>
      <w:r w:rsidRPr="002621D1">
        <w:t xml:space="preserve">kan kommissionen föra ärendet vidare till EU-domstolen. I artikel </w:t>
      </w:r>
      <w:proofErr w:type="gramStart"/>
      <w:r w:rsidRPr="002621D1">
        <w:t>260.3</w:t>
      </w:r>
      <w:proofErr w:type="gramEnd"/>
      <w:r w:rsidRPr="002621D1">
        <w:t xml:space="preserve"> </w:t>
      </w:r>
      <w:r w:rsidR="00125E09" w:rsidRPr="002621D1">
        <w:t>i fö</w:t>
      </w:r>
      <w:r w:rsidR="00125E09" w:rsidRPr="002621D1">
        <w:t>r</w:t>
      </w:r>
      <w:r w:rsidR="00125E09" w:rsidRPr="002621D1">
        <w:t xml:space="preserve">draget om Europeiska unionens funktionssätt </w:t>
      </w:r>
      <w:r w:rsidRPr="002621D1">
        <w:t>anges att i samband med överträdelseärenden som gäller underlåtenhet</w:t>
      </w:r>
      <w:r w:rsidRPr="00125E09">
        <w:t xml:space="preserve"> att införliva direktiv kan domstolen ålägga medlemsstaten ekonomiska sanktioner. Kommissionen kan i förestående fall ange ett standardbelopp eller vite som den anser läm</w:t>
      </w:r>
      <w:r w:rsidR="00125E09" w:rsidRPr="00125E09">
        <w:t xml:space="preserve">pligt. Domstolen kan </w:t>
      </w:r>
      <w:r w:rsidRPr="00125E09">
        <w:t xml:space="preserve">inte ålägga ett högre standardbelopp eller vite än det som kommissionen angett. </w:t>
      </w:r>
      <w:r w:rsidR="00125E09" w:rsidRPr="00125E09">
        <w:t xml:space="preserve">Medlemsstatens skyldighet att betala anges i domen redan då ärendet första gången prövas i domstolen. </w:t>
      </w:r>
      <w:r w:rsidRPr="00125E09">
        <w:t>Det är följaktl</w:t>
      </w:r>
      <w:r w:rsidRPr="00125E09">
        <w:t>i</w:t>
      </w:r>
      <w:r w:rsidRPr="00125E09">
        <w:t>gen viktigt att understryka att landskapet nu kan tilldömas ekonomiska sanktioner i ett tidigare skede än innan Lissabonfördraget ratificerades, vi</w:t>
      </w:r>
      <w:r w:rsidRPr="00125E09">
        <w:t>l</w:t>
      </w:r>
      <w:r w:rsidRPr="00125E09">
        <w:t xml:space="preserve">ket förstärker vikten av att </w:t>
      </w:r>
      <w:r w:rsidR="00795C17">
        <w:t xml:space="preserve">direktiven </w:t>
      </w:r>
      <w:r w:rsidRPr="00125E09">
        <w:t>implementera</w:t>
      </w:r>
      <w:r w:rsidR="00795C17">
        <w:t>s</w:t>
      </w:r>
      <w:r w:rsidRPr="00125E09">
        <w:t xml:space="preserve"> inom utsatt tid.   </w:t>
      </w:r>
    </w:p>
    <w:p w:rsidR="004406DE" w:rsidRPr="004406DE" w:rsidRDefault="004406DE" w:rsidP="00023C6C">
      <w:pPr>
        <w:ind w:firstLine="284"/>
      </w:pPr>
      <w:r w:rsidRPr="00125E09">
        <w:t>I</w:t>
      </w:r>
      <w:r w:rsidRPr="004406DE">
        <w:t xml:space="preserve"> följande tabell framgår hur många formella underrättelser, motiverade yttranden och talan i EU-domstolen som kommissionen påbörjat mot Fi</w:t>
      </w:r>
      <w:r w:rsidRPr="004406DE">
        <w:t>n</w:t>
      </w:r>
      <w:r w:rsidRPr="004406DE">
        <w:t>land under år 2014. I samma tabell framgår även hur många av dessa äre</w:t>
      </w:r>
      <w:r w:rsidRPr="004406DE">
        <w:t>n</w:t>
      </w:r>
      <w:r w:rsidR="00802A9F">
        <w:t xml:space="preserve">den som berörde landskapet. </w:t>
      </w:r>
    </w:p>
    <w:tbl>
      <w:tblPr>
        <w:tblpPr w:leftFromText="141" w:rightFromText="141" w:vertAnchor="text" w:horzAnchor="margin" w:tblpX="68" w:tblpY="130"/>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08"/>
        <w:gridCol w:w="709"/>
        <w:gridCol w:w="709"/>
        <w:gridCol w:w="709"/>
        <w:gridCol w:w="708"/>
        <w:gridCol w:w="709"/>
        <w:gridCol w:w="709"/>
        <w:gridCol w:w="709"/>
      </w:tblGrid>
      <w:tr w:rsidR="004406DE" w:rsidRPr="004406DE" w:rsidTr="00394537">
        <w:trPr>
          <w:cantSplit/>
        </w:trPr>
        <w:tc>
          <w:tcPr>
            <w:tcW w:w="6733" w:type="dxa"/>
            <w:gridSpan w:val="9"/>
            <w:tcBorders>
              <w:top w:val="nil"/>
              <w:left w:val="nil"/>
              <w:bottom w:val="single" w:sz="4" w:space="0" w:color="auto"/>
              <w:right w:val="nil"/>
            </w:tcBorders>
          </w:tcPr>
          <w:p w:rsidR="004406DE" w:rsidRPr="004406DE" w:rsidRDefault="004406DE" w:rsidP="00E07851">
            <w:pPr>
              <w:pStyle w:val="ANormal"/>
              <w:rPr>
                <w:b/>
              </w:rPr>
            </w:pPr>
            <w:r w:rsidRPr="004406DE">
              <w:rPr>
                <w:b/>
              </w:rPr>
              <w:t>Tabell 9. Överträdelseförfaranden påbörjade mot Finland 2014</w:t>
            </w:r>
          </w:p>
        </w:tc>
      </w:tr>
      <w:tr w:rsidR="00394537" w:rsidRPr="004406DE" w:rsidTr="00394537">
        <w:trPr>
          <w:cantSplit/>
        </w:trPr>
        <w:tc>
          <w:tcPr>
            <w:tcW w:w="1063" w:type="dxa"/>
            <w:tcBorders>
              <w:top w:val="single" w:sz="4" w:space="0" w:color="auto"/>
              <w:left w:val="single" w:sz="4" w:space="0" w:color="auto"/>
              <w:bottom w:val="nil"/>
              <w:right w:val="single" w:sz="4" w:space="0" w:color="auto"/>
            </w:tcBorders>
            <w:shd w:val="clear" w:color="auto" w:fill="A6A6A6"/>
          </w:tcPr>
          <w:p w:rsidR="004406DE" w:rsidRPr="004406DE" w:rsidRDefault="004406DE" w:rsidP="00E07851">
            <w:pPr>
              <w:pStyle w:val="ANormal"/>
            </w:pPr>
          </w:p>
        </w:tc>
        <w:tc>
          <w:tcPr>
            <w:tcW w:w="1417" w:type="dxa"/>
            <w:gridSpan w:val="2"/>
            <w:tcBorders>
              <w:top w:val="single" w:sz="4" w:space="0" w:color="auto"/>
              <w:left w:val="single" w:sz="4" w:space="0" w:color="auto"/>
              <w:bottom w:val="nil"/>
              <w:right w:val="single" w:sz="4" w:space="0" w:color="auto"/>
            </w:tcBorders>
            <w:shd w:val="clear" w:color="auto" w:fill="A6A6A6"/>
            <w:vAlign w:val="center"/>
          </w:tcPr>
          <w:p w:rsidR="004406DE" w:rsidRPr="00394537" w:rsidRDefault="004406DE" w:rsidP="00E07851">
            <w:pPr>
              <w:pStyle w:val="ANormal"/>
              <w:rPr>
                <w:b/>
                <w:bCs/>
                <w:sz w:val="20"/>
              </w:rPr>
            </w:pPr>
            <w:r w:rsidRPr="00394537">
              <w:rPr>
                <w:b/>
                <w:bCs/>
                <w:sz w:val="20"/>
              </w:rPr>
              <w:t xml:space="preserve">Formella </w:t>
            </w:r>
          </w:p>
          <w:p w:rsidR="004406DE" w:rsidRPr="00394537" w:rsidRDefault="00394537" w:rsidP="00E07851">
            <w:pPr>
              <w:pStyle w:val="ANormal"/>
              <w:rPr>
                <w:b/>
                <w:bCs/>
                <w:sz w:val="20"/>
              </w:rPr>
            </w:pPr>
            <w:r>
              <w:rPr>
                <w:b/>
                <w:bCs/>
                <w:sz w:val="20"/>
              </w:rPr>
              <w:t>u</w:t>
            </w:r>
            <w:r w:rsidR="004406DE" w:rsidRPr="00394537">
              <w:rPr>
                <w:b/>
                <w:bCs/>
                <w:sz w:val="20"/>
              </w:rPr>
              <w:t>nder</w:t>
            </w:r>
            <w:r>
              <w:rPr>
                <w:b/>
                <w:bCs/>
                <w:sz w:val="20"/>
              </w:rPr>
              <w:t>-</w:t>
            </w:r>
            <w:r w:rsidR="004406DE" w:rsidRPr="00394537">
              <w:rPr>
                <w:b/>
                <w:bCs/>
                <w:sz w:val="20"/>
              </w:rPr>
              <w:t>rättelser</w:t>
            </w:r>
          </w:p>
        </w:tc>
        <w:tc>
          <w:tcPr>
            <w:tcW w:w="1418" w:type="dxa"/>
            <w:gridSpan w:val="2"/>
            <w:tcBorders>
              <w:top w:val="single" w:sz="4" w:space="0" w:color="auto"/>
              <w:left w:val="single" w:sz="4" w:space="0" w:color="auto"/>
              <w:bottom w:val="nil"/>
              <w:right w:val="single" w:sz="4" w:space="0" w:color="auto"/>
            </w:tcBorders>
            <w:shd w:val="clear" w:color="auto" w:fill="A6A6A6"/>
            <w:vAlign w:val="center"/>
          </w:tcPr>
          <w:p w:rsidR="004406DE" w:rsidRPr="00394537" w:rsidRDefault="004406DE" w:rsidP="00E07851">
            <w:pPr>
              <w:pStyle w:val="ANormal"/>
              <w:rPr>
                <w:b/>
                <w:bCs/>
                <w:sz w:val="20"/>
              </w:rPr>
            </w:pPr>
            <w:r w:rsidRPr="00394537">
              <w:rPr>
                <w:b/>
                <w:bCs/>
                <w:sz w:val="20"/>
              </w:rPr>
              <w:t>Motiverade yttranden</w:t>
            </w:r>
          </w:p>
        </w:tc>
        <w:tc>
          <w:tcPr>
            <w:tcW w:w="1417" w:type="dxa"/>
            <w:gridSpan w:val="2"/>
            <w:tcBorders>
              <w:top w:val="single" w:sz="4" w:space="0" w:color="auto"/>
              <w:left w:val="single" w:sz="4" w:space="0" w:color="auto"/>
              <w:bottom w:val="nil"/>
              <w:right w:val="single" w:sz="4" w:space="0" w:color="auto"/>
            </w:tcBorders>
            <w:shd w:val="clear" w:color="auto" w:fill="A6A6A6"/>
            <w:vAlign w:val="center"/>
          </w:tcPr>
          <w:p w:rsidR="004406DE" w:rsidRPr="00394537" w:rsidRDefault="004406DE" w:rsidP="00E07851">
            <w:pPr>
              <w:pStyle w:val="ANormal"/>
              <w:rPr>
                <w:b/>
                <w:bCs/>
                <w:sz w:val="20"/>
              </w:rPr>
            </w:pPr>
            <w:r w:rsidRPr="00394537">
              <w:rPr>
                <w:b/>
                <w:bCs/>
                <w:sz w:val="20"/>
              </w:rPr>
              <w:t>Talan i EU-domstolen</w:t>
            </w:r>
          </w:p>
        </w:tc>
        <w:tc>
          <w:tcPr>
            <w:tcW w:w="1418" w:type="dxa"/>
            <w:gridSpan w:val="2"/>
            <w:tcBorders>
              <w:top w:val="single" w:sz="4" w:space="0" w:color="auto"/>
              <w:left w:val="single" w:sz="4" w:space="0" w:color="auto"/>
              <w:bottom w:val="nil"/>
              <w:right w:val="single" w:sz="4" w:space="0" w:color="auto"/>
            </w:tcBorders>
            <w:shd w:val="clear" w:color="auto" w:fill="A6A6A6"/>
            <w:vAlign w:val="center"/>
          </w:tcPr>
          <w:p w:rsidR="004406DE" w:rsidRPr="00394537" w:rsidRDefault="004406DE" w:rsidP="00E07851">
            <w:pPr>
              <w:pStyle w:val="ANormal"/>
              <w:rPr>
                <w:b/>
                <w:bCs/>
                <w:sz w:val="20"/>
              </w:rPr>
            </w:pPr>
            <w:r w:rsidRPr="00394537">
              <w:rPr>
                <w:b/>
                <w:bCs/>
                <w:sz w:val="20"/>
              </w:rPr>
              <w:t>Totalt</w:t>
            </w:r>
          </w:p>
        </w:tc>
      </w:tr>
      <w:tr w:rsidR="00394537" w:rsidRPr="004406DE" w:rsidTr="000D439D">
        <w:tc>
          <w:tcPr>
            <w:tcW w:w="1063" w:type="dxa"/>
            <w:tcBorders>
              <w:top w:val="nil"/>
              <w:left w:val="single" w:sz="4" w:space="0" w:color="auto"/>
              <w:bottom w:val="single" w:sz="4" w:space="0" w:color="auto"/>
              <w:right w:val="single" w:sz="4" w:space="0" w:color="auto"/>
            </w:tcBorders>
            <w:shd w:val="clear" w:color="auto" w:fill="A6A6A6"/>
          </w:tcPr>
          <w:p w:rsidR="004406DE" w:rsidRPr="004406DE" w:rsidRDefault="004406DE" w:rsidP="00E07851">
            <w:pPr>
              <w:pStyle w:val="ANormal"/>
            </w:pPr>
          </w:p>
        </w:tc>
        <w:tc>
          <w:tcPr>
            <w:tcW w:w="708" w:type="dxa"/>
            <w:tcBorders>
              <w:top w:val="nil"/>
              <w:left w:val="single" w:sz="4" w:space="0" w:color="auto"/>
              <w:bottom w:val="single" w:sz="4" w:space="0" w:color="auto"/>
              <w:right w:val="nil"/>
            </w:tcBorders>
            <w:shd w:val="clear" w:color="auto" w:fill="A6A6A6"/>
          </w:tcPr>
          <w:p w:rsidR="004406DE" w:rsidRPr="00394537" w:rsidRDefault="004406DE" w:rsidP="00E07851">
            <w:pPr>
              <w:pStyle w:val="ANormal"/>
              <w:rPr>
                <w:b/>
                <w:bCs/>
                <w:sz w:val="20"/>
              </w:rPr>
            </w:pPr>
            <w:r w:rsidRPr="00394537">
              <w:rPr>
                <w:b/>
                <w:bCs/>
                <w:sz w:val="20"/>
              </w:rPr>
              <w:t>2014</w:t>
            </w:r>
          </w:p>
        </w:tc>
        <w:tc>
          <w:tcPr>
            <w:tcW w:w="709" w:type="dxa"/>
            <w:tcBorders>
              <w:top w:val="nil"/>
              <w:left w:val="nil"/>
              <w:bottom w:val="single" w:sz="4" w:space="0" w:color="auto"/>
              <w:right w:val="single" w:sz="4" w:space="0" w:color="auto"/>
            </w:tcBorders>
            <w:shd w:val="clear" w:color="auto" w:fill="A6A6A6"/>
          </w:tcPr>
          <w:p w:rsidR="004406DE" w:rsidRPr="00394537" w:rsidRDefault="004406DE" w:rsidP="00E07851">
            <w:pPr>
              <w:pStyle w:val="ANormal"/>
              <w:rPr>
                <w:b/>
                <w:bCs/>
                <w:sz w:val="20"/>
              </w:rPr>
            </w:pPr>
            <w:r w:rsidRPr="00394537">
              <w:rPr>
                <w:b/>
                <w:bCs/>
                <w:sz w:val="20"/>
              </w:rPr>
              <w:t>2013</w:t>
            </w:r>
          </w:p>
        </w:tc>
        <w:tc>
          <w:tcPr>
            <w:tcW w:w="709" w:type="dxa"/>
            <w:tcBorders>
              <w:top w:val="nil"/>
              <w:left w:val="single" w:sz="4" w:space="0" w:color="auto"/>
              <w:bottom w:val="single" w:sz="4" w:space="0" w:color="auto"/>
              <w:right w:val="nil"/>
            </w:tcBorders>
            <w:shd w:val="clear" w:color="auto" w:fill="A6A6A6"/>
          </w:tcPr>
          <w:p w:rsidR="004406DE" w:rsidRPr="00394537" w:rsidRDefault="004406DE" w:rsidP="00E07851">
            <w:pPr>
              <w:pStyle w:val="ANormal"/>
              <w:rPr>
                <w:b/>
                <w:bCs/>
                <w:sz w:val="20"/>
              </w:rPr>
            </w:pPr>
            <w:r w:rsidRPr="00394537">
              <w:rPr>
                <w:b/>
                <w:bCs/>
                <w:sz w:val="20"/>
              </w:rPr>
              <w:t>2014</w:t>
            </w:r>
          </w:p>
        </w:tc>
        <w:tc>
          <w:tcPr>
            <w:tcW w:w="709" w:type="dxa"/>
            <w:tcBorders>
              <w:top w:val="nil"/>
              <w:left w:val="nil"/>
              <w:bottom w:val="single" w:sz="4" w:space="0" w:color="auto"/>
              <w:right w:val="single" w:sz="4" w:space="0" w:color="auto"/>
            </w:tcBorders>
            <w:shd w:val="clear" w:color="auto" w:fill="A6A6A6"/>
          </w:tcPr>
          <w:p w:rsidR="004406DE" w:rsidRPr="00394537" w:rsidRDefault="004406DE" w:rsidP="00E07851">
            <w:pPr>
              <w:pStyle w:val="ANormal"/>
              <w:rPr>
                <w:b/>
                <w:bCs/>
                <w:sz w:val="20"/>
              </w:rPr>
            </w:pPr>
            <w:r w:rsidRPr="00394537">
              <w:rPr>
                <w:b/>
                <w:bCs/>
                <w:sz w:val="20"/>
              </w:rPr>
              <w:t>2013</w:t>
            </w:r>
          </w:p>
        </w:tc>
        <w:tc>
          <w:tcPr>
            <w:tcW w:w="708" w:type="dxa"/>
            <w:tcBorders>
              <w:top w:val="nil"/>
              <w:left w:val="single" w:sz="4" w:space="0" w:color="auto"/>
              <w:bottom w:val="single" w:sz="4" w:space="0" w:color="auto"/>
              <w:right w:val="nil"/>
            </w:tcBorders>
            <w:shd w:val="clear" w:color="auto" w:fill="A6A6A6"/>
          </w:tcPr>
          <w:p w:rsidR="004406DE" w:rsidRPr="00394537" w:rsidRDefault="004406DE" w:rsidP="00E07851">
            <w:pPr>
              <w:pStyle w:val="ANormal"/>
              <w:rPr>
                <w:b/>
                <w:bCs/>
                <w:sz w:val="20"/>
              </w:rPr>
            </w:pPr>
            <w:r w:rsidRPr="00394537">
              <w:rPr>
                <w:b/>
                <w:bCs/>
                <w:sz w:val="20"/>
              </w:rPr>
              <w:t>2014</w:t>
            </w:r>
          </w:p>
        </w:tc>
        <w:tc>
          <w:tcPr>
            <w:tcW w:w="709" w:type="dxa"/>
            <w:tcBorders>
              <w:top w:val="nil"/>
              <w:left w:val="nil"/>
              <w:bottom w:val="single" w:sz="4" w:space="0" w:color="auto"/>
              <w:right w:val="single" w:sz="4" w:space="0" w:color="auto"/>
            </w:tcBorders>
            <w:shd w:val="clear" w:color="auto" w:fill="A6A6A6"/>
          </w:tcPr>
          <w:p w:rsidR="004406DE" w:rsidRPr="00394537" w:rsidRDefault="004406DE" w:rsidP="00E07851">
            <w:pPr>
              <w:pStyle w:val="ANormal"/>
              <w:rPr>
                <w:b/>
                <w:bCs/>
                <w:sz w:val="20"/>
              </w:rPr>
            </w:pPr>
            <w:r w:rsidRPr="00394537">
              <w:rPr>
                <w:b/>
                <w:bCs/>
                <w:sz w:val="20"/>
              </w:rPr>
              <w:t>2013</w:t>
            </w:r>
          </w:p>
        </w:tc>
        <w:tc>
          <w:tcPr>
            <w:tcW w:w="709" w:type="dxa"/>
            <w:tcBorders>
              <w:top w:val="nil"/>
              <w:left w:val="single" w:sz="4" w:space="0" w:color="auto"/>
              <w:bottom w:val="single" w:sz="4" w:space="0" w:color="auto"/>
              <w:right w:val="nil"/>
            </w:tcBorders>
            <w:shd w:val="clear" w:color="auto" w:fill="A6A6A6"/>
          </w:tcPr>
          <w:p w:rsidR="004406DE" w:rsidRPr="00394537" w:rsidRDefault="004406DE" w:rsidP="00E07851">
            <w:pPr>
              <w:pStyle w:val="ANormal"/>
              <w:rPr>
                <w:b/>
                <w:bCs/>
                <w:sz w:val="20"/>
              </w:rPr>
            </w:pPr>
            <w:r w:rsidRPr="00394537">
              <w:rPr>
                <w:b/>
                <w:bCs/>
                <w:sz w:val="20"/>
              </w:rPr>
              <w:t>2014</w:t>
            </w:r>
          </w:p>
        </w:tc>
        <w:tc>
          <w:tcPr>
            <w:tcW w:w="709" w:type="dxa"/>
            <w:tcBorders>
              <w:top w:val="nil"/>
              <w:left w:val="nil"/>
              <w:bottom w:val="single" w:sz="4" w:space="0" w:color="auto"/>
              <w:right w:val="single" w:sz="4" w:space="0" w:color="auto"/>
            </w:tcBorders>
            <w:shd w:val="clear" w:color="auto" w:fill="A6A6A6"/>
          </w:tcPr>
          <w:p w:rsidR="004406DE" w:rsidRPr="00394537" w:rsidRDefault="004406DE" w:rsidP="00E07851">
            <w:pPr>
              <w:pStyle w:val="ANormal"/>
              <w:rPr>
                <w:bCs/>
                <w:sz w:val="20"/>
              </w:rPr>
            </w:pPr>
            <w:r w:rsidRPr="00394537">
              <w:rPr>
                <w:b/>
                <w:bCs/>
                <w:sz w:val="20"/>
              </w:rPr>
              <w:t>2013</w:t>
            </w:r>
          </w:p>
        </w:tc>
      </w:tr>
      <w:tr w:rsidR="00394537" w:rsidRPr="004406DE" w:rsidTr="000D439D">
        <w:tc>
          <w:tcPr>
            <w:tcW w:w="1063" w:type="dxa"/>
            <w:tcBorders>
              <w:top w:val="single" w:sz="4" w:space="0" w:color="auto"/>
            </w:tcBorders>
          </w:tcPr>
          <w:p w:rsidR="000D439D" w:rsidRDefault="004406DE" w:rsidP="00E07851">
            <w:pPr>
              <w:pStyle w:val="ANormal"/>
              <w:rPr>
                <w:sz w:val="20"/>
              </w:rPr>
            </w:pPr>
            <w:r w:rsidRPr="00394537">
              <w:rPr>
                <w:sz w:val="20"/>
              </w:rPr>
              <w:t xml:space="preserve">Berör </w:t>
            </w:r>
          </w:p>
          <w:p w:rsidR="004406DE" w:rsidRPr="00394537" w:rsidRDefault="004406DE" w:rsidP="00E07851">
            <w:pPr>
              <w:pStyle w:val="ANormal"/>
              <w:rPr>
                <w:sz w:val="20"/>
              </w:rPr>
            </w:pPr>
            <w:r w:rsidRPr="00394537">
              <w:rPr>
                <w:sz w:val="20"/>
              </w:rPr>
              <w:t>enbart riket</w:t>
            </w:r>
          </w:p>
        </w:tc>
        <w:tc>
          <w:tcPr>
            <w:tcW w:w="708"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5 st</w:t>
            </w:r>
          </w:p>
        </w:tc>
        <w:tc>
          <w:tcPr>
            <w:tcW w:w="709"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7 st</w:t>
            </w:r>
          </w:p>
        </w:tc>
        <w:tc>
          <w:tcPr>
            <w:tcW w:w="709"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4 st</w:t>
            </w:r>
          </w:p>
        </w:tc>
        <w:tc>
          <w:tcPr>
            <w:tcW w:w="709"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2 st</w:t>
            </w:r>
          </w:p>
        </w:tc>
        <w:tc>
          <w:tcPr>
            <w:tcW w:w="708"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1 st</w:t>
            </w:r>
          </w:p>
        </w:tc>
        <w:tc>
          <w:tcPr>
            <w:tcW w:w="709"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1 st</w:t>
            </w:r>
          </w:p>
        </w:tc>
        <w:tc>
          <w:tcPr>
            <w:tcW w:w="709"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10 st</w:t>
            </w:r>
          </w:p>
        </w:tc>
        <w:tc>
          <w:tcPr>
            <w:tcW w:w="709" w:type="dxa"/>
            <w:tcBorders>
              <w:top w:val="single" w:sz="4" w:space="0" w:color="auto"/>
            </w:tcBorders>
            <w:vAlign w:val="center"/>
          </w:tcPr>
          <w:p w:rsidR="004406DE" w:rsidRPr="00394537" w:rsidRDefault="004406DE" w:rsidP="00E07851">
            <w:pPr>
              <w:pStyle w:val="ANormal"/>
              <w:rPr>
                <w:sz w:val="20"/>
                <w:lang w:val="en-GB"/>
              </w:rPr>
            </w:pPr>
            <w:r w:rsidRPr="00394537">
              <w:rPr>
                <w:sz w:val="20"/>
                <w:lang w:val="en-GB"/>
              </w:rPr>
              <w:t>10 st</w:t>
            </w:r>
          </w:p>
        </w:tc>
      </w:tr>
      <w:tr w:rsidR="00394537" w:rsidRPr="004406DE" w:rsidTr="000D439D">
        <w:tc>
          <w:tcPr>
            <w:tcW w:w="1063" w:type="dxa"/>
          </w:tcPr>
          <w:p w:rsidR="004406DE" w:rsidRPr="00394537" w:rsidRDefault="004406DE" w:rsidP="00E07851">
            <w:pPr>
              <w:pStyle w:val="ANormal"/>
              <w:rPr>
                <w:sz w:val="20"/>
              </w:rPr>
            </w:pPr>
            <w:r w:rsidRPr="00394537">
              <w:rPr>
                <w:sz w:val="20"/>
              </w:rPr>
              <w:t>Berör både landskapet och riket</w:t>
            </w:r>
          </w:p>
        </w:tc>
        <w:tc>
          <w:tcPr>
            <w:tcW w:w="708" w:type="dxa"/>
            <w:vAlign w:val="center"/>
          </w:tcPr>
          <w:p w:rsidR="004406DE" w:rsidRPr="00394537" w:rsidRDefault="004406DE" w:rsidP="00E07851">
            <w:pPr>
              <w:pStyle w:val="ANormal"/>
              <w:rPr>
                <w:sz w:val="20"/>
                <w:lang w:val="sv-FI"/>
              </w:rPr>
            </w:pPr>
            <w:r w:rsidRPr="00394537">
              <w:rPr>
                <w:sz w:val="20"/>
                <w:lang w:val="sv-FI"/>
              </w:rPr>
              <w:t>5 st</w:t>
            </w:r>
          </w:p>
        </w:tc>
        <w:tc>
          <w:tcPr>
            <w:tcW w:w="709" w:type="dxa"/>
            <w:vAlign w:val="center"/>
          </w:tcPr>
          <w:p w:rsidR="004406DE" w:rsidRPr="00394537" w:rsidRDefault="004406DE" w:rsidP="00E07851">
            <w:pPr>
              <w:pStyle w:val="ANormal"/>
              <w:rPr>
                <w:sz w:val="20"/>
                <w:lang w:val="en-GB"/>
              </w:rPr>
            </w:pPr>
            <w:r w:rsidRPr="00394537">
              <w:rPr>
                <w:sz w:val="20"/>
                <w:lang w:val="en-GB"/>
              </w:rPr>
              <w:t>5 st</w:t>
            </w:r>
          </w:p>
        </w:tc>
        <w:tc>
          <w:tcPr>
            <w:tcW w:w="709" w:type="dxa"/>
            <w:vAlign w:val="center"/>
          </w:tcPr>
          <w:p w:rsidR="004406DE" w:rsidRPr="00394537" w:rsidRDefault="004406DE" w:rsidP="00E07851">
            <w:pPr>
              <w:pStyle w:val="ANormal"/>
              <w:rPr>
                <w:sz w:val="20"/>
                <w:lang w:val="en-GB"/>
              </w:rPr>
            </w:pPr>
            <w:r w:rsidRPr="00394537">
              <w:rPr>
                <w:sz w:val="20"/>
                <w:lang w:val="en-GB"/>
              </w:rPr>
              <w:t>4 st</w:t>
            </w:r>
          </w:p>
        </w:tc>
        <w:tc>
          <w:tcPr>
            <w:tcW w:w="709" w:type="dxa"/>
            <w:vAlign w:val="center"/>
          </w:tcPr>
          <w:p w:rsidR="004406DE" w:rsidRPr="00394537" w:rsidRDefault="004406DE" w:rsidP="00E07851">
            <w:pPr>
              <w:pStyle w:val="ANormal"/>
              <w:rPr>
                <w:sz w:val="20"/>
                <w:lang w:val="en-GB"/>
              </w:rPr>
            </w:pPr>
            <w:r w:rsidRPr="00394537">
              <w:rPr>
                <w:sz w:val="20"/>
                <w:lang w:val="en-GB"/>
              </w:rPr>
              <w:t>5 st</w:t>
            </w:r>
          </w:p>
        </w:tc>
        <w:tc>
          <w:tcPr>
            <w:tcW w:w="708" w:type="dxa"/>
            <w:vAlign w:val="center"/>
          </w:tcPr>
          <w:p w:rsidR="004406DE" w:rsidRPr="00394537" w:rsidRDefault="004406DE" w:rsidP="00E07851">
            <w:pPr>
              <w:pStyle w:val="ANormal"/>
              <w:rPr>
                <w:sz w:val="20"/>
                <w:lang w:val="en-GB"/>
              </w:rPr>
            </w:pPr>
            <w:r w:rsidRPr="00394537">
              <w:rPr>
                <w:sz w:val="20"/>
                <w:lang w:val="en-GB"/>
              </w:rPr>
              <w:t>1 st</w:t>
            </w:r>
          </w:p>
        </w:tc>
        <w:tc>
          <w:tcPr>
            <w:tcW w:w="709" w:type="dxa"/>
            <w:vAlign w:val="center"/>
          </w:tcPr>
          <w:p w:rsidR="004406DE" w:rsidRPr="00394537" w:rsidRDefault="004406DE" w:rsidP="00E07851">
            <w:pPr>
              <w:pStyle w:val="ANormal"/>
              <w:rPr>
                <w:sz w:val="20"/>
                <w:lang w:val="en-GB"/>
              </w:rPr>
            </w:pPr>
            <w:r w:rsidRPr="00394537">
              <w:rPr>
                <w:sz w:val="20"/>
                <w:lang w:val="en-GB"/>
              </w:rPr>
              <w:t>3 st</w:t>
            </w:r>
          </w:p>
        </w:tc>
        <w:tc>
          <w:tcPr>
            <w:tcW w:w="709" w:type="dxa"/>
            <w:vAlign w:val="center"/>
          </w:tcPr>
          <w:p w:rsidR="004406DE" w:rsidRPr="00394537" w:rsidRDefault="004406DE" w:rsidP="00E07851">
            <w:pPr>
              <w:pStyle w:val="ANormal"/>
              <w:rPr>
                <w:sz w:val="20"/>
                <w:lang w:val="en-GB"/>
              </w:rPr>
            </w:pPr>
            <w:r w:rsidRPr="00394537">
              <w:rPr>
                <w:sz w:val="20"/>
                <w:lang w:val="en-GB"/>
              </w:rPr>
              <w:t>10 st</w:t>
            </w:r>
          </w:p>
        </w:tc>
        <w:tc>
          <w:tcPr>
            <w:tcW w:w="709" w:type="dxa"/>
            <w:vAlign w:val="center"/>
          </w:tcPr>
          <w:p w:rsidR="004406DE" w:rsidRPr="00394537" w:rsidRDefault="004406DE" w:rsidP="00E07851">
            <w:pPr>
              <w:pStyle w:val="ANormal"/>
              <w:rPr>
                <w:sz w:val="20"/>
                <w:lang w:val="en-GB"/>
              </w:rPr>
            </w:pPr>
            <w:r w:rsidRPr="00394537">
              <w:rPr>
                <w:sz w:val="20"/>
                <w:lang w:val="en-GB"/>
              </w:rPr>
              <w:t>13 st</w:t>
            </w:r>
          </w:p>
        </w:tc>
      </w:tr>
      <w:tr w:rsidR="00394537" w:rsidRPr="004406DE" w:rsidTr="000D439D">
        <w:tc>
          <w:tcPr>
            <w:tcW w:w="1063" w:type="dxa"/>
          </w:tcPr>
          <w:p w:rsidR="000D439D" w:rsidRDefault="004406DE" w:rsidP="00E07851">
            <w:pPr>
              <w:pStyle w:val="ANormal"/>
              <w:rPr>
                <w:sz w:val="20"/>
              </w:rPr>
            </w:pPr>
            <w:r w:rsidRPr="00394537">
              <w:rPr>
                <w:sz w:val="20"/>
              </w:rPr>
              <w:t xml:space="preserve">Berör </w:t>
            </w:r>
          </w:p>
          <w:p w:rsidR="004406DE" w:rsidRPr="00394537" w:rsidRDefault="004406DE" w:rsidP="00E07851">
            <w:pPr>
              <w:pStyle w:val="ANormal"/>
              <w:rPr>
                <w:sz w:val="20"/>
              </w:rPr>
            </w:pPr>
            <w:r w:rsidRPr="00394537">
              <w:rPr>
                <w:sz w:val="20"/>
              </w:rPr>
              <w:t>enbart landskapet</w:t>
            </w:r>
          </w:p>
        </w:tc>
        <w:tc>
          <w:tcPr>
            <w:tcW w:w="708" w:type="dxa"/>
            <w:vAlign w:val="center"/>
          </w:tcPr>
          <w:p w:rsidR="004406DE" w:rsidRPr="00394537" w:rsidRDefault="004406DE" w:rsidP="00E07851">
            <w:pPr>
              <w:pStyle w:val="ANormal"/>
              <w:rPr>
                <w:sz w:val="20"/>
                <w:lang w:val="en-GB"/>
              </w:rPr>
            </w:pPr>
            <w:r w:rsidRPr="00394537">
              <w:rPr>
                <w:sz w:val="20"/>
                <w:lang w:val="en-GB"/>
              </w:rPr>
              <w:t>-</w:t>
            </w:r>
          </w:p>
        </w:tc>
        <w:tc>
          <w:tcPr>
            <w:tcW w:w="709" w:type="dxa"/>
            <w:vAlign w:val="center"/>
          </w:tcPr>
          <w:p w:rsidR="004406DE" w:rsidRPr="00394537" w:rsidRDefault="004406DE" w:rsidP="00E07851">
            <w:pPr>
              <w:pStyle w:val="ANormal"/>
              <w:rPr>
                <w:sz w:val="20"/>
                <w:lang w:val="en-GB"/>
              </w:rPr>
            </w:pPr>
            <w:r w:rsidRPr="00394537">
              <w:rPr>
                <w:sz w:val="20"/>
                <w:lang w:val="en-GB"/>
              </w:rPr>
              <w:t>-</w:t>
            </w:r>
          </w:p>
        </w:tc>
        <w:tc>
          <w:tcPr>
            <w:tcW w:w="709" w:type="dxa"/>
            <w:vAlign w:val="center"/>
          </w:tcPr>
          <w:p w:rsidR="004406DE" w:rsidRPr="00394537" w:rsidRDefault="004406DE" w:rsidP="00E07851">
            <w:pPr>
              <w:pStyle w:val="ANormal"/>
              <w:rPr>
                <w:sz w:val="20"/>
                <w:lang w:val="en-GB"/>
              </w:rPr>
            </w:pPr>
            <w:r w:rsidRPr="00394537">
              <w:rPr>
                <w:sz w:val="20"/>
                <w:lang w:val="en-GB"/>
              </w:rPr>
              <w:t>-</w:t>
            </w:r>
          </w:p>
        </w:tc>
        <w:tc>
          <w:tcPr>
            <w:tcW w:w="709" w:type="dxa"/>
            <w:vAlign w:val="center"/>
          </w:tcPr>
          <w:p w:rsidR="004406DE" w:rsidRPr="00394537" w:rsidRDefault="004406DE" w:rsidP="00E07851">
            <w:pPr>
              <w:pStyle w:val="ANormal"/>
              <w:rPr>
                <w:sz w:val="20"/>
                <w:lang w:val="en-GB"/>
              </w:rPr>
            </w:pPr>
            <w:r w:rsidRPr="00394537">
              <w:rPr>
                <w:sz w:val="20"/>
                <w:lang w:val="en-GB"/>
              </w:rPr>
              <w:t>2 st</w:t>
            </w:r>
          </w:p>
        </w:tc>
        <w:tc>
          <w:tcPr>
            <w:tcW w:w="708" w:type="dxa"/>
            <w:vAlign w:val="center"/>
          </w:tcPr>
          <w:p w:rsidR="004406DE" w:rsidRPr="00394537" w:rsidRDefault="004406DE" w:rsidP="00E07851">
            <w:pPr>
              <w:pStyle w:val="ANormal"/>
              <w:rPr>
                <w:sz w:val="20"/>
                <w:lang w:val="en-GB"/>
              </w:rPr>
            </w:pPr>
            <w:r w:rsidRPr="00394537">
              <w:rPr>
                <w:sz w:val="20"/>
                <w:lang w:val="en-GB"/>
              </w:rPr>
              <w:t>-</w:t>
            </w:r>
          </w:p>
        </w:tc>
        <w:tc>
          <w:tcPr>
            <w:tcW w:w="709" w:type="dxa"/>
            <w:vAlign w:val="center"/>
          </w:tcPr>
          <w:p w:rsidR="004406DE" w:rsidRPr="00394537" w:rsidRDefault="004406DE" w:rsidP="00E07851">
            <w:pPr>
              <w:pStyle w:val="ANormal"/>
              <w:rPr>
                <w:sz w:val="20"/>
                <w:lang w:val="en-GB"/>
              </w:rPr>
            </w:pPr>
            <w:r w:rsidRPr="00394537">
              <w:rPr>
                <w:sz w:val="20"/>
                <w:lang w:val="en-GB"/>
              </w:rPr>
              <w:t>-</w:t>
            </w:r>
          </w:p>
        </w:tc>
        <w:tc>
          <w:tcPr>
            <w:tcW w:w="709" w:type="dxa"/>
            <w:vAlign w:val="center"/>
          </w:tcPr>
          <w:p w:rsidR="004406DE" w:rsidRPr="00394537" w:rsidRDefault="004406DE" w:rsidP="00E07851">
            <w:pPr>
              <w:pStyle w:val="ANormal"/>
              <w:rPr>
                <w:sz w:val="20"/>
                <w:lang w:val="en-GB"/>
              </w:rPr>
            </w:pPr>
            <w:r w:rsidRPr="00394537">
              <w:rPr>
                <w:sz w:val="20"/>
                <w:lang w:val="en-GB"/>
              </w:rPr>
              <w:t>-</w:t>
            </w:r>
          </w:p>
        </w:tc>
        <w:tc>
          <w:tcPr>
            <w:tcW w:w="709" w:type="dxa"/>
            <w:vAlign w:val="center"/>
          </w:tcPr>
          <w:p w:rsidR="004406DE" w:rsidRPr="00394537" w:rsidRDefault="004406DE" w:rsidP="00E07851">
            <w:pPr>
              <w:pStyle w:val="ANormal"/>
              <w:rPr>
                <w:sz w:val="20"/>
                <w:lang w:val="en-GB"/>
              </w:rPr>
            </w:pPr>
            <w:r w:rsidRPr="00394537">
              <w:rPr>
                <w:sz w:val="20"/>
                <w:lang w:val="en-GB"/>
              </w:rPr>
              <w:t>2 st</w:t>
            </w:r>
          </w:p>
        </w:tc>
      </w:tr>
      <w:tr w:rsidR="00394537" w:rsidRPr="004406DE" w:rsidTr="000D439D">
        <w:tc>
          <w:tcPr>
            <w:tcW w:w="1063" w:type="dxa"/>
          </w:tcPr>
          <w:p w:rsidR="004406DE" w:rsidRPr="00394537" w:rsidRDefault="004406DE" w:rsidP="00E07851">
            <w:pPr>
              <w:pStyle w:val="ANormal"/>
              <w:rPr>
                <w:b/>
                <w:bCs/>
                <w:sz w:val="20"/>
                <w:lang w:val="en-GB"/>
              </w:rPr>
            </w:pPr>
            <w:r w:rsidRPr="00394537">
              <w:rPr>
                <w:b/>
                <w:bCs/>
                <w:sz w:val="20"/>
                <w:lang w:val="sv-FI"/>
              </w:rPr>
              <w:t>Totalt</w:t>
            </w:r>
          </w:p>
        </w:tc>
        <w:tc>
          <w:tcPr>
            <w:tcW w:w="708" w:type="dxa"/>
            <w:vAlign w:val="center"/>
          </w:tcPr>
          <w:p w:rsidR="004406DE" w:rsidRPr="00394537" w:rsidRDefault="004406DE" w:rsidP="00E07851">
            <w:pPr>
              <w:pStyle w:val="ANormal"/>
              <w:rPr>
                <w:b/>
                <w:bCs/>
                <w:sz w:val="20"/>
                <w:lang w:val="en-GB"/>
              </w:rPr>
            </w:pPr>
            <w:r w:rsidRPr="00394537">
              <w:rPr>
                <w:b/>
                <w:bCs/>
                <w:sz w:val="20"/>
                <w:lang w:val="en-GB"/>
              </w:rPr>
              <w:t>10 st</w:t>
            </w:r>
          </w:p>
        </w:tc>
        <w:tc>
          <w:tcPr>
            <w:tcW w:w="709" w:type="dxa"/>
            <w:vAlign w:val="center"/>
          </w:tcPr>
          <w:p w:rsidR="004406DE" w:rsidRPr="00394537" w:rsidRDefault="004406DE" w:rsidP="00E07851">
            <w:pPr>
              <w:pStyle w:val="ANormal"/>
              <w:rPr>
                <w:b/>
                <w:bCs/>
                <w:sz w:val="20"/>
                <w:lang w:val="en-GB"/>
              </w:rPr>
            </w:pPr>
            <w:r w:rsidRPr="00394537">
              <w:rPr>
                <w:b/>
                <w:bCs/>
                <w:sz w:val="20"/>
                <w:lang w:val="en-GB"/>
              </w:rPr>
              <w:t>12 st</w:t>
            </w:r>
          </w:p>
        </w:tc>
        <w:tc>
          <w:tcPr>
            <w:tcW w:w="709" w:type="dxa"/>
            <w:vAlign w:val="center"/>
          </w:tcPr>
          <w:p w:rsidR="004406DE" w:rsidRPr="00394537" w:rsidRDefault="004406DE" w:rsidP="00E07851">
            <w:pPr>
              <w:pStyle w:val="ANormal"/>
              <w:rPr>
                <w:b/>
                <w:bCs/>
                <w:sz w:val="20"/>
                <w:lang w:val="en-GB"/>
              </w:rPr>
            </w:pPr>
            <w:r w:rsidRPr="00394537">
              <w:rPr>
                <w:b/>
                <w:bCs/>
                <w:sz w:val="20"/>
                <w:lang w:val="en-GB"/>
              </w:rPr>
              <w:t>8 st</w:t>
            </w:r>
          </w:p>
        </w:tc>
        <w:tc>
          <w:tcPr>
            <w:tcW w:w="709" w:type="dxa"/>
            <w:vAlign w:val="center"/>
          </w:tcPr>
          <w:p w:rsidR="004406DE" w:rsidRPr="00394537" w:rsidRDefault="004406DE" w:rsidP="00E07851">
            <w:pPr>
              <w:pStyle w:val="ANormal"/>
              <w:rPr>
                <w:b/>
                <w:bCs/>
                <w:sz w:val="20"/>
                <w:lang w:val="en-GB"/>
              </w:rPr>
            </w:pPr>
            <w:r w:rsidRPr="00394537">
              <w:rPr>
                <w:b/>
                <w:bCs/>
                <w:sz w:val="20"/>
                <w:lang w:val="en-GB"/>
              </w:rPr>
              <w:t>9 st</w:t>
            </w:r>
          </w:p>
        </w:tc>
        <w:tc>
          <w:tcPr>
            <w:tcW w:w="708" w:type="dxa"/>
            <w:vAlign w:val="center"/>
          </w:tcPr>
          <w:p w:rsidR="004406DE" w:rsidRPr="00394537" w:rsidRDefault="004406DE" w:rsidP="00E07851">
            <w:pPr>
              <w:pStyle w:val="ANormal"/>
              <w:rPr>
                <w:b/>
                <w:bCs/>
                <w:sz w:val="20"/>
                <w:lang w:val="en-GB"/>
              </w:rPr>
            </w:pPr>
            <w:r w:rsidRPr="00394537">
              <w:rPr>
                <w:b/>
                <w:bCs/>
                <w:sz w:val="20"/>
                <w:lang w:val="en-GB"/>
              </w:rPr>
              <w:t>2 st</w:t>
            </w:r>
          </w:p>
        </w:tc>
        <w:tc>
          <w:tcPr>
            <w:tcW w:w="709" w:type="dxa"/>
            <w:vAlign w:val="center"/>
          </w:tcPr>
          <w:p w:rsidR="004406DE" w:rsidRPr="00394537" w:rsidRDefault="004406DE" w:rsidP="00E07851">
            <w:pPr>
              <w:pStyle w:val="ANormal"/>
              <w:rPr>
                <w:b/>
                <w:bCs/>
                <w:sz w:val="20"/>
                <w:lang w:val="en-GB"/>
              </w:rPr>
            </w:pPr>
            <w:r w:rsidRPr="00394537">
              <w:rPr>
                <w:b/>
                <w:bCs/>
                <w:sz w:val="20"/>
                <w:lang w:val="en-GB"/>
              </w:rPr>
              <w:t>4 st</w:t>
            </w:r>
          </w:p>
        </w:tc>
        <w:tc>
          <w:tcPr>
            <w:tcW w:w="709" w:type="dxa"/>
            <w:vAlign w:val="center"/>
          </w:tcPr>
          <w:p w:rsidR="004406DE" w:rsidRPr="00394537" w:rsidRDefault="004406DE" w:rsidP="00E07851">
            <w:pPr>
              <w:pStyle w:val="ANormal"/>
              <w:rPr>
                <w:b/>
                <w:bCs/>
                <w:sz w:val="20"/>
                <w:lang w:val="en-GB"/>
              </w:rPr>
            </w:pPr>
            <w:r w:rsidRPr="00394537">
              <w:rPr>
                <w:b/>
                <w:bCs/>
                <w:sz w:val="20"/>
                <w:lang w:val="en-GB"/>
              </w:rPr>
              <w:t>20 st</w:t>
            </w:r>
          </w:p>
        </w:tc>
        <w:tc>
          <w:tcPr>
            <w:tcW w:w="709" w:type="dxa"/>
            <w:vAlign w:val="center"/>
          </w:tcPr>
          <w:p w:rsidR="004406DE" w:rsidRPr="00394537" w:rsidRDefault="004406DE" w:rsidP="00E07851">
            <w:pPr>
              <w:pStyle w:val="ANormal"/>
              <w:rPr>
                <w:b/>
                <w:bCs/>
                <w:sz w:val="20"/>
                <w:lang w:val="en-GB"/>
              </w:rPr>
            </w:pPr>
            <w:r w:rsidRPr="00394537">
              <w:rPr>
                <w:b/>
                <w:bCs/>
                <w:sz w:val="20"/>
                <w:lang w:val="en-GB"/>
              </w:rPr>
              <w:t>25 st</w:t>
            </w:r>
          </w:p>
        </w:tc>
      </w:tr>
    </w:tbl>
    <w:p w:rsidR="004406DE" w:rsidRPr="004406DE" w:rsidRDefault="004406DE" w:rsidP="004406DE">
      <w:pPr>
        <w:pStyle w:val="ANormal"/>
      </w:pPr>
    </w:p>
    <w:p w:rsidR="004406DE" w:rsidRPr="004406DE" w:rsidRDefault="004406DE" w:rsidP="005242BE">
      <w:r w:rsidRPr="004406DE">
        <w:t>Antalet överträdelser ger inte en helt korrekt bild av hur många enskilda d</w:t>
      </w:r>
      <w:r w:rsidRPr="004406DE">
        <w:t>i</w:t>
      </w:r>
      <w:r w:rsidRPr="004406DE">
        <w:t>rektiv som de facto är föremål för ett överträdelseförfarande. I de fall ett överträdelseförfarande inleds på grund av försenad implementering kan de formella underrättelserna innehålla ett stort antal direktiv som inte har g</w:t>
      </w:r>
      <w:r w:rsidRPr="004406DE">
        <w:t>e</w:t>
      </w:r>
      <w:r w:rsidRPr="004406DE">
        <w:t>nomförts inom utsatt tid. De fem formella underrättelserna från år 2014 som berör både landskapet och riket gällde totalt 18 direktiv, varav sju av de direktiv som föll inom landskapets lagstiftningsbehörighet inte hade g</w:t>
      </w:r>
      <w:r w:rsidRPr="004406DE">
        <w:t>e</w:t>
      </w:r>
      <w:r w:rsidRPr="004406DE">
        <w:t xml:space="preserve">nomförts i landskapet inom den i direktivet utsatta tiden. Jämförelsevis kan </w:t>
      </w:r>
      <w:r w:rsidRPr="004406DE">
        <w:lastRenderedPageBreak/>
        <w:t>nämnas att under den föregående peri</w:t>
      </w:r>
      <w:r w:rsidR="00C46810">
        <w:t xml:space="preserve">oden </w:t>
      </w:r>
      <w:proofErr w:type="gramStart"/>
      <w:r w:rsidR="00C46810">
        <w:t>1.12.2012-</w:t>
      </w:r>
      <w:r w:rsidRPr="004406DE">
        <w:t>31.11.2013</w:t>
      </w:r>
      <w:proofErr w:type="gramEnd"/>
      <w:r w:rsidRPr="004406DE">
        <w:t xml:space="preserve"> innehöll de fem formella underrättelserna totalt 17 direktiv, varav tio direktiv inte hade genomförts i landskapet inom den i direktivet utsatta tiden.</w:t>
      </w:r>
    </w:p>
    <w:p w:rsidR="004406DE" w:rsidRPr="004406DE" w:rsidRDefault="004406DE" w:rsidP="00023C6C">
      <w:pPr>
        <w:ind w:firstLine="284"/>
      </w:pPr>
      <w:r w:rsidRPr="004406DE">
        <w:t>Majoriteten av de överträdelseförfaranden som berörde landskapet u</w:t>
      </w:r>
      <w:r w:rsidRPr="004406DE">
        <w:t>n</w:t>
      </w:r>
      <w:r w:rsidRPr="004406DE">
        <w:t>der år 2014 påbörjades på grund av att landskapsregeringen inte i tid i</w:t>
      </w:r>
      <w:r w:rsidRPr="004406DE">
        <w:t>m</w:t>
      </w:r>
      <w:r w:rsidR="00A86E67">
        <w:t xml:space="preserve">plementerat </w:t>
      </w:r>
      <w:r w:rsidRPr="004406DE">
        <w:t xml:space="preserve">och således inte </w:t>
      </w:r>
      <w:proofErr w:type="gramStart"/>
      <w:r w:rsidRPr="004406DE">
        <w:t>notifierat</w:t>
      </w:r>
      <w:proofErr w:type="gramEnd"/>
      <w:r w:rsidRPr="004406DE">
        <w:t xml:space="preserve"> direktiven, det vill säga inte medd</w:t>
      </w:r>
      <w:r w:rsidRPr="004406DE">
        <w:t>e</w:t>
      </w:r>
      <w:r w:rsidRPr="004406DE">
        <w:t xml:space="preserve">lat kommissionen hur direktivet genomförts i landskapet. Orsaken till att landskapsregeringen inte </w:t>
      </w:r>
      <w:proofErr w:type="gramStart"/>
      <w:r w:rsidRPr="004406DE">
        <w:t>notifierat</w:t>
      </w:r>
      <w:proofErr w:type="gramEnd"/>
      <w:r w:rsidRPr="004406DE">
        <w:t xml:space="preserve"> i tid kan variera; exempelvis tillämpas </w:t>
      </w:r>
      <w:r w:rsidRPr="00A86E67">
        <w:t>blankettlagstiftning på vissa sakområden</w:t>
      </w:r>
      <w:r w:rsidR="009B4089" w:rsidRPr="00A86E67">
        <w:t xml:space="preserve"> såsom kemikalier och livsmedel</w:t>
      </w:r>
      <w:r w:rsidRPr="00A86E67">
        <w:t xml:space="preserve">, vilket innebär att </w:t>
      </w:r>
      <w:r w:rsidR="00A86E67" w:rsidRPr="00A86E67">
        <w:t>rikets bestämmelser görs gällande i landskapet genom blankettlagar eller -förordningar. L</w:t>
      </w:r>
      <w:r w:rsidRPr="00A86E67">
        <w:t>and</w:t>
      </w:r>
      <w:r w:rsidR="00A86E67" w:rsidRPr="00A86E67">
        <w:t xml:space="preserve">skapsregeringen </w:t>
      </w:r>
      <w:r w:rsidRPr="00A86E67">
        <w:t>invänta</w:t>
      </w:r>
      <w:r w:rsidR="00A86E67" w:rsidRPr="00A86E67">
        <w:t>r således</w:t>
      </w:r>
      <w:r w:rsidRPr="00A86E67">
        <w:t xml:space="preserve"> r</w:t>
      </w:r>
      <w:r w:rsidRPr="00A86E67">
        <w:t>i</w:t>
      </w:r>
      <w:r w:rsidRPr="00A86E67">
        <w:t>kets implementering av direktivet innan landskapslagstiftningen utformas slutligt</w:t>
      </w:r>
      <w:r w:rsidR="00A86E67">
        <w:t>.</w:t>
      </w:r>
      <w:r w:rsidRPr="004406DE">
        <w:t xml:space="preserve"> </w:t>
      </w:r>
    </w:p>
    <w:p w:rsidR="004406DE" w:rsidRPr="004406DE" w:rsidRDefault="004406DE" w:rsidP="00023C6C">
      <w:pPr>
        <w:ind w:firstLine="284"/>
      </w:pPr>
      <w:r w:rsidRPr="004406DE">
        <w:t xml:space="preserve">En annan orsak till försenad </w:t>
      </w:r>
      <w:proofErr w:type="gramStart"/>
      <w:r w:rsidRPr="004406DE">
        <w:t>notifiering</w:t>
      </w:r>
      <w:proofErr w:type="gramEnd"/>
      <w:r w:rsidRPr="004406DE">
        <w:t xml:space="preserve"> är att vissa områden inom lan</w:t>
      </w:r>
      <w:r w:rsidRPr="004406DE">
        <w:t>d</w:t>
      </w:r>
      <w:r w:rsidRPr="004406DE">
        <w:t xml:space="preserve">skapets lagstiftningsbehörighet är föremål för ett större antal EU-direktiv, </w:t>
      </w:r>
      <w:r w:rsidR="00A86E67">
        <w:t>och belastas således mer</w:t>
      </w:r>
      <w:r w:rsidRPr="004406DE">
        <w:t xml:space="preserve"> av genomförandet av dem. </w:t>
      </w:r>
    </w:p>
    <w:p w:rsidR="004406DE" w:rsidRPr="004406DE" w:rsidRDefault="004406DE" w:rsidP="00023C6C">
      <w:pPr>
        <w:ind w:firstLine="284"/>
      </w:pPr>
      <w:r w:rsidRPr="004406DE">
        <w:t>I slutet av år 2014 var implementeringen av nio direktiv och en föror</w:t>
      </w:r>
      <w:r w:rsidRPr="004406DE">
        <w:t>d</w:t>
      </w:r>
      <w:r w:rsidRPr="004406DE">
        <w:t>ning i landskapet fortfarande föremål för ett oavslutat överträdelseförf</w:t>
      </w:r>
      <w:r w:rsidRPr="004406DE">
        <w:t>a</w:t>
      </w:r>
      <w:r w:rsidRPr="004406DE">
        <w:t>rande. Detta kan jämföras med tolv direktiv den 30 november 2013. Den förordning och de nio direktiv som fortfarande var föremål för ett oavslutat överträdelseförfarande vid utgången av år 2014 fördelades på landskapsr</w:t>
      </w:r>
      <w:r w:rsidRPr="004406DE">
        <w:t>e</w:t>
      </w:r>
      <w:r w:rsidRPr="004406DE">
        <w:t>geringens enheter enligt tabellen nedan.</w:t>
      </w:r>
    </w:p>
    <w:p w:rsidR="004406DE" w:rsidRPr="004406DE" w:rsidRDefault="004406DE" w:rsidP="005242BE"/>
    <w:tbl>
      <w:tblPr>
        <w:tblW w:w="66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275"/>
        <w:gridCol w:w="993"/>
      </w:tblGrid>
      <w:tr w:rsidR="004406DE" w:rsidRPr="004406DE" w:rsidTr="00E07851">
        <w:trPr>
          <w:cantSplit/>
        </w:trPr>
        <w:tc>
          <w:tcPr>
            <w:tcW w:w="6663" w:type="dxa"/>
            <w:gridSpan w:val="3"/>
            <w:tcBorders>
              <w:top w:val="nil"/>
              <w:left w:val="nil"/>
              <w:bottom w:val="single" w:sz="4" w:space="0" w:color="auto"/>
              <w:right w:val="nil"/>
            </w:tcBorders>
          </w:tcPr>
          <w:p w:rsidR="004406DE" w:rsidRPr="004406DE" w:rsidRDefault="004406DE" w:rsidP="004406DE">
            <w:pPr>
              <w:pStyle w:val="ANormal"/>
              <w:rPr>
                <w:b/>
              </w:rPr>
            </w:pPr>
            <w:r w:rsidRPr="004406DE">
              <w:rPr>
                <w:b/>
              </w:rPr>
              <w:t>Tabell 10. Oavslutade överträdelseförfaranden gällande Åland den 31 december 2014</w:t>
            </w:r>
          </w:p>
        </w:tc>
      </w:tr>
      <w:tr w:rsidR="004406DE" w:rsidRPr="004406DE" w:rsidTr="00E07851">
        <w:tc>
          <w:tcPr>
            <w:tcW w:w="4395" w:type="dxa"/>
            <w:shd w:val="clear" w:color="auto" w:fill="A6A6A6"/>
          </w:tcPr>
          <w:p w:rsidR="004406DE" w:rsidRPr="004406DE" w:rsidRDefault="004406DE" w:rsidP="004406DE">
            <w:pPr>
              <w:pStyle w:val="ANormal"/>
              <w:rPr>
                <w:b/>
                <w:bCs/>
              </w:rPr>
            </w:pPr>
            <w:r w:rsidRPr="004406DE">
              <w:rPr>
                <w:b/>
                <w:bCs/>
              </w:rPr>
              <w:t>Enhet</w:t>
            </w:r>
          </w:p>
        </w:tc>
        <w:tc>
          <w:tcPr>
            <w:tcW w:w="1275" w:type="dxa"/>
            <w:shd w:val="clear" w:color="auto" w:fill="A6A6A6"/>
            <w:vAlign w:val="bottom"/>
          </w:tcPr>
          <w:p w:rsidR="004406DE" w:rsidRPr="004406DE" w:rsidRDefault="004406DE" w:rsidP="004406DE">
            <w:pPr>
              <w:pStyle w:val="ANormal"/>
              <w:rPr>
                <w:b/>
                <w:bCs/>
              </w:rPr>
            </w:pPr>
            <w:r w:rsidRPr="004406DE">
              <w:rPr>
                <w:b/>
                <w:bCs/>
              </w:rPr>
              <w:t>2014</w:t>
            </w:r>
          </w:p>
        </w:tc>
        <w:tc>
          <w:tcPr>
            <w:tcW w:w="993" w:type="dxa"/>
            <w:shd w:val="clear" w:color="auto" w:fill="A6A6A6"/>
            <w:vAlign w:val="bottom"/>
          </w:tcPr>
          <w:p w:rsidR="004406DE" w:rsidRPr="004406DE" w:rsidRDefault="004406DE" w:rsidP="004406DE">
            <w:pPr>
              <w:pStyle w:val="ANormal"/>
              <w:rPr>
                <w:b/>
                <w:bCs/>
              </w:rPr>
            </w:pPr>
            <w:r w:rsidRPr="004406DE">
              <w:rPr>
                <w:b/>
                <w:bCs/>
              </w:rPr>
              <w:t>2013</w:t>
            </w:r>
          </w:p>
        </w:tc>
      </w:tr>
      <w:tr w:rsidR="004406DE" w:rsidRPr="004406DE" w:rsidTr="00E07851">
        <w:tc>
          <w:tcPr>
            <w:tcW w:w="4395" w:type="dxa"/>
          </w:tcPr>
          <w:p w:rsidR="004406DE" w:rsidRPr="004406DE" w:rsidRDefault="004406DE" w:rsidP="004406DE">
            <w:pPr>
              <w:pStyle w:val="ANormal"/>
              <w:rPr>
                <w:lang w:val="sv-FI"/>
              </w:rPr>
            </w:pPr>
            <w:r w:rsidRPr="004406DE">
              <w:rPr>
                <w:b/>
                <w:bCs/>
              </w:rPr>
              <w:t>Kansliavdelningen</w:t>
            </w:r>
          </w:p>
        </w:tc>
        <w:tc>
          <w:tcPr>
            <w:tcW w:w="1275" w:type="dxa"/>
          </w:tcPr>
          <w:p w:rsidR="004406DE" w:rsidRPr="004406DE" w:rsidRDefault="004406DE" w:rsidP="004406DE">
            <w:pPr>
              <w:pStyle w:val="ANormal"/>
              <w:rPr>
                <w:lang w:val="sv-FI"/>
              </w:rPr>
            </w:pPr>
          </w:p>
        </w:tc>
        <w:tc>
          <w:tcPr>
            <w:tcW w:w="993" w:type="dxa"/>
          </w:tcPr>
          <w:p w:rsidR="004406DE" w:rsidRPr="004406DE" w:rsidRDefault="004406DE" w:rsidP="004406DE">
            <w:pPr>
              <w:pStyle w:val="ANormal"/>
              <w:rPr>
                <w:lang w:val="sv-FI"/>
              </w:rPr>
            </w:pPr>
          </w:p>
        </w:tc>
      </w:tr>
      <w:tr w:rsidR="004406DE" w:rsidRPr="004406DE" w:rsidTr="00E07851">
        <w:tc>
          <w:tcPr>
            <w:tcW w:w="4395" w:type="dxa"/>
          </w:tcPr>
          <w:p w:rsidR="004406DE" w:rsidRPr="004406DE" w:rsidRDefault="004406DE" w:rsidP="004406DE">
            <w:pPr>
              <w:pStyle w:val="ANormal"/>
            </w:pPr>
            <w:r w:rsidRPr="004406DE">
              <w:t>El- och energienheten (K2c)</w:t>
            </w:r>
          </w:p>
        </w:tc>
        <w:tc>
          <w:tcPr>
            <w:tcW w:w="1275" w:type="dxa"/>
          </w:tcPr>
          <w:p w:rsidR="004406DE" w:rsidRPr="004406DE" w:rsidRDefault="004406DE" w:rsidP="004406DE">
            <w:pPr>
              <w:pStyle w:val="ANormal"/>
              <w:rPr>
                <w:lang w:val="sv-FI"/>
              </w:rPr>
            </w:pPr>
            <w:r w:rsidRPr="004406DE">
              <w:rPr>
                <w:lang w:val="sv-FI"/>
              </w:rPr>
              <w:t>2 st</w:t>
            </w:r>
          </w:p>
        </w:tc>
        <w:tc>
          <w:tcPr>
            <w:tcW w:w="993" w:type="dxa"/>
          </w:tcPr>
          <w:p w:rsidR="004406DE" w:rsidRPr="004406DE" w:rsidRDefault="004406DE" w:rsidP="004406DE">
            <w:pPr>
              <w:pStyle w:val="ANormal"/>
              <w:rPr>
                <w:lang w:val="sv-FI"/>
              </w:rPr>
            </w:pPr>
            <w:r w:rsidRPr="004406DE">
              <w:rPr>
                <w:lang w:val="sv-FI"/>
              </w:rPr>
              <w:t>1 st</w:t>
            </w:r>
          </w:p>
        </w:tc>
      </w:tr>
      <w:tr w:rsidR="004406DE" w:rsidRPr="004406DE" w:rsidTr="00E07851">
        <w:tc>
          <w:tcPr>
            <w:tcW w:w="4395" w:type="dxa"/>
          </w:tcPr>
          <w:p w:rsidR="004406DE" w:rsidRPr="004406DE" w:rsidRDefault="004406DE" w:rsidP="004406DE">
            <w:pPr>
              <w:pStyle w:val="ANormal"/>
              <w:rPr>
                <w:b/>
                <w:bCs/>
              </w:rPr>
            </w:pPr>
            <w:r w:rsidRPr="004406DE">
              <w:rPr>
                <w:b/>
                <w:bCs/>
              </w:rPr>
              <w:t xml:space="preserve">Näringsavdelningen </w:t>
            </w:r>
          </w:p>
        </w:tc>
        <w:tc>
          <w:tcPr>
            <w:tcW w:w="1275" w:type="dxa"/>
          </w:tcPr>
          <w:p w:rsidR="004406DE" w:rsidRPr="004406DE" w:rsidRDefault="004406DE" w:rsidP="004406DE">
            <w:pPr>
              <w:pStyle w:val="ANormal"/>
              <w:rPr>
                <w:lang w:val="sv-FI"/>
              </w:rPr>
            </w:pPr>
          </w:p>
        </w:tc>
        <w:tc>
          <w:tcPr>
            <w:tcW w:w="993" w:type="dxa"/>
          </w:tcPr>
          <w:p w:rsidR="004406DE" w:rsidRPr="004406DE" w:rsidRDefault="004406DE" w:rsidP="004406DE">
            <w:pPr>
              <w:pStyle w:val="ANormal"/>
              <w:rPr>
                <w:lang w:val="sv-FI"/>
              </w:rPr>
            </w:pPr>
          </w:p>
        </w:tc>
      </w:tr>
      <w:tr w:rsidR="004406DE" w:rsidRPr="004406DE" w:rsidTr="00E07851">
        <w:tc>
          <w:tcPr>
            <w:tcW w:w="4395" w:type="dxa"/>
          </w:tcPr>
          <w:p w:rsidR="004406DE" w:rsidRPr="004406DE" w:rsidRDefault="004406DE" w:rsidP="004406DE">
            <w:pPr>
              <w:pStyle w:val="ANormal"/>
              <w:rPr>
                <w:bCs/>
              </w:rPr>
            </w:pPr>
            <w:r w:rsidRPr="004406DE">
              <w:rPr>
                <w:bCs/>
              </w:rPr>
              <w:t>Allmänna byrån (N1)</w:t>
            </w:r>
          </w:p>
        </w:tc>
        <w:tc>
          <w:tcPr>
            <w:tcW w:w="1275" w:type="dxa"/>
          </w:tcPr>
          <w:p w:rsidR="004406DE" w:rsidRPr="004406DE" w:rsidRDefault="00125E09" w:rsidP="004406DE">
            <w:pPr>
              <w:pStyle w:val="ANormal"/>
              <w:rPr>
                <w:lang w:val="sv-FI"/>
              </w:rPr>
            </w:pPr>
            <w:r>
              <w:rPr>
                <w:lang w:val="sv-FI"/>
              </w:rPr>
              <w:t>1 st</w:t>
            </w:r>
          </w:p>
        </w:tc>
        <w:tc>
          <w:tcPr>
            <w:tcW w:w="993" w:type="dxa"/>
          </w:tcPr>
          <w:p w:rsidR="004406DE" w:rsidRPr="004406DE" w:rsidRDefault="004406DE" w:rsidP="004406DE">
            <w:pPr>
              <w:pStyle w:val="ANormal"/>
              <w:rPr>
                <w:lang w:val="sv-FI"/>
              </w:rPr>
            </w:pPr>
            <w:r w:rsidRPr="004406DE">
              <w:rPr>
                <w:lang w:val="sv-FI"/>
              </w:rPr>
              <w:t>1 st</w:t>
            </w:r>
          </w:p>
        </w:tc>
      </w:tr>
      <w:tr w:rsidR="004406DE" w:rsidRPr="004406DE" w:rsidTr="00E07851">
        <w:tc>
          <w:tcPr>
            <w:tcW w:w="4395" w:type="dxa"/>
          </w:tcPr>
          <w:p w:rsidR="004406DE" w:rsidRPr="004406DE" w:rsidRDefault="004406DE" w:rsidP="004406DE">
            <w:pPr>
              <w:pStyle w:val="ANormal"/>
              <w:rPr>
                <w:lang w:val="sv-FI"/>
              </w:rPr>
            </w:pPr>
            <w:r w:rsidRPr="004406DE">
              <w:rPr>
                <w:b/>
                <w:bCs/>
              </w:rPr>
              <w:t>Social- och miljöavdelningen</w:t>
            </w:r>
            <w:r w:rsidRPr="004406DE">
              <w:rPr>
                <w:b/>
                <w:bCs/>
              </w:rPr>
              <w:tab/>
            </w:r>
          </w:p>
        </w:tc>
        <w:tc>
          <w:tcPr>
            <w:tcW w:w="1275" w:type="dxa"/>
          </w:tcPr>
          <w:p w:rsidR="004406DE" w:rsidRPr="004406DE" w:rsidRDefault="004406DE" w:rsidP="004406DE">
            <w:pPr>
              <w:pStyle w:val="ANormal"/>
              <w:rPr>
                <w:lang w:val="sv-FI"/>
              </w:rPr>
            </w:pPr>
          </w:p>
        </w:tc>
        <w:tc>
          <w:tcPr>
            <w:tcW w:w="993" w:type="dxa"/>
          </w:tcPr>
          <w:p w:rsidR="004406DE" w:rsidRPr="004406DE" w:rsidRDefault="004406DE" w:rsidP="004406DE">
            <w:pPr>
              <w:pStyle w:val="ANormal"/>
              <w:rPr>
                <w:lang w:val="sv-FI"/>
              </w:rPr>
            </w:pPr>
          </w:p>
        </w:tc>
      </w:tr>
      <w:tr w:rsidR="004406DE" w:rsidRPr="004406DE" w:rsidTr="00E07851">
        <w:tc>
          <w:tcPr>
            <w:tcW w:w="4395" w:type="dxa"/>
          </w:tcPr>
          <w:p w:rsidR="004406DE" w:rsidRPr="004406DE" w:rsidRDefault="004406DE" w:rsidP="004406DE">
            <w:pPr>
              <w:pStyle w:val="ANormal"/>
              <w:rPr>
                <w:lang w:val="sv-FI"/>
              </w:rPr>
            </w:pPr>
            <w:r w:rsidRPr="004406DE">
              <w:rPr>
                <w:lang w:val="sv-FI"/>
              </w:rPr>
              <w:t>Miljöbyrån (S3)</w:t>
            </w:r>
          </w:p>
        </w:tc>
        <w:tc>
          <w:tcPr>
            <w:tcW w:w="1275" w:type="dxa"/>
          </w:tcPr>
          <w:p w:rsidR="004406DE" w:rsidRPr="004406DE" w:rsidRDefault="004406DE" w:rsidP="004406DE">
            <w:pPr>
              <w:pStyle w:val="ANormal"/>
              <w:rPr>
                <w:lang w:val="en-GB"/>
              </w:rPr>
            </w:pPr>
            <w:r w:rsidRPr="004406DE">
              <w:rPr>
                <w:lang w:val="en-GB"/>
              </w:rPr>
              <w:t>6 st</w:t>
            </w:r>
          </w:p>
        </w:tc>
        <w:tc>
          <w:tcPr>
            <w:tcW w:w="993" w:type="dxa"/>
          </w:tcPr>
          <w:p w:rsidR="004406DE" w:rsidRPr="004406DE" w:rsidRDefault="004406DE" w:rsidP="004406DE">
            <w:pPr>
              <w:pStyle w:val="ANormal"/>
              <w:rPr>
                <w:lang w:val="en-GB"/>
              </w:rPr>
            </w:pPr>
            <w:r w:rsidRPr="004406DE">
              <w:rPr>
                <w:lang w:val="en-GB"/>
              </w:rPr>
              <w:t>7 st</w:t>
            </w:r>
          </w:p>
        </w:tc>
      </w:tr>
      <w:tr w:rsidR="004406DE" w:rsidRPr="004406DE" w:rsidTr="00E07851">
        <w:tc>
          <w:tcPr>
            <w:tcW w:w="4395" w:type="dxa"/>
          </w:tcPr>
          <w:p w:rsidR="004406DE" w:rsidRPr="004406DE" w:rsidRDefault="004406DE" w:rsidP="004406DE">
            <w:pPr>
              <w:pStyle w:val="ANormal"/>
              <w:rPr>
                <w:lang w:val="sv-FI"/>
              </w:rPr>
            </w:pPr>
            <w:r w:rsidRPr="004406DE">
              <w:rPr>
                <w:b/>
                <w:bCs/>
                <w:lang w:val="sv-FI"/>
              </w:rPr>
              <w:t>Trafikavdelningen</w:t>
            </w:r>
          </w:p>
        </w:tc>
        <w:tc>
          <w:tcPr>
            <w:tcW w:w="1275" w:type="dxa"/>
          </w:tcPr>
          <w:p w:rsidR="004406DE" w:rsidRPr="004406DE" w:rsidRDefault="004406DE" w:rsidP="004406DE">
            <w:pPr>
              <w:pStyle w:val="ANormal"/>
              <w:rPr>
                <w:lang w:val="sv-FI"/>
              </w:rPr>
            </w:pPr>
          </w:p>
        </w:tc>
        <w:tc>
          <w:tcPr>
            <w:tcW w:w="993" w:type="dxa"/>
          </w:tcPr>
          <w:p w:rsidR="004406DE" w:rsidRPr="004406DE" w:rsidRDefault="004406DE" w:rsidP="004406DE">
            <w:pPr>
              <w:pStyle w:val="ANormal"/>
              <w:rPr>
                <w:lang w:val="sv-FI"/>
              </w:rPr>
            </w:pPr>
          </w:p>
        </w:tc>
      </w:tr>
      <w:tr w:rsidR="004406DE" w:rsidRPr="004406DE" w:rsidTr="00E07851">
        <w:tc>
          <w:tcPr>
            <w:tcW w:w="4395" w:type="dxa"/>
          </w:tcPr>
          <w:p w:rsidR="004406DE" w:rsidRPr="004406DE" w:rsidRDefault="004406DE" w:rsidP="004406DE">
            <w:pPr>
              <w:pStyle w:val="ANormal"/>
              <w:rPr>
                <w:bCs/>
                <w:lang w:val="sv-FI"/>
              </w:rPr>
            </w:pPr>
            <w:r w:rsidRPr="004406DE">
              <w:rPr>
                <w:bCs/>
                <w:lang w:val="sv-FI"/>
              </w:rPr>
              <w:t>Allmänna byrån (T1)</w:t>
            </w:r>
          </w:p>
        </w:tc>
        <w:tc>
          <w:tcPr>
            <w:tcW w:w="1275" w:type="dxa"/>
          </w:tcPr>
          <w:p w:rsidR="004406DE" w:rsidRPr="004406DE" w:rsidRDefault="004406DE" w:rsidP="004406DE">
            <w:pPr>
              <w:pStyle w:val="ANormal"/>
              <w:rPr>
                <w:lang w:val="sv-FI"/>
              </w:rPr>
            </w:pPr>
            <w:r w:rsidRPr="004406DE">
              <w:rPr>
                <w:lang w:val="sv-FI"/>
              </w:rPr>
              <w:t>1 st</w:t>
            </w:r>
          </w:p>
        </w:tc>
        <w:tc>
          <w:tcPr>
            <w:tcW w:w="993" w:type="dxa"/>
          </w:tcPr>
          <w:p w:rsidR="004406DE" w:rsidRPr="004406DE" w:rsidRDefault="004406DE" w:rsidP="004406DE">
            <w:pPr>
              <w:pStyle w:val="ANormal"/>
              <w:rPr>
                <w:lang w:val="sv-FI"/>
              </w:rPr>
            </w:pPr>
            <w:r w:rsidRPr="004406DE">
              <w:rPr>
                <w:lang w:val="sv-FI"/>
              </w:rPr>
              <w:t>3 st</w:t>
            </w:r>
          </w:p>
        </w:tc>
      </w:tr>
      <w:tr w:rsidR="004406DE" w:rsidRPr="004406DE" w:rsidTr="00E07851">
        <w:tc>
          <w:tcPr>
            <w:tcW w:w="4395" w:type="dxa"/>
          </w:tcPr>
          <w:p w:rsidR="004406DE" w:rsidRPr="004406DE" w:rsidRDefault="004406DE" w:rsidP="004406DE">
            <w:pPr>
              <w:pStyle w:val="ANormal"/>
              <w:rPr>
                <w:b/>
                <w:bCs/>
                <w:lang w:val="sv-FI"/>
              </w:rPr>
            </w:pPr>
            <w:r w:rsidRPr="004406DE">
              <w:rPr>
                <w:b/>
                <w:bCs/>
                <w:lang w:val="sv-FI"/>
              </w:rPr>
              <w:t>Totalt</w:t>
            </w:r>
          </w:p>
        </w:tc>
        <w:tc>
          <w:tcPr>
            <w:tcW w:w="1275" w:type="dxa"/>
          </w:tcPr>
          <w:p w:rsidR="004406DE" w:rsidRPr="004406DE" w:rsidRDefault="004406DE" w:rsidP="004406DE">
            <w:pPr>
              <w:pStyle w:val="ANormal"/>
              <w:rPr>
                <w:b/>
                <w:bCs/>
                <w:lang w:val="en-GB"/>
              </w:rPr>
            </w:pPr>
            <w:r w:rsidRPr="004406DE">
              <w:rPr>
                <w:b/>
                <w:bCs/>
                <w:lang w:val="en-GB"/>
              </w:rPr>
              <w:t>10 st</w:t>
            </w:r>
          </w:p>
        </w:tc>
        <w:tc>
          <w:tcPr>
            <w:tcW w:w="993" w:type="dxa"/>
          </w:tcPr>
          <w:p w:rsidR="004406DE" w:rsidRPr="004406DE" w:rsidRDefault="004406DE" w:rsidP="004406DE">
            <w:pPr>
              <w:pStyle w:val="ANormal"/>
              <w:rPr>
                <w:b/>
                <w:bCs/>
                <w:lang w:val="en-GB"/>
              </w:rPr>
            </w:pPr>
            <w:r w:rsidRPr="004406DE">
              <w:rPr>
                <w:b/>
                <w:bCs/>
                <w:lang w:val="en-GB"/>
              </w:rPr>
              <w:t>12 st</w:t>
            </w:r>
          </w:p>
        </w:tc>
      </w:tr>
    </w:tbl>
    <w:p w:rsidR="004406DE" w:rsidRPr="004406DE" w:rsidRDefault="004406DE" w:rsidP="005242BE"/>
    <w:p w:rsidR="004406DE" w:rsidRPr="00A86E67" w:rsidRDefault="004406DE" w:rsidP="00E47DAE">
      <w:pPr>
        <w:pStyle w:val="Rubrik4"/>
      </w:pPr>
      <w:r w:rsidRPr="00A86E67">
        <w:t>Talan gällande Åland väckta vid EU-domstolen</w:t>
      </w:r>
    </w:p>
    <w:p w:rsidR="004406DE" w:rsidRPr="004406DE" w:rsidRDefault="004406DE" w:rsidP="005242BE">
      <w:r w:rsidRPr="00A86E67">
        <w:t>Kommissionen har under år 2014 v</w:t>
      </w:r>
      <w:r w:rsidR="00A86E67" w:rsidRPr="00A86E67">
        <w:t>id EU-domstolen v</w:t>
      </w:r>
      <w:r w:rsidRPr="00A86E67">
        <w:t>äckt talan som berört landskapet en gång: talan som väcktes den 7 juli 2014 gällde Finlands bris</w:t>
      </w:r>
      <w:r w:rsidRPr="00A86E67">
        <w:t>t</w:t>
      </w:r>
      <w:r w:rsidRPr="00A86E67">
        <w:t>fälliga och Ålands försenade genomförande av direktiv 2010/31/EU</w:t>
      </w:r>
      <w:r w:rsidR="00C46810">
        <w:t xml:space="preserve"> om byggnaders energiprestanda. </w:t>
      </w:r>
      <w:r w:rsidRPr="00A86E67">
        <w:t>E</w:t>
      </w:r>
      <w:r w:rsidR="00A86E67" w:rsidRPr="00A86E67">
        <w:t xml:space="preserve">fter att talan väckts har landskapsregeringen antagit ny lagstiftning i syfte att fullständigt genomföra direktivet. </w:t>
      </w:r>
      <w:r w:rsidRPr="00A86E67">
        <w:t>V</w:t>
      </w:r>
      <w:r w:rsidR="00A86E67">
        <w:t>id fä</w:t>
      </w:r>
      <w:r w:rsidR="00A86E67">
        <w:t>r</w:t>
      </w:r>
      <w:r w:rsidR="00A86E67">
        <w:t xml:space="preserve">digställandet av detta </w:t>
      </w:r>
      <w:r w:rsidRPr="00A86E67">
        <w:t>meddelande är det oklart huruvida kommissionen a</w:t>
      </w:r>
      <w:r w:rsidRPr="00A86E67">
        <w:t>c</w:t>
      </w:r>
      <w:r w:rsidRPr="00A86E67">
        <w:t>cep</w:t>
      </w:r>
      <w:r w:rsidR="00A86E67" w:rsidRPr="00A86E67">
        <w:t>terat landskapets</w:t>
      </w:r>
      <w:r w:rsidRPr="00A86E67">
        <w:t xml:space="preserve"> genomförande av direktivet. Ett återkallade av talan e</w:t>
      </w:r>
      <w:r w:rsidRPr="00A86E67">
        <w:t>l</w:t>
      </w:r>
      <w:r w:rsidRPr="00A86E67">
        <w:t xml:space="preserve">ler en dom inväntas </w:t>
      </w:r>
      <w:r w:rsidR="00A86E67" w:rsidRPr="00A86E67">
        <w:t>under året</w:t>
      </w:r>
      <w:r w:rsidR="00802A9F">
        <w:t xml:space="preserve">. </w:t>
      </w:r>
    </w:p>
    <w:p w:rsidR="004406DE" w:rsidRPr="004406DE" w:rsidRDefault="004406DE" w:rsidP="00023C6C">
      <w:pPr>
        <w:ind w:firstLine="284"/>
      </w:pPr>
      <w:r w:rsidRPr="004406DE">
        <w:t xml:space="preserve">Den talan kommissionen beslöt väcka den 20 november 2013 – och som omnämndes redan i förra årets EU-meddelande – har fortsättningsvis inte gått vidare till EU-domstolen. Talan </w:t>
      </w:r>
      <w:proofErr w:type="gramStart"/>
      <w:r w:rsidRPr="004406DE">
        <w:t>beslöts</w:t>
      </w:r>
      <w:proofErr w:type="gramEnd"/>
      <w:r w:rsidRPr="004406DE">
        <w:t xml:space="preserve"> </w:t>
      </w:r>
      <w:proofErr w:type="gramStart"/>
      <w:r w:rsidRPr="004406DE">
        <w:t>väckas</w:t>
      </w:r>
      <w:proofErr w:type="gramEnd"/>
      <w:r w:rsidRPr="004406DE">
        <w:t xml:space="preserve"> då kommissionen ansåg att finsk lagstiftning på området för utkomstskydd för arbetslösa är oföre</w:t>
      </w:r>
      <w:r w:rsidRPr="004406DE">
        <w:t>n</w:t>
      </w:r>
      <w:r w:rsidRPr="004406DE">
        <w:t>lig med EU-rätten, vad avser de finska bestämmelserna om att försäkring</w:t>
      </w:r>
      <w:r w:rsidRPr="004406DE">
        <w:t>s</w:t>
      </w:r>
      <w:r w:rsidRPr="004406DE">
        <w:t>perioder, anställningsperioder och perioder av verksamhet som egenföret</w:t>
      </w:r>
      <w:r w:rsidRPr="004406DE">
        <w:t>a</w:t>
      </w:r>
      <w:r w:rsidRPr="004406DE">
        <w:t>gare – som fullgjorts i en annan medlemsstat – ger rätt till arbetslöshet</w:t>
      </w:r>
      <w:r w:rsidRPr="004406DE">
        <w:t>s</w:t>
      </w:r>
      <w:r w:rsidRPr="004406DE">
        <w:t>förmåner endast då den sökande omedelbart innan sökanden blev arbetslös arbetat som anställd i minst fyra veckor eller som egenföretagare i minst fyra månader i Finland. Landskapet tillämpar blankettlagstiftning på omr</w:t>
      </w:r>
      <w:r w:rsidRPr="004406DE">
        <w:t>å</w:t>
      </w:r>
      <w:r w:rsidRPr="004406DE">
        <w:lastRenderedPageBreak/>
        <w:t>det. V</w:t>
      </w:r>
      <w:r w:rsidR="00A86E67">
        <w:t xml:space="preserve">id färdigställandet av detta </w:t>
      </w:r>
      <w:r w:rsidRPr="004406DE">
        <w:t>meddelande inväntas fortfarande det eve</w:t>
      </w:r>
      <w:r w:rsidRPr="004406DE">
        <w:t>n</w:t>
      </w:r>
      <w:r w:rsidRPr="004406DE">
        <w:t>tuella väckandet av talan i domstol.</w:t>
      </w:r>
    </w:p>
    <w:p w:rsidR="004406DE" w:rsidRPr="004406DE" w:rsidRDefault="004406DE" w:rsidP="00244E70">
      <w:pPr>
        <w:pStyle w:val="Rubrik4"/>
      </w:pPr>
      <w:r w:rsidRPr="004406DE">
        <w:t>Formellt granskningsförfarande enligt artikel 88.2 EG-fördraget (Ålands industrihus Ab)</w:t>
      </w:r>
    </w:p>
    <w:p w:rsidR="004406DE" w:rsidRPr="004406DE" w:rsidRDefault="004406DE" w:rsidP="005242BE">
      <w:r w:rsidRPr="004406DE">
        <w:t>I kommissionen</w:t>
      </w:r>
      <w:r w:rsidR="00C46810">
        <w:t>s beslut K (2011) 4905 slutlig</w:t>
      </w:r>
      <w:r w:rsidRPr="004406DE">
        <w:t xml:space="preserve"> av den 13 juli 2011 om sta</w:t>
      </w:r>
      <w:r w:rsidRPr="004406DE">
        <w:t>t</w:t>
      </w:r>
      <w:r w:rsidRPr="004406DE">
        <w:t>ligt stöd nr C 6/2008 fastslogs att landskapsregeringen olagligen hade b</w:t>
      </w:r>
      <w:r w:rsidRPr="004406DE">
        <w:t>e</w:t>
      </w:r>
      <w:r w:rsidRPr="004406DE">
        <w:t xml:space="preserve">viljat Ålands Industrihus Ab statligt stöd i strid med artikel </w:t>
      </w:r>
      <w:proofErr w:type="gramStart"/>
      <w:r w:rsidRPr="004406DE">
        <w:t>108.3</w:t>
      </w:r>
      <w:proofErr w:type="gramEnd"/>
      <w:r w:rsidRPr="004406DE">
        <w:t xml:space="preserve"> i fördr</w:t>
      </w:r>
      <w:r w:rsidRPr="004406DE">
        <w:t>a</w:t>
      </w:r>
      <w:r w:rsidRPr="004406DE">
        <w:t>get om Europeiska unionens funktionssätt. Med anledning av detta ålades landskapsregeringen att återkräva stöden som utgjorts av åtta kapitaltil</w:t>
      </w:r>
      <w:r w:rsidRPr="004406DE">
        <w:t>l</w:t>
      </w:r>
      <w:r w:rsidRPr="004406DE">
        <w:t xml:space="preserve">skott sedan år 2001 samt tre lånegarantier sedan år 2004. Kommissionen meddelade </w:t>
      </w:r>
      <w:r w:rsidR="00C46810">
        <w:t xml:space="preserve">den </w:t>
      </w:r>
      <w:r w:rsidRPr="004406DE">
        <w:t>31 oktober 2013 att utdelningsförslaget är godkänt och att de vidtagna åtgärderna är tillräckliga. Landskapsregeringen har under år 2014 verkställt återkravet i sin helhet.</w:t>
      </w:r>
    </w:p>
    <w:p w:rsidR="004406DE" w:rsidRDefault="0040709D" w:rsidP="00084074">
      <w:pPr>
        <w:pStyle w:val="Rubrik1"/>
        <w:numPr>
          <w:ilvl w:val="0"/>
          <w:numId w:val="0"/>
        </w:numPr>
      </w:pPr>
      <w:bookmarkStart w:id="112" w:name="_Toc410897688"/>
      <w:r>
        <w:br w:type="page"/>
      </w:r>
      <w:bookmarkStart w:id="113" w:name="_Toc412712705"/>
      <w:r w:rsidR="004406DE" w:rsidRPr="004406DE">
        <w:lastRenderedPageBreak/>
        <w:t>4. Övriga externa samarbeten</w:t>
      </w:r>
      <w:bookmarkEnd w:id="112"/>
      <w:bookmarkEnd w:id="113"/>
    </w:p>
    <w:p w:rsidR="00802A9F" w:rsidRPr="004406DE" w:rsidRDefault="00802A9F" w:rsidP="00802A9F">
      <w:pPr>
        <w:pStyle w:val="Rubrik2"/>
      </w:pPr>
      <w:bookmarkStart w:id="114" w:name="_Toc410897694"/>
      <w:bookmarkStart w:id="115" w:name="_Toc412712706"/>
      <w:bookmarkStart w:id="116" w:name="_Toc410897689"/>
      <w:r>
        <w:t>4.1</w:t>
      </w:r>
      <w:r w:rsidRPr="00E47DAE">
        <w:t xml:space="preserve"> IMO</w:t>
      </w:r>
      <w:bookmarkEnd w:id="114"/>
      <w:bookmarkEnd w:id="115"/>
      <w:r w:rsidRPr="00E47DAE">
        <w:t xml:space="preserve"> </w:t>
      </w:r>
    </w:p>
    <w:p w:rsidR="00FC5E97" w:rsidRDefault="00802A9F" w:rsidP="00084074">
      <w:r w:rsidRPr="004406DE">
        <w:t xml:space="preserve">Inom sjöfartsområdet är det IMO (International </w:t>
      </w:r>
      <w:proofErr w:type="spellStart"/>
      <w:r w:rsidRPr="004406DE">
        <w:t>Maritime</w:t>
      </w:r>
      <w:proofErr w:type="spellEnd"/>
      <w:r w:rsidRPr="004406DE">
        <w:t xml:space="preserve"> </w:t>
      </w:r>
      <w:proofErr w:type="spellStart"/>
      <w:r w:rsidRPr="004406DE">
        <w:t>Organization</w:t>
      </w:r>
      <w:proofErr w:type="spellEnd"/>
      <w:r w:rsidRPr="004406DE">
        <w:t>, ett mellanstatligt FN-organ med 170 medlemsstater och tre associerade me</w:t>
      </w:r>
      <w:r w:rsidRPr="004406DE">
        <w:t>d</w:t>
      </w:r>
      <w:r w:rsidRPr="004406DE">
        <w:t xml:space="preserve">lemmar) som beslutar om regler kring säkerhet, utbildning och miljö för sjöfarten som verkar på en global marknad. Finland är medlem och Åland kan delta i beredningen av positioner och i den finländska delegationen vid möten. </w:t>
      </w:r>
      <w:r w:rsidR="00FC5E97" w:rsidRPr="00FC5E97">
        <w:t>Landskapsregeringen har en representant i Finlands sjöfartsdelega</w:t>
      </w:r>
      <w:r w:rsidR="00FC5E97" w:rsidRPr="00FC5E97">
        <w:t>t</w:t>
      </w:r>
      <w:r w:rsidR="00FC5E97" w:rsidRPr="00FC5E97">
        <w:t xml:space="preserve">ion, vilken samordnar positioner i sjöfartspolitiska frågor. </w:t>
      </w:r>
    </w:p>
    <w:p w:rsidR="00802A9F" w:rsidRDefault="00802A9F" w:rsidP="00023C6C">
      <w:pPr>
        <w:ind w:firstLine="284"/>
      </w:pPr>
      <w:r w:rsidRPr="004406DE">
        <w:t>EU har i ökande utsträckning initierat liknande och kompletterande la</w:t>
      </w:r>
      <w:r w:rsidRPr="004406DE">
        <w:t>g</w:t>
      </w:r>
      <w:r w:rsidRPr="004406DE">
        <w:t>stiftning inom sjöfartsområdet. I den mån det är relevant med EU-lagstiftning är det viktigt att föra fram samma positioner i de bägge org</w:t>
      </w:r>
      <w:r w:rsidRPr="004406DE">
        <w:t>a</w:t>
      </w:r>
      <w:r w:rsidRPr="004406DE">
        <w:t>nen. Aktuella frågor har varit regler kring svavelhalten i fartygsbränsle i Östersjön, rapportering av utsläpp och på kommande är genomförande</w:t>
      </w:r>
      <w:r w:rsidR="00C46810">
        <w:t>t</w:t>
      </w:r>
      <w:r w:rsidRPr="004406DE">
        <w:t xml:space="preserve"> av IMO-konventionen om hantering av barlastvatten.</w:t>
      </w:r>
    </w:p>
    <w:p w:rsidR="00802A9F" w:rsidRPr="004406DE" w:rsidRDefault="00802A9F" w:rsidP="00802A9F">
      <w:pPr>
        <w:pStyle w:val="Rubrik2"/>
      </w:pPr>
      <w:bookmarkStart w:id="117" w:name="_Toc410897693"/>
      <w:bookmarkStart w:id="118" w:name="_Toc412712707"/>
      <w:r>
        <w:t>4.2</w:t>
      </w:r>
      <w:r w:rsidRPr="00E47DAE">
        <w:t xml:space="preserve"> Team Finland</w:t>
      </w:r>
      <w:bookmarkEnd w:id="117"/>
      <w:bookmarkEnd w:id="118"/>
    </w:p>
    <w:p w:rsidR="002F709C" w:rsidRDefault="00802A9F" w:rsidP="00084074">
      <w:pPr>
        <w:rPr>
          <w:lang w:val="sv-FI"/>
        </w:rPr>
      </w:pPr>
      <w:r w:rsidRPr="004406DE">
        <w:rPr>
          <w:lang w:val="sv-FI"/>
        </w:rPr>
        <w:t>I Finland har man samlat de centrala aktörerna som arbetar för att främja företagens export i ett nätverk som kallas Team Finland. I centrum står a</w:t>
      </w:r>
      <w:r w:rsidRPr="004406DE">
        <w:rPr>
          <w:lang w:val="sv-FI"/>
        </w:rPr>
        <w:t>r</w:t>
      </w:r>
      <w:r w:rsidRPr="004406DE">
        <w:rPr>
          <w:lang w:val="sv-FI"/>
        </w:rPr>
        <w:t>bets- och näringsministeriet, utrikesministeriet, undervisnings- och kultu</w:t>
      </w:r>
      <w:r w:rsidRPr="004406DE">
        <w:rPr>
          <w:lang w:val="sv-FI"/>
        </w:rPr>
        <w:t>r</w:t>
      </w:r>
      <w:r w:rsidRPr="004406DE">
        <w:rPr>
          <w:lang w:val="sv-FI"/>
        </w:rPr>
        <w:t>ministeriet samt offentligt finansierade organisationer och verksamhetsstä</w:t>
      </w:r>
      <w:r w:rsidRPr="004406DE">
        <w:rPr>
          <w:lang w:val="sv-FI"/>
        </w:rPr>
        <w:t>l</w:t>
      </w:r>
      <w:r w:rsidRPr="004406DE">
        <w:rPr>
          <w:lang w:val="sv-FI"/>
        </w:rPr>
        <w:t>len</w:t>
      </w:r>
      <w:r w:rsidR="00864699">
        <w:rPr>
          <w:lang w:val="sv-FI"/>
        </w:rPr>
        <w:t xml:space="preserve"> utomlands som styrs av dem (bl</w:t>
      </w:r>
      <w:r w:rsidRPr="004406DE">
        <w:rPr>
          <w:lang w:val="sv-FI"/>
        </w:rPr>
        <w:t>a</w:t>
      </w:r>
      <w:r w:rsidR="00864699">
        <w:rPr>
          <w:lang w:val="sv-FI"/>
        </w:rPr>
        <w:t>nd andra</w:t>
      </w:r>
      <w:r w:rsidRPr="004406DE">
        <w:rPr>
          <w:lang w:val="sv-FI"/>
        </w:rPr>
        <w:t xml:space="preserve"> Finlands beskickningar uto</w:t>
      </w:r>
      <w:r w:rsidRPr="004406DE">
        <w:rPr>
          <w:lang w:val="sv-FI"/>
        </w:rPr>
        <w:t>m</w:t>
      </w:r>
      <w:r w:rsidRPr="004406DE">
        <w:rPr>
          <w:lang w:val="sv-FI"/>
        </w:rPr>
        <w:t xml:space="preserve">lands, </w:t>
      </w:r>
      <w:proofErr w:type="spellStart"/>
      <w:r w:rsidRPr="004406DE">
        <w:rPr>
          <w:lang w:val="sv-FI"/>
        </w:rPr>
        <w:t>Finpros</w:t>
      </w:r>
      <w:proofErr w:type="spellEnd"/>
      <w:r w:rsidRPr="004406DE">
        <w:rPr>
          <w:lang w:val="sv-FI"/>
        </w:rPr>
        <w:t xml:space="preserve"> och Tekes kontor samt kultur</w:t>
      </w:r>
      <w:r w:rsidR="002F709C">
        <w:rPr>
          <w:lang w:val="sv-FI"/>
        </w:rPr>
        <w:t xml:space="preserve">- och vetenskapsinstituten) samt därutöver </w:t>
      </w:r>
      <w:proofErr w:type="spellStart"/>
      <w:r w:rsidRPr="004406DE">
        <w:rPr>
          <w:lang w:val="sv-FI"/>
        </w:rPr>
        <w:t>Finnvera</w:t>
      </w:r>
      <w:proofErr w:type="spellEnd"/>
      <w:r w:rsidRPr="004406DE">
        <w:rPr>
          <w:lang w:val="sv-FI"/>
        </w:rPr>
        <w:t xml:space="preserve">, Finsk-svenska handelskammaren och VTT. </w:t>
      </w:r>
      <w:r w:rsidR="002F709C">
        <w:rPr>
          <w:lang w:val="sv-FI"/>
        </w:rPr>
        <w:t>Även landskapsregeringens Ålandskontor i Stockholm är representerat i den svenska delen av Team Finland i syfte att samordna aktiviteter och upprät</w:t>
      </w:r>
      <w:r w:rsidR="002F709C">
        <w:rPr>
          <w:lang w:val="sv-FI"/>
        </w:rPr>
        <w:t>t</w:t>
      </w:r>
      <w:r w:rsidR="002F709C">
        <w:rPr>
          <w:lang w:val="sv-FI"/>
        </w:rPr>
        <w:t>hålla kontakterna till det finska samfundet i Sverige.</w:t>
      </w:r>
    </w:p>
    <w:p w:rsidR="00802A9F" w:rsidRPr="004406DE" w:rsidRDefault="00802A9F" w:rsidP="002F709C">
      <w:pPr>
        <w:ind w:firstLine="284"/>
        <w:rPr>
          <w:lang w:val="sv-FI"/>
        </w:rPr>
      </w:pPr>
      <w:r w:rsidRPr="004406DE">
        <w:rPr>
          <w:lang w:val="sv-FI"/>
        </w:rPr>
        <w:t>Nätverket Team Finland främjar Finlands intressen ute i världen: exte</w:t>
      </w:r>
      <w:r w:rsidRPr="004406DE">
        <w:rPr>
          <w:lang w:val="sv-FI"/>
        </w:rPr>
        <w:t>r</w:t>
      </w:r>
      <w:r w:rsidRPr="004406DE">
        <w:rPr>
          <w:lang w:val="sv-FI"/>
        </w:rPr>
        <w:t>na ekonomiska relationer, finländska företags internationalisering, u</w:t>
      </w:r>
      <w:r w:rsidRPr="004406DE">
        <w:rPr>
          <w:lang w:val="sv-FI"/>
        </w:rPr>
        <w:t>t</w:t>
      </w:r>
      <w:r w:rsidRPr="004406DE">
        <w:rPr>
          <w:lang w:val="sv-FI"/>
        </w:rPr>
        <w:t>ländska investeringar i Finland och Finlandsbilden. Team Finland samma</w:t>
      </w:r>
      <w:r w:rsidRPr="004406DE">
        <w:rPr>
          <w:lang w:val="sv-FI"/>
        </w:rPr>
        <w:t>n</w:t>
      </w:r>
      <w:r w:rsidRPr="004406DE">
        <w:rPr>
          <w:lang w:val="sv-FI"/>
        </w:rPr>
        <w:t>för de centrala aktörerna inom de här områdena</w:t>
      </w:r>
      <w:r w:rsidR="003F194B">
        <w:rPr>
          <w:lang w:val="sv-FI"/>
        </w:rPr>
        <w:t xml:space="preserve"> såväl nationellt som inte</w:t>
      </w:r>
      <w:r w:rsidR="003F194B">
        <w:rPr>
          <w:lang w:val="sv-FI"/>
        </w:rPr>
        <w:t>r</w:t>
      </w:r>
      <w:r w:rsidR="003F194B">
        <w:rPr>
          <w:lang w:val="sv-FI"/>
        </w:rPr>
        <w:t>nationellt.</w:t>
      </w:r>
      <w:r w:rsidRPr="004406DE">
        <w:rPr>
          <w:lang w:val="sv-FI"/>
        </w:rPr>
        <w:t xml:space="preserve"> Aktörerna styrs av gemensamma målsättningar som fastställs av statsrådet varje år. Samarbetets syfte är att skapa en enkel och flexibel verksamhetsmodell som utgår från kundernas behov. Projekt inom Team Finlands verksamhetsområde genomförs i samarbete mellan staten och pr</w:t>
      </w:r>
      <w:r w:rsidRPr="004406DE">
        <w:rPr>
          <w:lang w:val="sv-FI"/>
        </w:rPr>
        <w:t>i</w:t>
      </w:r>
      <w:r w:rsidRPr="004406DE">
        <w:rPr>
          <w:lang w:val="sv-FI"/>
        </w:rPr>
        <w:t>vata aktörer.</w:t>
      </w:r>
    </w:p>
    <w:p w:rsidR="00802A9F" w:rsidRPr="004406DE" w:rsidRDefault="00802A9F" w:rsidP="00023C6C">
      <w:pPr>
        <w:ind w:firstLine="284"/>
        <w:rPr>
          <w:lang w:val="sv-FI"/>
        </w:rPr>
      </w:pPr>
      <w:r w:rsidRPr="004406DE">
        <w:rPr>
          <w:lang w:val="sv-FI"/>
        </w:rPr>
        <w:t>Landskapsregeringen samarbetar med Team Finland kring information och det finns möjlighet för åländska företag att delta i aktiviteter. Till den del det handlar om finansiering kan företag söka finansiering från lan</w:t>
      </w:r>
      <w:r w:rsidRPr="004406DE">
        <w:rPr>
          <w:lang w:val="sv-FI"/>
        </w:rPr>
        <w:t>d</w:t>
      </w:r>
      <w:r w:rsidRPr="004406DE">
        <w:rPr>
          <w:lang w:val="sv-FI"/>
        </w:rPr>
        <w:t>skapsregeringen för att delta på samma villkor som finländska företag.</w:t>
      </w:r>
    </w:p>
    <w:p w:rsidR="00802A9F" w:rsidRPr="004406DE" w:rsidRDefault="00802A9F" w:rsidP="00802A9F">
      <w:pPr>
        <w:pStyle w:val="Rubrik2"/>
        <w:rPr>
          <w:lang w:val="sv-FI"/>
        </w:rPr>
      </w:pPr>
      <w:bookmarkStart w:id="119" w:name="_Toc410897692"/>
      <w:bookmarkStart w:id="120" w:name="_Toc412712708"/>
      <w:r>
        <w:rPr>
          <w:lang w:val="sv-FI"/>
        </w:rPr>
        <w:t>4.3</w:t>
      </w:r>
      <w:r w:rsidRPr="004406DE">
        <w:rPr>
          <w:lang w:val="sv-FI"/>
        </w:rPr>
        <w:t xml:space="preserve"> </w:t>
      </w:r>
      <w:proofErr w:type="spellStart"/>
      <w:r w:rsidRPr="004406DE">
        <w:rPr>
          <w:lang w:val="sv-FI"/>
        </w:rPr>
        <w:t>RegLeg</w:t>
      </w:r>
      <w:bookmarkEnd w:id="119"/>
      <w:bookmarkEnd w:id="120"/>
      <w:proofErr w:type="spellEnd"/>
    </w:p>
    <w:p w:rsidR="00802A9F" w:rsidRDefault="00802A9F" w:rsidP="00084074">
      <w:pPr>
        <w:rPr>
          <w:lang w:val="sv-FI"/>
        </w:rPr>
      </w:pPr>
      <w:proofErr w:type="spellStart"/>
      <w:r w:rsidRPr="004406DE">
        <w:rPr>
          <w:lang w:val="sv-FI"/>
        </w:rPr>
        <w:t>RegLeg</w:t>
      </w:r>
      <w:proofErr w:type="spellEnd"/>
      <w:r w:rsidRPr="004406DE">
        <w:rPr>
          <w:lang w:val="sv-FI"/>
        </w:rPr>
        <w:t xml:space="preserve"> (Conference </w:t>
      </w:r>
      <w:proofErr w:type="spellStart"/>
      <w:r w:rsidRPr="004406DE">
        <w:rPr>
          <w:lang w:val="sv-FI"/>
        </w:rPr>
        <w:t>of</w:t>
      </w:r>
      <w:proofErr w:type="spellEnd"/>
      <w:r w:rsidRPr="004406DE">
        <w:rPr>
          <w:lang w:val="sv-FI"/>
        </w:rPr>
        <w:t xml:space="preserve"> </w:t>
      </w:r>
      <w:proofErr w:type="spellStart"/>
      <w:r w:rsidRPr="004406DE">
        <w:rPr>
          <w:lang w:val="sv-FI"/>
        </w:rPr>
        <w:t>European</w:t>
      </w:r>
      <w:proofErr w:type="spellEnd"/>
      <w:r w:rsidRPr="004406DE">
        <w:rPr>
          <w:lang w:val="sv-FI"/>
        </w:rPr>
        <w:t xml:space="preserve"> Regions </w:t>
      </w:r>
      <w:proofErr w:type="spellStart"/>
      <w:r w:rsidRPr="004406DE">
        <w:rPr>
          <w:lang w:val="sv-FI"/>
        </w:rPr>
        <w:t>with</w:t>
      </w:r>
      <w:proofErr w:type="spellEnd"/>
      <w:r w:rsidRPr="004406DE">
        <w:rPr>
          <w:lang w:val="sv-FI"/>
        </w:rPr>
        <w:t xml:space="preserve"> Legislative Power) är ett politiskt nätverk för europeiska regioner. Nätverket består av representanter från de lokala regeringarna men är inte formellt en EU-institution. </w:t>
      </w:r>
      <w:r>
        <w:rPr>
          <w:lang w:val="sv-FI"/>
        </w:rPr>
        <w:t>Från landskapsregeringen deltar specialrådgivaren i n</w:t>
      </w:r>
      <w:r w:rsidRPr="004406DE">
        <w:rPr>
          <w:lang w:val="sv-FI"/>
        </w:rPr>
        <w:t>ätverket</w:t>
      </w:r>
      <w:r>
        <w:rPr>
          <w:lang w:val="sv-FI"/>
        </w:rPr>
        <w:t>, vilket</w:t>
      </w:r>
      <w:r w:rsidRPr="004406DE">
        <w:rPr>
          <w:lang w:val="sv-FI"/>
        </w:rPr>
        <w:t xml:space="preserve"> </w:t>
      </w:r>
      <w:r w:rsidR="00971064">
        <w:rPr>
          <w:lang w:val="sv-FI"/>
        </w:rPr>
        <w:t xml:space="preserve">dock </w:t>
      </w:r>
      <w:r w:rsidRPr="004406DE">
        <w:rPr>
          <w:lang w:val="sv-FI"/>
        </w:rPr>
        <w:t xml:space="preserve">inte </w:t>
      </w:r>
      <w:r>
        <w:rPr>
          <w:lang w:val="sv-FI"/>
        </w:rPr>
        <w:t xml:space="preserve">har </w:t>
      </w:r>
      <w:r w:rsidRPr="004406DE">
        <w:rPr>
          <w:lang w:val="sv-FI"/>
        </w:rPr>
        <w:t>varit aktivt under de senaste åren.</w:t>
      </w:r>
    </w:p>
    <w:p w:rsidR="00802A9F" w:rsidRPr="004406DE" w:rsidRDefault="00802A9F" w:rsidP="00802A9F">
      <w:pPr>
        <w:pStyle w:val="Rubrik2"/>
        <w:rPr>
          <w:lang w:val="sv-FI"/>
        </w:rPr>
      </w:pPr>
      <w:bookmarkStart w:id="121" w:name="_Toc410897690"/>
      <w:bookmarkStart w:id="122" w:name="_Toc412712709"/>
      <w:r w:rsidRPr="004406DE">
        <w:rPr>
          <w:lang w:val="sv-FI"/>
        </w:rPr>
        <w:t>4.</w:t>
      </w:r>
      <w:r>
        <w:rPr>
          <w:lang w:val="sv-FI"/>
        </w:rPr>
        <w:t>4</w:t>
      </w:r>
      <w:r w:rsidRPr="004406DE">
        <w:rPr>
          <w:lang w:val="sv-FI"/>
        </w:rPr>
        <w:t xml:space="preserve"> Central Baltic</w:t>
      </w:r>
      <w:bookmarkEnd w:id="121"/>
      <w:bookmarkEnd w:id="122"/>
    </w:p>
    <w:p w:rsidR="00802A9F" w:rsidRPr="004406DE" w:rsidRDefault="00802A9F" w:rsidP="00084074">
      <w:pPr>
        <w:rPr>
          <w:lang w:val="sv-FI"/>
        </w:rPr>
      </w:pPr>
      <w:r w:rsidRPr="004406DE">
        <w:rPr>
          <w:lang w:val="sv-FI"/>
        </w:rPr>
        <w:t xml:space="preserve">Central Baltic </w:t>
      </w:r>
      <w:proofErr w:type="spellStart"/>
      <w:r w:rsidRPr="004406DE">
        <w:rPr>
          <w:lang w:val="sv-FI"/>
        </w:rPr>
        <w:t>Programme</w:t>
      </w:r>
      <w:proofErr w:type="spellEnd"/>
      <w:r w:rsidRPr="004406DE">
        <w:rPr>
          <w:lang w:val="sv-FI"/>
        </w:rPr>
        <w:t xml:space="preserve"> 2014-2020 är ett gränsöverskridande samarbet</w:t>
      </w:r>
      <w:r w:rsidRPr="004406DE">
        <w:rPr>
          <w:lang w:val="sv-FI"/>
        </w:rPr>
        <w:t>s</w:t>
      </w:r>
      <w:r w:rsidRPr="004406DE">
        <w:rPr>
          <w:lang w:val="sv-FI"/>
        </w:rPr>
        <w:t>program som finansieras av E</w:t>
      </w:r>
      <w:r w:rsidR="00971064">
        <w:rPr>
          <w:lang w:val="sv-FI"/>
        </w:rPr>
        <w:t>ruf</w:t>
      </w:r>
      <w:r w:rsidRPr="004406DE">
        <w:rPr>
          <w:lang w:val="sv-FI"/>
        </w:rPr>
        <w:t xml:space="preserve"> (regionala utvecklingsfonden). Progra</w:t>
      </w:r>
      <w:r w:rsidRPr="004406DE">
        <w:rPr>
          <w:lang w:val="sv-FI"/>
        </w:rPr>
        <w:t>m</w:t>
      </w:r>
      <w:r w:rsidRPr="004406DE">
        <w:rPr>
          <w:lang w:val="sv-FI"/>
        </w:rPr>
        <w:lastRenderedPageBreak/>
        <w:t>området omfattar delar av Finland inkl</w:t>
      </w:r>
      <w:r w:rsidR="00971064">
        <w:rPr>
          <w:lang w:val="sv-FI"/>
        </w:rPr>
        <w:t>usive</w:t>
      </w:r>
      <w:r w:rsidRPr="004406DE">
        <w:rPr>
          <w:lang w:val="sv-FI"/>
        </w:rPr>
        <w:t xml:space="preserve"> Åland, Estland, Lettland och Sverige.</w:t>
      </w:r>
    </w:p>
    <w:p w:rsidR="00802A9F" w:rsidRPr="004406DE" w:rsidRDefault="00802A9F" w:rsidP="00511F25">
      <w:pPr>
        <w:ind w:firstLine="284"/>
        <w:rPr>
          <w:lang w:val="sv-FI"/>
        </w:rPr>
      </w:pPr>
      <w:r w:rsidRPr="004406DE">
        <w:rPr>
          <w:lang w:val="sv-FI"/>
        </w:rPr>
        <w:t xml:space="preserve">Målsättningen är hållbar regional utveckling. 115 miljoner </w:t>
      </w:r>
      <w:r w:rsidR="00971064">
        <w:rPr>
          <w:lang w:val="sv-FI"/>
        </w:rPr>
        <w:t>euro</w:t>
      </w:r>
      <w:r w:rsidRPr="004406DE">
        <w:rPr>
          <w:lang w:val="sv-FI"/>
        </w:rPr>
        <w:t xml:space="preserve"> är r</w:t>
      </w:r>
      <w:r w:rsidRPr="004406DE">
        <w:rPr>
          <w:lang w:val="sv-FI"/>
        </w:rPr>
        <w:t>e</w:t>
      </w:r>
      <w:r w:rsidRPr="004406DE">
        <w:rPr>
          <w:lang w:val="sv-FI"/>
        </w:rPr>
        <w:t>serverade för projekt.</w:t>
      </w:r>
      <w:r w:rsidR="003F194B">
        <w:rPr>
          <w:lang w:val="sv-FI"/>
        </w:rPr>
        <w:t xml:space="preserve"> </w:t>
      </w:r>
      <w:r w:rsidRPr="004406DE">
        <w:rPr>
          <w:lang w:val="sv-FI"/>
        </w:rPr>
        <w:t>Projektfinansiering är möjlig inom följande insatso</w:t>
      </w:r>
      <w:r w:rsidRPr="004406DE">
        <w:rPr>
          <w:lang w:val="sv-FI"/>
        </w:rPr>
        <w:t>m</w:t>
      </w:r>
      <w:r w:rsidRPr="004406DE">
        <w:rPr>
          <w:lang w:val="sv-FI"/>
        </w:rPr>
        <w:t>råden:</w:t>
      </w:r>
    </w:p>
    <w:p w:rsidR="00802A9F" w:rsidRPr="004406DE" w:rsidRDefault="00802A9F" w:rsidP="00023C6C">
      <w:pPr>
        <w:numPr>
          <w:ilvl w:val="0"/>
          <w:numId w:val="18"/>
        </w:numPr>
        <w:rPr>
          <w:lang w:val="sv-FI"/>
        </w:rPr>
      </w:pPr>
      <w:r w:rsidRPr="004406DE">
        <w:rPr>
          <w:lang w:val="sv-FI"/>
        </w:rPr>
        <w:t xml:space="preserve">Stärkandet av regionens ekonomiska konkurrenskraft </w:t>
      </w:r>
    </w:p>
    <w:p w:rsidR="00802A9F" w:rsidRPr="004406DE" w:rsidRDefault="00802A9F" w:rsidP="00023C6C">
      <w:pPr>
        <w:numPr>
          <w:ilvl w:val="0"/>
          <w:numId w:val="18"/>
        </w:numPr>
        <w:rPr>
          <w:lang w:val="sv-FI"/>
        </w:rPr>
      </w:pPr>
      <w:r w:rsidRPr="004406DE">
        <w:rPr>
          <w:lang w:val="sv-FI"/>
        </w:rPr>
        <w:t>Hållbar användning av våra gemensamma resurser</w:t>
      </w:r>
    </w:p>
    <w:p w:rsidR="00802A9F" w:rsidRPr="004406DE" w:rsidRDefault="00802A9F" w:rsidP="00023C6C">
      <w:pPr>
        <w:numPr>
          <w:ilvl w:val="0"/>
          <w:numId w:val="18"/>
        </w:numPr>
        <w:rPr>
          <w:lang w:val="sv-FI"/>
        </w:rPr>
      </w:pPr>
      <w:r w:rsidRPr="004406DE">
        <w:rPr>
          <w:lang w:val="sv-FI"/>
        </w:rPr>
        <w:t>Ökad tillgänglighet i regionen</w:t>
      </w:r>
    </w:p>
    <w:p w:rsidR="00802A9F" w:rsidRPr="004406DE" w:rsidRDefault="00802A9F" w:rsidP="00023C6C">
      <w:pPr>
        <w:numPr>
          <w:ilvl w:val="0"/>
          <w:numId w:val="18"/>
        </w:numPr>
        <w:rPr>
          <w:lang w:val="sv-FI"/>
        </w:rPr>
      </w:pPr>
      <w:r>
        <w:rPr>
          <w:lang w:val="sv-FI"/>
        </w:rPr>
        <w:t>Fö</w:t>
      </w:r>
      <w:r w:rsidRPr="004406DE">
        <w:rPr>
          <w:lang w:val="sv-FI"/>
        </w:rPr>
        <w:t>rbättrad kompetens och ökad samhällsgemenskap</w:t>
      </w:r>
    </w:p>
    <w:p w:rsidR="00802A9F" w:rsidRPr="004406DE" w:rsidRDefault="00802A9F" w:rsidP="00084074">
      <w:pPr>
        <w:rPr>
          <w:lang w:val="sv-FI"/>
        </w:rPr>
      </w:pPr>
      <w:r w:rsidRPr="004406DE">
        <w:rPr>
          <w:lang w:val="sv-FI"/>
        </w:rPr>
        <w:t>Möjliga samarbetsorganisationer:</w:t>
      </w:r>
    </w:p>
    <w:p w:rsidR="00802A9F" w:rsidRPr="004406DE" w:rsidRDefault="00802A9F" w:rsidP="00511F25">
      <w:pPr>
        <w:numPr>
          <w:ilvl w:val="0"/>
          <w:numId w:val="19"/>
        </w:numPr>
        <w:rPr>
          <w:lang w:val="sv-FI"/>
        </w:rPr>
      </w:pPr>
      <w:r w:rsidRPr="004406DE">
        <w:rPr>
          <w:lang w:val="sv-FI"/>
        </w:rPr>
        <w:t>Myndigheter, org</w:t>
      </w:r>
      <w:r w:rsidR="00971064">
        <w:rPr>
          <w:lang w:val="sv-FI"/>
        </w:rPr>
        <w:t xml:space="preserve">anisationer, ideella föreningar </w:t>
      </w:r>
      <w:r w:rsidRPr="004406DE">
        <w:rPr>
          <w:lang w:val="sv-FI"/>
        </w:rPr>
        <w:t>och relevanta företag</w:t>
      </w:r>
    </w:p>
    <w:p w:rsidR="00802A9F" w:rsidRPr="004406DE" w:rsidRDefault="00802A9F" w:rsidP="00511F25">
      <w:pPr>
        <w:numPr>
          <w:ilvl w:val="0"/>
          <w:numId w:val="19"/>
        </w:numPr>
        <w:rPr>
          <w:lang w:val="sv-FI"/>
        </w:rPr>
      </w:pPr>
      <w:r w:rsidRPr="004406DE">
        <w:rPr>
          <w:lang w:val="sv-FI"/>
        </w:rPr>
        <w:t>Från minst två medlemsstater</w:t>
      </w:r>
    </w:p>
    <w:p w:rsidR="004406DE" w:rsidRPr="004406DE" w:rsidRDefault="004406DE" w:rsidP="004406DE">
      <w:pPr>
        <w:pStyle w:val="Rubrik2"/>
      </w:pPr>
      <w:bookmarkStart w:id="123" w:name="_Toc412712710"/>
      <w:r w:rsidRPr="00E47DAE">
        <w:t>4.</w:t>
      </w:r>
      <w:r w:rsidR="00802A9F">
        <w:t>5</w:t>
      </w:r>
      <w:r w:rsidRPr="00E47DAE">
        <w:t xml:space="preserve"> B7</w:t>
      </w:r>
      <w:bookmarkEnd w:id="116"/>
      <w:bookmarkEnd w:id="123"/>
    </w:p>
    <w:p w:rsidR="004406DE" w:rsidRPr="004406DE" w:rsidRDefault="004406DE" w:rsidP="00084074">
      <w:r w:rsidRPr="004406DE">
        <w:t>B7-samarbetet grundades 1989 av de sju största öarna i Östersjön; Bor</w:t>
      </w:r>
      <w:r w:rsidRPr="004406DE">
        <w:t>n</w:t>
      </w:r>
      <w:r w:rsidRPr="004406DE">
        <w:t>holm, Dagö, Gotland, Rügen, Åland, Öland och Ösel. Det primära syftet med samarbetet är att på olika plan bidra till öarnas utveckling och att uppnå mål gemensamma för öar. Åland deltar i samarbetet genom en repr</w:t>
      </w:r>
      <w:r w:rsidRPr="004406DE">
        <w:t>e</w:t>
      </w:r>
      <w:r w:rsidRPr="004406DE">
        <w:t>sentant i B7:s politiska styrgrupp (</w:t>
      </w:r>
      <w:proofErr w:type="spellStart"/>
      <w:r w:rsidRPr="004406DE">
        <w:t>Political</w:t>
      </w:r>
      <w:proofErr w:type="spellEnd"/>
      <w:r w:rsidRPr="004406DE">
        <w:t xml:space="preserve"> </w:t>
      </w:r>
      <w:proofErr w:type="spellStart"/>
      <w:r w:rsidRPr="004406DE">
        <w:t>Steering</w:t>
      </w:r>
      <w:proofErr w:type="spellEnd"/>
      <w:r w:rsidRPr="004406DE">
        <w:t xml:space="preserve"> Group), samt genom en representant i B7:s koordinationsgrupp (</w:t>
      </w:r>
      <w:proofErr w:type="spellStart"/>
      <w:r w:rsidRPr="004406DE">
        <w:t>Coordinators</w:t>
      </w:r>
      <w:proofErr w:type="spellEnd"/>
      <w:r w:rsidRPr="004406DE">
        <w:t xml:space="preserve"> Group).</w:t>
      </w:r>
    </w:p>
    <w:p w:rsidR="004406DE" w:rsidRPr="00BD31C9" w:rsidRDefault="004406DE" w:rsidP="00511F25">
      <w:pPr>
        <w:ind w:firstLine="284"/>
      </w:pPr>
      <w:r w:rsidRPr="004406DE">
        <w:t>De senaste åren har det skett ett antal förändringar i B7:s struktur och samarbetsform, bland annat då medlemsöarna minskat i antal genom Bor</w:t>
      </w:r>
      <w:r w:rsidRPr="004406DE">
        <w:t>n</w:t>
      </w:r>
      <w:r w:rsidRPr="004406DE">
        <w:t xml:space="preserve">holms utträde 2013 och Ölands utträde 2014. Landskapsregeringen avser fortsätta samarbetet men i en avvecklad version. Det innebär i praktiken att samarbetet under kommande år ska fokusera främst på B7-spelen och på ett konst- och kulturprojekt, vilka ska äga rum vartannat </w:t>
      </w:r>
      <w:r w:rsidRPr="00BD31C9">
        <w:t>år. Syftet med B7-spelen är att ungdomar från de olika öarna ska kunna mötas och umgås g</w:t>
      </w:r>
      <w:r w:rsidRPr="00BD31C9">
        <w:t>e</w:t>
      </w:r>
      <w:r w:rsidRPr="00BD31C9">
        <w:t>nom idrotten, medan konst- och kulturprojektet ska sammanföra konstnärer från medlemsöarna i en gemensam utställning. Ordförandeskapet i B7 rot</w:t>
      </w:r>
      <w:r w:rsidRPr="00BD31C9">
        <w:t>e</w:t>
      </w:r>
      <w:r w:rsidRPr="00BD31C9">
        <w:t xml:space="preserve">rar mellan öarna och innehas av Ösel 2015-2016. </w:t>
      </w:r>
    </w:p>
    <w:p w:rsidR="004406DE" w:rsidRPr="00BD31C9" w:rsidRDefault="004406DE" w:rsidP="00511F25">
      <w:pPr>
        <w:ind w:firstLine="284"/>
      </w:pPr>
      <w:r w:rsidRPr="00BD31C9">
        <w:t xml:space="preserve">B7 </w:t>
      </w:r>
      <w:r w:rsidR="003F194B" w:rsidRPr="00BD31C9">
        <w:t xml:space="preserve">har även engagerat </w:t>
      </w:r>
      <w:r w:rsidRPr="00BD31C9">
        <w:t xml:space="preserve">sig </w:t>
      </w:r>
      <w:r w:rsidR="003F194B" w:rsidRPr="00BD31C9">
        <w:t>i Östersjöfrågor</w:t>
      </w:r>
      <w:r w:rsidRPr="00BD31C9">
        <w:t xml:space="preserve"> och har på initiativ av den politiska styrgruppen skickat </w:t>
      </w:r>
      <w:r w:rsidR="000811B1" w:rsidRPr="00BD31C9">
        <w:t>ett ställningstagande</w:t>
      </w:r>
      <w:r w:rsidRPr="00BD31C9">
        <w:t xml:space="preserve"> till </w:t>
      </w:r>
      <w:r w:rsidR="000811B1" w:rsidRPr="00BD31C9">
        <w:t xml:space="preserve">bland annat </w:t>
      </w:r>
      <w:r w:rsidRPr="00BD31C9">
        <w:t xml:space="preserve">olika </w:t>
      </w:r>
      <w:r w:rsidR="000811B1" w:rsidRPr="00BD31C9">
        <w:t>m</w:t>
      </w:r>
      <w:r w:rsidR="000811B1" w:rsidRPr="00BD31C9">
        <w:t>i</w:t>
      </w:r>
      <w:r w:rsidR="000811B1" w:rsidRPr="00BD31C9">
        <w:t>nisterier i Östersjöområdet samt centrala instanser inom EU</w:t>
      </w:r>
      <w:r w:rsidR="00E60205" w:rsidRPr="00BD31C9">
        <w:t>; s</w:t>
      </w:r>
      <w:r w:rsidR="001B5813" w:rsidRPr="00BD31C9">
        <w:t>tällningst</w:t>
      </w:r>
      <w:r w:rsidR="001B5813" w:rsidRPr="00BD31C9">
        <w:t>a</w:t>
      </w:r>
      <w:r w:rsidR="001B5813" w:rsidRPr="00BD31C9">
        <w:t xml:space="preserve">gandet </w:t>
      </w:r>
      <w:proofErr w:type="spellStart"/>
      <w:r w:rsidR="001B5813" w:rsidRPr="00BD31C9">
        <w:t>utjorde</w:t>
      </w:r>
      <w:proofErr w:type="spellEnd"/>
      <w:r w:rsidR="000811B1" w:rsidRPr="00BD31C9">
        <w:t xml:space="preserve"> en uttrycklig uppmaning </w:t>
      </w:r>
      <w:r w:rsidR="001B5813" w:rsidRPr="00BD31C9">
        <w:t xml:space="preserve">om </w:t>
      </w:r>
      <w:r w:rsidRPr="00BD31C9">
        <w:t>att samtliga Östersjöstater</w:t>
      </w:r>
      <w:r w:rsidR="000811B1" w:rsidRPr="00BD31C9">
        <w:t xml:space="preserve"> sna</w:t>
      </w:r>
      <w:r w:rsidR="000811B1" w:rsidRPr="00BD31C9">
        <w:t>r</w:t>
      </w:r>
      <w:r w:rsidR="000811B1" w:rsidRPr="00BD31C9">
        <w:t>ast</w:t>
      </w:r>
      <w:r w:rsidRPr="00BD31C9">
        <w:t xml:space="preserve"> ratificerar IMOs marina miljöutskotts resolution MEPC.200 (62), som innehåller regler för att för</w:t>
      </w:r>
      <w:r w:rsidR="00E60205" w:rsidRPr="00BD31C9">
        <w:t>bjuda</w:t>
      </w:r>
      <w:r w:rsidRPr="00BD31C9">
        <w:t xml:space="preserve"> </w:t>
      </w:r>
      <w:r w:rsidR="001B5813" w:rsidRPr="00BD31C9">
        <w:t xml:space="preserve">utsläpp </w:t>
      </w:r>
      <w:r w:rsidRPr="00BD31C9">
        <w:t>av avloppsvatten från fartyg</w:t>
      </w:r>
      <w:r w:rsidR="00E60205" w:rsidRPr="00BD31C9">
        <w:t xml:space="preserve"> i Ö</w:t>
      </w:r>
      <w:r w:rsidR="00E60205" w:rsidRPr="00BD31C9">
        <w:t>s</w:t>
      </w:r>
      <w:r w:rsidR="00E60205" w:rsidRPr="00BD31C9">
        <w:t>tersjön senast 2018</w:t>
      </w:r>
      <w:r w:rsidRPr="00BD31C9">
        <w:t>.</w:t>
      </w:r>
      <w:r w:rsidR="00E60205" w:rsidRPr="00BD31C9">
        <w:t xml:space="preserve"> Ställningstagandet från B7 framhävde vikten av att ti</w:t>
      </w:r>
      <w:r w:rsidR="00E60205" w:rsidRPr="00BD31C9">
        <w:t>d</w:t>
      </w:r>
      <w:r w:rsidR="00E60205" w:rsidRPr="00BD31C9">
        <w:t>tabellen för implementeringen av resolutionen respekteras.</w:t>
      </w:r>
    </w:p>
    <w:p w:rsidR="002B7C44" w:rsidRPr="00BD31C9" w:rsidRDefault="002B7C44" w:rsidP="002B7C44">
      <w:pPr>
        <w:pStyle w:val="Rubrik2"/>
      </w:pPr>
      <w:bookmarkStart w:id="124" w:name="_Toc412712711"/>
      <w:r w:rsidRPr="00BD31C9">
        <w:t xml:space="preserve">4.6 Kultursamarbete </w:t>
      </w:r>
      <w:r w:rsidR="007F4388" w:rsidRPr="00BD31C9">
        <w:t>med Sverige</w:t>
      </w:r>
      <w:bookmarkEnd w:id="124"/>
    </w:p>
    <w:p w:rsidR="00365DAB" w:rsidRPr="008919E0" w:rsidRDefault="00365DAB" w:rsidP="00365DAB">
      <w:bookmarkStart w:id="125" w:name="_Toc410897691"/>
      <w:r w:rsidRPr="00BD31C9">
        <w:t>Vid årsskiftet 2013 ingick landskapsregeringen ett avtal med Gävle symf</w:t>
      </w:r>
      <w:r w:rsidRPr="00BD31C9">
        <w:t>o</w:t>
      </w:r>
      <w:r w:rsidRPr="00BD31C9">
        <w:t xml:space="preserve">niorkester </w:t>
      </w:r>
      <w:r w:rsidR="00E754E3" w:rsidRPr="00BD31C9">
        <w:t>om att ge</w:t>
      </w:r>
      <w:r w:rsidRPr="00BD31C9">
        <w:t xml:space="preserve"> två konserter i Ala</w:t>
      </w:r>
      <w:r w:rsidR="00E754E3" w:rsidRPr="00BD31C9">
        <w:t xml:space="preserve">ndica Kultur &amp; kongress per år. </w:t>
      </w:r>
      <w:r w:rsidRPr="00BD31C9">
        <w:t>D</w:t>
      </w:r>
      <w:r w:rsidR="00E754E3" w:rsidRPr="00BD31C9">
        <w:t>ärutöver</w:t>
      </w:r>
      <w:r w:rsidRPr="00BD31C9">
        <w:t xml:space="preserve"> samarbetar orkestern med Ålands musikinstitut i sa</w:t>
      </w:r>
      <w:r w:rsidR="00E754E3" w:rsidRPr="00BD31C9">
        <w:t>mband med sina besök på Åland. S</w:t>
      </w:r>
      <w:r w:rsidRPr="00BD31C9">
        <w:t>amarbetet kan gälla workshops för längre hunna m</w:t>
      </w:r>
      <w:r w:rsidRPr="00BD31C9">
        <w:t>u</w:t>
      </w:r>
      <w:r w:rsidRPr="00BD31C9">
        <w:t xml:space="preserve">sikstuderande, och några av institutets elever har också </w:t>
      </w:r>
      <w:proofErr w:type="gramStart"/>
      <w:r w:rsidRPr="00BD31C9">
        <w:t>givits</w:t>
      </w:r>
      <w:proofErr w:type="gramEnd"/>
      <w:r w:rsidRPr="00BD31C9">
        <w:t xml:space="preserve"> möjlighet att spela med orkestern. De konserter som Gävle symfoniorkester hittills har </w:t>
      </w:r>
      <w:proofErr w:type="gramStart"/>
      <w:r w:rsidRPr="00BD31C9">
        <w:t>givit</w:t>
      </w:r>
      <w:proofErr w:type="gramEnd"/>
      <w:r w:rsidRPr="00BD31C9">
        <w:t xml:space="preserve"> har varit </w:t>
      </w:r>
      <w:r w:rsidR="00E754E3" w:rsidRPr="00BD31C9">
        <w:t xml:space="preserve">mycket </w:t>
      </w:r>
      <w:r w:rsidRPr="00BD31C9">
        <w:t>välbesökta</w:t>
      </w:r>
      <w:r w:rsidR="00E754E3" w:rsidRPr="00BD31C9">
        <w:t>.</w:t>
      </w:r>
      <w:r w:rsidRPr="00BD31C9">
        <w:t xml:space="preserve"> </w:t>
      </w:r>
      <w:r w:rsidR="008919E0" w:rsidRPr="00BD31C9">
        <w:t>Under året ska a</w:t>
      </w:r>
      <w:r w:rsidRPr="00BD31C9">
        <w:t xml:space="preserve">vtalet </w:t>
      </w:r>
      <w:r w:rsidR="00E754E3" w:rsidRPr="00BD31C9">
        <w:t>med Gävle symf</w:t>
      </w:r>
      <w:r w:rsidR="00E754E3" w:rsidRPr="00BD31C9">
        <w:t>o</w:t>
      </w:r>
      <w:r w:rsidR="00E754E3" w:rsidRPr="00BD31C9">
        <w:t>niorkester</w:t>
      </w:r>
      <w:r w:rsidR="008919E0" w:rsidRPr="00BD31C9">
        <w:t xml:space="preserve"> </w:t>
      </w:r>
      <w:r w:rsidRPr="00BD31C9">
        <w:t>utvärderas med förhoppning om ett fortsatt</w:t>
      </w:r>
      <w:r w:rsidRPr="008919E0">
        <w:t xml:space="preserve"> samarbete.</w:t>
      </w:r>
      <w:r w:rsidR="00E754E3" w:rsidRPr="008919E0">
        <w:t xml:space="preserve"> </w:t>
      </w:r>
    </w:p>
    <w:p w:rsidR="00365DAB" w:rsidRPr="008919E0" w:rsidRDefault="00365DAB" w:rsidP="00511F25">
      <w:pPr>
        <w:ind w:firstLine="284"/>
      </w:pPr>
      <w:r w:rsidRPr="008919E0">
        <w:t>I början av 2014 blev landskapsregeringen medlem i Filmregion Stoc</w:t>
      </w:r>
      <w:r w:rsidRPr="008919E0">
        <w:t>k</w:t>
      </w:r>
      <w:r w:rsidRPr="008919E0">
        <w:t>holm-Mälardalen. Orsaken till detta var att flera produktionsbolag under de senaste åren har förlagt sina filminspelningar till Åland och dessa produk</w:t>
      </w:r>
      <w:r w:rsidRPr="008919E0">
        <w:t>t</w:t>
      </w:r>
      <w:r w:rsidRPr="008919E0">
        <w:t>ioner har beviljats</w:t>
      </w:r>
      <w:r w:rsidRPr="00E754E3">
        <w:t xml:space="preserve"> finansiellt stöd u</w:t>
      </w:r>
      <w:r w:rsidR="00E754E3" w:rsidRPr="00E754E3">
        <w:t>r</w:t>
      </w:r>
      <w:r w:rsidRPr="00E754E3">
        <w:t xml:space="preserve"> penningautomatmedel. Produktionerna har både ett kulturellt och ett kommersiellt värde. I juni </w:t>
      </w:r>
      <w:r w:rsidR="008919E0">
        <w:t xml:space="preserve">2014 tillsatte </w:t>
      </w:r>
      <w:r w:rsidR="008919E0" w:rsidRPr="008919E0">
        <w:t>lan</w:t>
      </w:r>
      <w:r w:rsidR="008919E0" w:rsidRPr="008919E0">
        <w:t>d</w:t>
      </w:r>
      <w:r w:rsidR="008919E0" w:rsidRPr="008919E0">
        <w:t>skapsregeri</w:t>
      </w:r>
      <w:r w:rsidR="008919E0">
        <w:t>n</w:t>
      </w:r>
      <w:r w:rsidR="008919E0" w:rsidRPr="008919E0">
        <w:t>gen</w:t>
      </w:r>
      <w:r w:rsidRPr="008919E0">
        <w:t xml:space="preserve"> en arbetsgrupp med uppdrag att utarbeta ett förslag dels till en smidig finansieringsform för spelfilmsproduktioner och dels att i övrigt </w:t>
      </w:r>
      <w:r w:rsidRPr="008919E0">
        <w:lastRenderedPageBreak/>
        <w:t xml:space="preserve">ge </w:t>
      </w:r>
      <w:r w:rsidR="008919E0" w:rsidRPr="008919E0">
        <w:t xml:space="preserve">förslag till hur filmintresset </w:t>
      </w:r>
      <w:r w:rsidRPr="008919E0">
        <w:t xml:space="preserve">och -kunnandet kan gynnas. Arbetsgruppen ska avlägga sitt betänkande under våren 2015. </w:t>
      </w:r>
    </w:p>
    <w:p w:rsidR="000C0461" w:rsidRDefault="00365DAB" w:rsidP="00365DAB">
      <w:pPr>
        <w:pStyle w:val="Rubrik2"/>
        <w:rPr>
          <w:lang w:val="sv-FI"/>
        </w:rPr>
      </w:pPr>
      <w:r w:rsidRPr="00365DAB">
        <w:rPr>
          <w:rFonts w:cs="Times New Roman"/>
          <w:bCs w:val="0"/>
          <w:iCs w:val="0"/>
          <w:sz w:val="22"/>
          <w:szCs w:val="24"/>
        </w:rPr>
        <w:t xml:space="preserve"> </w:t>
      </w:r>
      <w:bookmarkStart w:id="126" w:name="_Toc412712712"/>
      <w:r w:rsidR="000C0461">
        <w:rPr>
          <w:lang w:val="sv-FI"/>
        </w:rPr>
        <w:t>4.</w:t>
      </w:r>
      <w:r w:rsidR="002B7C44">
        <w:rPr>
          <w:lang w:val="sv-FI"/>
        </w:rPr>
        <w:t>7</w:t>
      </w:r>
      <w:r w:rsidR="000C0461" w:rsidRPr="004406DE">
        <w:rPr>
          <w:lang w:val="sv-FI"/>
        </w:rPr>
        <w:t xml:space="preserve"> BSPC</w:t>
      </w:r>
      <w:bookmarkEnd w:id="125"/>
      <w:r w:rsidR="00F33A5D">
        <w:rPr>
          <w:lang w:val="sv-FI"/>
        </w:rPr>
        <w:t xml:space="preserve"> – den parlamentariska Östersjökonferensen</w:t>
      </w:r>
      <w:bookmarkEnd w:id="126"/>
    </w:p>
    <w:p w:rsidR="009C0E4E" w:rsidRPr="00EE65FB" w:rsidRDefault="00AE3D85" w:rsidP="00084074">
      <w:pPr>
        <w:rPr>
          <w:lang w:val="sv-FI"/>
        </w:rPr>
      </w:pPr>
      <w:r>
        <w:rPr>
          <w:lang w:val="sv-FI"/>
        </w:rPr>
        <w:t xml:space="preserve">Ålands </w:t>
      </w:r>
      <w:r w:rsidRPr="00AE3D85">
        <w:rPr>
          <w:lang w:val="sv-FI"/>
        </w:rPr>
        <w:t xml:space="preserve">lagting </w:t>
      </w:r>
      <w:r w:rsidR="005828EE">
        <w:rPr>
          <w:lang w:val="sv-FI"/>
        </w:rPr>
        <w:t xml:space="preserve">är medlem </w:t>
      </w:r>
      <w:r w:rsidR="003E7227" w:rsidRPr="00AE3D85">
        <w:rPr>
          <w:lang w:val="sv-FI"/>
        </w:rPr>
        <w:t>i</w:t>
      </w:r>
      <w:r w:rsidR="003E7227">
        <w:rPr>
          <w:lang w:val="sv-FI"/>
        </w:rPr>
        <w:t xml:space="preserve"> Östersjökonferensen (BSPC), </w:t>
      </w:r>
      <w:r w:rsidR="00F33A5D">
        <w:rPr>
          <w:lang w:val="sv-FI"/>
        </w:rPr>
        <w:t xml:space="preserve">ett forum </w:t>
      </w:r>
      <w:r w:rsidR="00F33A5D" w:rsidRPr="00F33A5D">
        <w:rPr>
          <w:lang w:val="sv-FI"/>
        </w:rPr>
        <w:t>där de olika parlamenten från Östersjöregionen möts i en dialog om aktuella pol</w:t>
      </w:r>
      <w:r w:rsidR="00F33A5D" w:rsidRPr="00F33A5D">
        <w:rPr>
          <w:lang w:val="sv-FI"/>
        </w:rPr>
        <w:t>i</w:t>
      </w:r>
      <w:r w:rsidR="00F33A5D" w:rsidRPr="00F33A5D">
        <w:rPr>
          <w:lang w:val="sv-FI"/>
        </w:rPr>
        <w:t>tiska frågor som berör regionen</w:t>
      </w:r>
      <w:r w:rsidR="00F33A5D">
        <w:rPr>
          <w:lang w:val="sv-FI"/>
        </w:rPr>
        <w:t xml:space="preserve">. </w:t>
      </w:r>
      <w:r w:rsidR="00F33A5D" w:rsidRPr="00F33A5D">
        <w:rPr>
          <w:lang w:val="sv-FI"/>
        </w:rPr>
        <w:t xml:space="preserve">Konferensen arrangeras en gång per år </w:t>
      </w:r>
      <w:r w:rsidR="00F33A5D">
        <w:rPr>
          <w:lang w:val="sv-FI"/>
        </w:rPr>
        <w:t>och bidrar</w:t>
      </w:r>
      <w:r w:rsidR="00F33A5D" w:rsidRPr="00F33A5D">
        <w:rPr>
          <w:lang w:val="sv-FI"/>
        </w:rPr>
        <w:t xml:space="preserve"> till ett ökat informationsutbyte och nätverksbyggande mellan parl</w:t>
      </w:r>
      <w:r w:rsidR="00F33A5D" w:rsidRPr="00F33A5D">
        <w:rPr>
          <w:lang w:val="sv-FI"/>
        </w:rPr>
        <w:t>a</w:t>
      </w:r>
      <w:r w:rsidR="00F33A5D" w:rsidRPr="00F33A5D">
        <w:rPr>
          <w:lang w:val="sv-FI"/>
        </w:rPr>
        <w:t>mentariker</w:t>
      </w:r>
      <w:r w:rsidR="00F33A5D">
        <w:rPr>
          <w:lang w:val="sv-FI"/>
        </w:rPr>
        <w:t>na</w:t>
      </w:r>
      <w:r w:rsidR="00F33A5D" w:rsidRPr="00F33A5D">
        <w:rPr>
          <w:lang w:val="sv-FI"/>
        </w:rPr>
        <w:t>.</w:t>
      </w:r>
      <w:r w:rsidR="00F33A5D">
        <w:rPr>
          <w:lang w:val="sv-FI"/>
        </w:rPr>
        <w:t xml:space="preserve"> Vid konferensen antas en resolution med uppmaningar till regeringarna i Östersjöområdet; lagtinget vidarebefordrar denna resolution till landskapsregeringen med en åtföljande begäran om landskapsregerin</w:t>
      </w:r>
      <w:r w:rsidR="00F33A5D">
        <w:rPr>
          <w:lang w:val="sv-FI"/>
        </w:rPr>
        <w:t>g</w:t>
      </w:r>
      <w:r w:rsidR="00F33A5D">
        <w:rPr>
          <w:lang w:val="sv-FI"/>
        </w:rPr>
        <w:t xml:space="preserve">ens synpunkter på resolutionen samt en redogörelse </w:t>
      </w:r>
      <w:r w:rsidR="009B2778">
        <w:rPr>
          <w:lang w:val="sv-FI"/>
        </w:rPr>
        <w:t>över vad landskapsr</w:t>
      </w:r>
      <w:r w:rsidR="009B2778">
        <w:rPr>
          <w:lang w:val="sv-FI"/>
        </w:rPr>
        <w:t>e</w:t>
      </w:r>
      <w:r w:rsidR="009B2778">
        <w:rPr>
          <w:lang w:val="sv-FI"/>
        </w:rPr>
        <w:t>geringen avs</w:t>
      </w:r>
      <w:r w:rsidR="00F33A5D">
        <w:rPr>
          <w:lang w:val="sv-FI"/>
        </w:rPr>
        <w:t>er göra – alternativt redan gjort – med anledning av resolutio</w:t>
      </w:r>
      <w:r w:rsidR="00F33A5D">
        <w:rPr>
          <w:lang w:val="sv-FI"/>
        </w:rPr>
        <w:t>n</w:t>
      </w:r>
      <w:r w:rsidR="00F33A5D">
        <w:rPr>
          <w:lang w:val="sv-FI"/>
        </w:rPr>
        <w:t>en.</w:t>
      </w:r>
      <w:r w:rsidR="009C0E4E">
        <w:rPr>
          <w:lang w:val="sv-FI"/>
        </w:rPr>
        <w:t xml:space="preserve"> Landskapsregeringens redogörelse med anledning av den senaste res</w:t>
      </w:r>
      <w:r w:rsidR="009C0E4E">
        <w:rPr>
          <w:lang w:val="sv-FI"/>
        </w:rPr>
        <w:t>o</w:t>
      </w:r>
      <w:r w:rsidR="009C0E4E">
        <w:rPr>
          <w:lang w:val="sv-FI"/>
        </w:rPr>
        <w:t xml:space="preserve">lution som antogs </w:t>
      </w:r>
      <w:r w:rsidR="009C0E4E" w:rsidRPr="00EE65FB">
        <w:rPr>
          <w:lang w:val="sv-FI"/>
        </w:rPr>
        <w:t>vid BSPC:s konferens i augusti 2014 kommer att tillstä</w:t>
      </w:r>
      <w:r w:rsidR="009C0E4E" w:rsidRPr="00EE65FB">
        <w:rPr>
          <w:lang w:val="sv-FI"/>
        </w:rPr>
        <w:t>l</w:t>
      </w:r>
      <w:r w:rsidR="00971064" w:rsidRPr="00EE65FB">
        <w:rPr>
          <w:lang w:val="sv-FI"/>
        </w:rPr>
        <w:t>las lagtinget i mars 2015, och fokuserar på områden som miljö, socialvård samt kulturarv.</w:t>
      </w:r>
    </w:p>
    <w:p w:rsidR="00F33A5D" w:rsidRPr="00EE65FB" w:rsidRDefault="00F33A5D" w:rsidP="00084074">
      <w:pPr>
        <w:rPr>
          <w:lang w:val="sv-FI"/>
        </w:rPr>
      </w:pPr>
    </w:p>
    <w:p w:rsidR="00B7545F" w:rsidRDefault="00B7545F" w:rsidP="00B7545F">
      <w:pPr>
        <w:pStyle w:val="Rubrik1"/>
        <w:numPr>
          <w:ilvl w:val="0"/>
          <w:numId w:val="0"/>
        </w:numPr>
      </w:pPr>
      <w:bookmarkStart w:id="127" w:name="_Toc412712713"/>
      <w:r w:rsidRPr="00EE65FB">
        <w:t>5. Bilaga, Årsberättelse</w:t>
      </w:r>
      <w:r>
        <w:t xml:space="preserve"> för aktiviteter i Nordiska ministerrådet 2014</w:t>
      </w:r>
      <w:bookmarkEnd w:id="127"/>
    </w:p>
    <w:p w:rsidR="00A95797" w:rsidRDefault="00A95797" w:rsidP="00E560B4">
      <w:pPr>
        <w:pStyle w:val="ANormal"/>
      </w:pPr>
    </w:p>
    <w:p w:rsidR="00EB1371" w:rsidRDefault="00EB1371" w:rsidP="00E560B4">
      <w:pPr>
        <w:pStyle w:val="ANormal"/>
      </w:pPr>
    </w:p>
    <w:p w:rsidR="00EB1371" w:rsidRDefault="00EB1371" w:rsidP="00E560B4">
      <w:pPr>
        <w:pStyle w:val="ANormal"/>
      </w:pPr>
    </w:p>
    <w:p w:rsidR="00EB1371" w:rsidRDefault="00EB1371" w:rsidP="00E560B4">
      <w:pPr>
        <w:pStyle w:val="ANormal"/>
        <w:sectPr w:rsidR="00EB1371" w:rsidSect="007215E2">
          <w:headerReference w:type="even" r:id="rId11"/>
          <w:headerReference w:type="default" r:id="rId12"/>
          <w:footerReference w:type="first" r:id="rId13"/>
          <w:pgSz w:w="11906" w:h="16838" w:code="9"/>
          <w:pgMar w:top="1134" w:right="3175" w:bottom="1247" w:left="2041" w:header="737" w:footer="737" w:gutter="0"/>
          <w:cols w:space="720"/>
          <w:formProt w:val="0"/>
          <w:titlePg/>
          <w:docGrid w:linePitch="299"/>
        </w:sectPr>
      </w:pPr>
    </w:p>
    <w:p w:rsidR="00EB1371" w:rsidRDefault="00EB1371" w:rsidP="00EB1371">
      <w:pPr>
        <w:pStyle w:val="ANormal"/>
      </w:pPr>
    </w:p>
    <w:tbl>
      <w:tblPr>
        <w:tblW w:w="5000" w:type="pct"/>
        <w:tblLayout w:type="fixed"/>
        <w:tblCellMar>
          <w:left w:w="0" w:type="dxa"/>
          <w:right w:w="0" w:type="dxa"/>
        </w:tblCellMar>
        <w:tblLook w:val="0000" w:firstRow="0" w:lastRow="0" w:firstColumn="0" w:lastColumn="0" w:noHBand="0" w:noVBand="0"/>
      </w:tblPr>
      <w:tblGrid>
        <w:gridCol w:w="605"/>
        <w:gridCol w:w="3095"/>
        <w:gridCol w:w="1204"/>
        <w:gridCol w:w="1786"/>
      </w:tblGrid>
      <w:tr w:rsidR="00EB1371" w:rsidTr="00EB1371">
        <w:trPr>
          <w:cantSplit/>
          <w:trHeight w:val="20"/>
        </w:trPr>
        <w:tc>
          <w:tcPr>
            <w:tcW w:w="861" w:type="dxa"/>
            <w:vMerge w:val="restart"/>
          </w:tcPr>
          <w:p w:rsidR="00EB1371" w:rsidRDefault="004855BC" w:rsidP="00EB1371">
            <w:pPr>
              <w:pStyle w:val="xLedtext"/>
              <w:keepNext/>
              <w:rPr>
                <w:noProof/>
              </w:rPr>
            </w:pPr>
            <w:r>
              <w:rPr>
                <w:noProof/>
              </w:rPr>
              <w:pict>
                <v:shape id="Bildobjekt 2" o:spid="_x0000_s1032" type="#_x0000_t75" alt="regeringen_svartvit" style="position:absolute;margin-left:0;margin-top:-3.25pt;width:177.7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4" o:title="regeringen_svartvit"/>
                </v:shape>
              </w:pict>
            </w:r>
          </w:p>
        </w:tc>
        <w:tc>
          <w:tcPr>
            <w:tcW w:w="8736" w:type="dxa"/>
            <w:gridSpan w:val="3"/>
            <w:vAlign w:val="bottom"/>
          </w:tcPr>
          <w:p w:rsidR="00EB1371" w:rsidRDefault="004855BC" w:rsidP="00EB1371">
            <w:pPr>
              <w:pStyle w:val="xMellanrum"/>
            </w:pPr>
            <w:r>
              <w:rPr>
                <w:noProof/>
                <w:lang w:val="sv-FI" w:eastAsia="sv-FI"/>
              </w:rPr>
              <w:pict>
                <v:shape id="Bildobjekt 1" o:spid="_x0000_i1026" type="#_x0000_t75" alt="5x5px" style="width:3.75pt;height:3.75pt;visibility:visible;mso-wrap-style:square">
                  <v:imagedata r:id="rId10" o:title="5x5px"/>
                </v:shape>
              </w:pict>
            </w:r>
          </w:p>
        </w:tc>
      </w:tr>
      <w:tr w:rsidR="00EB1371" w:rsidTr="00EB1371">
        <w:trPr>
          <w:cantSplit/>
          <w:trHeight w:val="299"/>
        </w:trPr>
        <w:tc>
          <w:tcPr>
            <w:tcW w:w="861" w:type="dxa"/>
            <w:vMerge/>
          </w:tcPr>
          <w:p w:rsidR="00EB1371" w:rsidRDefault="00EB1371" w:rsidP="00EB1371">
            <w:pPr>
              <w:pStyle w:val="xLedtext"/>
            </w:pPr>
          </w:p>
        </w:tc>
        <w:tc>
          <w:tcPr>
            <w:tcW w:w="4448" w:type="dxa"/>
            <w:vAlign w:val="bottom"/>
          </w:tcPr>
          <w:p w:rsidR="00EB1371" w:rsidRDefault="00EB1371" w:rsidP="00EB1371">
            <w:pPr>
              <w:pStyle w:val="xAvsandare1"/>
            </w:pPr>
          </w:p>
        </w:tc>
        <w:tc>
          <w:tcPr>
            <w:tcW w:w="4288" w:type="dxa"/>
            <w:gridSpan w:val="2"/>
            <w:vAlign w:val="bottom"/>
          </w:tcPr>
          <w:p w:rsidR="00EB1371" w:rsidRDefault="00EB1371" w:rsidP="00EB1371">
            <w:pPr>
              <w:pStyle w:val="xDokTypNr"/>
            </w:pPr>
            <w:r>
              <w:t xml:space="preserve">BILAGA </w:t>
            </w:r>
          </w:p>
        </w:tc>
      </w:tr>
      <w:tr w:rsidR="00EB1371" w:rsidTr="00EB1371">
        <w:trPr>
          <w:cantSplit/>
          <w:trHeight w:val="238"/>
        </w:trPr>
        <w:tc>
          <w:tcPr>
            <w:tcW w:w="861" w:type="dxa"/>
            <w:vMerge/>
          </w:tcPr>
          <w:p w:rsidR="00EB1371" w:rsidRDefault="00EB1371" w:rsidP="00EB1371">
            <w:pPr>
              <w:pStyle w:val="xLedtext"/>
            </w:pPr>
          </w:p>
        </w:tc>
        <w:tc>
          <w:tcPr>
            <w:tcW w:w="4448" w:type="dxa"/>
            <w:vAlign w:val="bottom"/>
          </w:tcPr>
          <w:p w:rsidR="00EB1371" w:rsidRDefault="00EB1371" w:rsidP="00EB1371">
            <w:pPr>
              <w:pStyle w:val="xLedtext"/>
            </w:pPr>
          </w:p>
        </w:tc>
        <w:tc>
          <w:tcPr>
            <w:tcW w:w="1725" w:type="dxa"/>
            <w:vAlign w:val="bottom"/>
          </w:tcPr>
          <w:p w:rsidR="00EB1371" w:rsidRPr="00A87342" w:rsidRDefault="00EB1371" w:rsidP="00EB1371">
            <w:pPr>
              <w:pStyle w:val="xLedtext"/>
            </w:pPr>
            <w:r w:rsidRPr="00A87342">
              <w:t>Datum</w:t>
            </w:r>
          </w:p>
        </w:tc>
        <w:tc>
          <w:tcPr>
            <w:tcW w:w="2563" w:type="dxa"/>
            <w:vAlign w:val="bottom"/>
          </w:tcPr>
          <w:p w:rsidR="00EB1371" w:rsidRDefault="00EB1371" w:rsidP="00EB1371">
            <w:pPr>
              <w:pStyle w:val="xLedtext"/>
            </w:pPr>
          </w:p>
        </w:tc>
      </w:tr>
      <w:tr w:rsidR="00EB1371" w:rsidTr="00EB1371">
        <w:trPr>
          <w:cantSplit/>
          <w:trHeight w:val="238"/>
        </w:trPr>
        <w:tc>
          <w:tcPr>
            <w:tcW w:w="861" w:type="dxa"/>
            <w:vMerge/>
          </w:tcPr>
          <w:p w:rsidR="00EB1371" w:rsidRDefault="00EB1371" w:rsidP="00EB1371">
            <w:pPr>
              <w:pStyle w:val="xAvsandare2"/>
            </w:pPr>
          </w:p>
        </w:tc>
        <w:tc>
          <w:tcPr>
            <w:tcW w:w="4448" w:type="dxa"/>
            <w:vAlign w:val="center"/>
          </w:tcPr>
          <w:p w:rsidR="00EB1371" w:rsidRDefault="00EB1371" w:rsidP="00EB1371">
            <w:pPr>
              <w:pStyle w:val="xAvsandare2"/>
            </w:pPr>
          </w:p>
        </w:tc>
        <w:tc>
          <w:tcPr>
            <w:tcW w:w="1725" w:type="dxa"/>
            <w:vAlign w:val="center"/>
          </w:tcPr>
          <w:p w:rsidR="00EB1371" w:rsidRPr="00A87342" w:rsidRDefault="00EB1371" w:rsidP="00EB1371">
            <w:pPr>
              <w:pStyle w:val="xDatum1"/>
            </w:pPr>
            <w:r w:rsidRPr="00A87342">
              <w:t>2015-02-26</w:t>
            </w:r>
          </w:p>
        </w:tc>
        <w:tc>
          <w:tcPr>
            <w:tcW w:w="2563" w:type="dxa"/>
            <w:vAlign w:val="center"/>
          </w:tcPr>
          <w:p w:rsidR="00EB1371" w:rsidRDefault="00EB1371" w:rsidP="00EB1371">
            <w:pPr>
              <w:pStyle w:val="xBeteckning1"/>
            </w:pPr>
          </w:p>
        </w:tc>
      </w:tr>
      <w:tr w:rsidR="00EB1371" w:rsidTr="00EB1371">
        <w:trPr>
          <w:cantSplit/>
          <w:trHeight w:val="238"/>
        </w:trPr>
        <w:tc>
          <w:tcPr>
            <w:tcW w:w="861" w:type="dxa"/>
            <w:vMerge/>
          </w:tcPr>
          <w:p w:rsidR="00EB1371" w:rsidRDefault="00EB1371" w:rsidP="00EB1371">
            <w:pPr>
              <w:pStyle w:val="xLedtext"/>
            </w:pPr>
          </w:p>
        </w:tc>
        <w:tc>
          <w:tcPr>
            <w:tcW w:w="4448" w:type="dxa"/>
            <w:vAlign w:val="bottom"/>
          </w:tcPr>
          <w:p w:rsidR="00EB1371" w:rsidRDefault="00EB1371" w:rsidP="00EB1371">
            <w:pPr>
              <w:pStyle w:val="xLedtext"/>
            </w:pPr>
          </w:p>
        </w:tc>
        <w:tc>
          <w:tcPr>
            <w:tcW w:w="1725" w:type="dxa"/>
            <w:vAlign w:val="bottom"/>
          </w:tcPr>
          <w:p w:rsidR="00EB1371" w:rsidRDefault="00EB1371" w:rsidP="00EB1371">
            <w:pPr>
              <w:pStyle w:val="xLedtext"/>
            </w:pPr>
          </w:p>
        </w:tc>
        <w:tc>
          <w:tcPr>
            <w:tcW w:w="2563" w:type="dxa"/>
            <w:vAlign w:val="bottom"/>
          </w:tcPr>
          <w:p w:rsidR="00EB1371" w:rsidRDefault="00EB1371" w:rsidP="00EB1371">
            <w:pPr>
              <w:pStyle w:val="xLedtext"/>
            </w:pPr>
          </w:p>
        </w:tc>
      </w:tr>
      <w:tr w:rsidR="00EB1371" w:rsidTr="00EB1371">
        <w:trPr>
          <w:cantSplit/>
          <w:trHeight w:val="238"/>
        </w:trPr>
        <w:tc>
          <w:tcPr>
            <w:tcW w:w="861" w:type="dxa"/>
            <w:vMerge/>
            <w:tcBorders>
              <w:bottom w:val="single" w:sz="4" w:space="0" w:color="auto"/>
            </w:tcBorders>
          </w:tcPr>
          <w:p w:rsidR="00EB1371" w:rsidRDefault="00EB1371" w:rsidP="00EB1371">
            <w:pPr>
              <w:pStyle w:val="xAvsandare3"/>
            </w:pPr>
          </w:p>
        </w:tc>
        <w:tc>
          <w:tcPr>
            <w:tcW w:w="4448" w:type="dxa"/>
            <w:tcBorders>
              <w:bottom w:val="single" w:sz="4" w:space="0" w:color="auto"/>
            </w:tcBorders>
            <w:vAlign w:val="center"/>
          </w:tcPr>
          <w:p w:rsidR="00EB1371" w:rsidRDefault="00EB1371" w:rsidP="00EB1371">
            <w:pPr>
              <w:pStyle w:val="xAvsandare3"/>
            </w:pPr>
          </w:p>
        </w:tc>
        <w:tc>
          <w:tcPr>
            <w:tcW w:w="1725" w:type="dxa"/>
            <w:tcBorders>
              <w:bottom w:val="single" w:sz="4" w:space="0" w:color="auto"/>
            </w:tcBorders>
            <w:vAlign w:val="center"/>
          </w:tcPr>
          <w:p w:rsidR="00EB1371" w:rsidRDefault="00EB1371" w:rsidP="00EB1371">
            <w:pPr>
              <w:pStyle w:val="xDatum2"/>
            </w:pPr>
          </w:p>
        </w:tc>
        <w:tc>
          <w:tcPr>
            <w:tcW w:w="2563" w:type="dxa"/>
            <w:tcBorders>
              <w:bottom w:val="single" w:sz="4" w:space="0" w:color="auto"/>
            </w:tcBorders>
            <w:vAlign w:val="center"/>
          </w:tcPr>
          <w:p w:rsidR="00EB1371" w:rsidRDefault="00EB1371" w:rsidP="00EB1371">
            <w:pPr>
              <w:pStyle w:val="xBeteckning2"/>
            </w:pPr>
          </w:p>
        </w:tc>
      </w:tr>
      <w:tr w:rsidR="00EB1371" w:rsidTr="00EB1371">
        <w:trPr>
          <w:cantSplit/>
          <w:trHeight w:val="238"/>
        </w:trPr>
        <w:tc>
          <w:tcPr>
            <w:tcW w:w="861" w:type="dxa"/>
            <w:tcBorders>
              <w:top w:val="single" w:sz="4" w:space="0" w:color="auto"/>
            </w:tcBorders>
            <w:vAlign w:val="bottom"/>
          </w:tcPr>
          <w:p w:rsidR="00EB1371" w:rsidRDefault="00EB1371" w:rsidP="00EB1371">
            <w:pPr>
              <w:pStyle w:val="xLedtext"/>
            </w:pPr>
          </w:p>
        </w:tc>
        <w:tc>
          <w:tcPr>
            <w:tcW w:w="4448" w:type="dxa"/>
            <w:tcBorders>
              <w:top w:val="single" w:sz="4" w:space="0" w:color="auto"/>
            </w:tcBorders>
            <w:vAlign w:val="bottom"/>
          </w:tcPr>
          <w:p w:rsidR="00EB1371" w:rsidRDefault="00EB1371" w:rsidP="00EB1371">
            <w:pPr>
              <w:pStyle w:val="xLedtext"/>
            </w:pPr>
          </w:p>
        </w:tc>
        <w:tc>
          <w:tcPr>
            <w:tcW w:w="4288" w:type="dxa"/>
            <w:gridSpan w:val="2"/>
            <w:tcBorders>
              <w:top w:val="single" w:sz="4" w:space="0" w:color="auto"/>
            </w:tcBorders>
            <w:vAlign w:val="bottom"/>
          </w:tcPr>
          <w:p w:rsidR="00EB1371" w:rsidRDefault="00EB1371" w:rsidP="00EB1371">
            <w:pPr>
              <w:pStyle w:val="xLedtext"/>
            </w:pPr>
          </w:p>
        </w:tc>
      </w:tr>
    </w:tbl>
    <w:p w:rsidR="00EB1371" w:rsidRDefault="00EB1371" w:rsidP="00EB1371">
      <w:pPr>
        <w:rPr>
          <w:b/>
          <w:bCs/>
        </w:rPr>
        <w:sectPr w:rsidR="00EB1371" w:rsidSect="00EB1371">
          <w:footerReference w:type="even" r:id="rId15"/>
          <w:footerReference w:type="default" r:id="rId16"/>
          <w:pgSz w:w="11906" w:h="16838" w:code="9"/>
          <w:pgMar w:top="1134" w:right="3175" w:bottom="1247" w:left="2041" w:header="737" w:footer="737" w:gutter="0"/>
          <w:pgNumType w:start="1"/>
          <w:cols w:space="720"/>
          <w:formProt w:val="0"/>
          <w:titlePg/>
          <w:docGrid w:linePitch="299"/>
        </w:sectPr>
      </w:pPr>
    </w:p>
    <w:p w:rsidR="00EB1371" w:rsidRDefault="00EB1371" w:rsidP="00EB1371">
      <w:pPr>
        <w:pStyle w:val="ArendeOverRubrik"/>
      </w:pPr>
    </w:p>
    <w:p w:rsidR="00EB1371" w:rsidRDefault="00EB1371" w:rsidP="00EB1371">
      <w:pPr>
        <w:pStyle w:val="ArendeRubrik"/>
      </w:pPr>
    </w:p>
    <w:p w:rsidR="00EB1371" w:rsidRDefault="00EB1371" w:rsidP="00EB1371">
      <w:pPr>
        <w:pStyle w:val="ArendeRubrik"/>
      </w:pPr>
      <w:r>
        <w:t>Årsberättelse för aktiviteter i Nordiska ministerrådet 2014</w:t>
      </w:r>
    </w:p>
    <w:p w:rsidR="00EB1371" w:rsidRPr="00990D58" w:rsidRDefault="00EB1371" w:rsidP="00EB1371">
      <w:pPr>
        <w:rPr>
          <w:color w:val="7F7F7F"/>
        </w:rPr>
      </w:pPr>
    </w:p>
    <w:p w:rsidR="00EB1371" w:rsidRPr="00990D58" w:rsidRDefault="00EB1371" w:rsidP="00EB1371">
      <w:pPr>
        <w:pStyle w:val="Innehllsfrteckningsrubrik"/>
        <w:rPr>
          <w:color w:val="auto"/>
        </w:rPr>
      </w:pPr>
      <w:r w:rsidRPr="00990D58">
        <w:rPr>
          <w:color w:val="auto"/>
          <w:lang w:val="sv-SE"/>
        </w:rPr>
        <w:t>Innehåll</w:t>
      </w:r>
    </w:p>
    <w:p w:rsidR="00EB1371" w:rsidRPr="00EB1371" w:rsidRDefault="00EB1371" w:rsidP="00EB1371">
      <w:pPr>
        <w:pStyle w:val="Innehll1"/>
        <w:rPr>
          <w:rFonts w:ascii="Calibri" w:hAnsi="Calibri"/>
          <w:sz w:val="22"/>
          <w:szCs w:val="22"/>
          <w:lang w:val="sv-FI" w:eastAsia="sv-FI"/>
        </w:rPr>
      </w:pPr>
      <w:r>
        <w:fldChar w:fldCharType="begin"/>
      </w:r>
      <w:r>
        <w:instrText xml:space="preserve"> TOC \o "1-3" \h \z \u </w:instrText>
      </w:r>
      <w:r>
        <w:fldChar w:fldCharType="separate"/>
      </w:r>
      <w:hyperlink w:anchor="_Toc412702839" w:history="1">
        <w:r w:rsidRPr="006A1109">
          <w:rPr>
            <w:rStyle w:val="Hyperlnk"/>
          </w:rPr>
          <w:t>1. Åland i Nordiska ministerrådet</w:t>
        </w:r>
        <w:r>
          <w:rPr>
            <w:webHidden/>
          </w:rPr>
          <w:tab/>
        </w:r>
        <w:r>
          <w:rPr>
            <w:webHidden/>
          </w:rPr>
          <w:fldChar w:fldCharType="begin"/>
        </w:r>
        <w:r>
          <w:rPr>
            <w:webHidden/>
          </w:rPr>
          <w:instrText xml:space="preserve"> PAGEREF _Toc412702839 \h </w:instrText>
        </w:r>
        <w:r>
          <w:rPr>
            <w:webHidden/>
          </w:rPr>
        </w:r>
        <w:r>
          <w:rPr>
            <w:webHidden/>
          </w:rPr>
          <w:fldChar w:fldCharType="separate"/>
        </w:r>
        <w:r>
          <w:rPr>
            <w:webHidden/>
          </w:rPr>
          <w:t>1</w:t>
        </w:r>
        <w:r>
          <w:rPr>
            <w:webHidden/>
          </w:rPr>
          <w:fldChar w:fldCharType="end"/>
        </w:r>
      </w:hyperlink>
    </w:p>
    <w:p w:rsidR="00EB1371" w:rsidRPr="00EB1371" w:rsidRDefault="004855BC" w:rsidP="00EB1371">
      <w:pPr>
        <w:pStyle w:val="Innehll2"/>
        <w:rPr>
          <w:rFonts w:ascii="Calibri" w:hAnsi="Calibri"/>
          <w:sz w:val="22"/>
          <w:szCs w:val="22"/>
          <w:lang w:val="sv-FI" w:eastAsia="sv-FI"/>
        </w:rPr>
      </w:pPr>
      <w:hyperlink w:anchor="_Toc412702840" w:history="1">
        <w:r w:rsidR="00EB1371" w:rsidRPr="006A1109">
          <w:rPr>
            <w:rStyle w:val="Hyperlnk"/>
          </w:rPr>
          <w:t>1.1 Ansvariga ministrar</w:t>
        </w:r>
        <w:r w:rsidR="00EB1371">
          <w:rPr>
            <w:webHidden/>
          </w:rPr>
          <w:tab/>
        </w:r>
        <w:r w:rsidR="00EB1371">
          <w:rPr>
            <w:webHidden/>
          </w:rPr>
          <w:fldChar w:fldCharType="begin"/>
        </w:r>
        <w:r w:rsidR="00EB1371">
          <w:rPr>
            <w:webHidden/>
          </w:rPr>
          <w:instrText xml:space="preserve"> PAGEREF _Toc412702840 \h </w:instrText>
        </w:r>
        <w:r w:rsidR="00EB1371">
          <w:rPr>
            <w:webHidden/>
          </w:rPr>
        </w:r>
        <w:r w:rsidR="00EB1371">
          <w:rPr>
            <w:webHidden/>
          </w:rPr>
          <w:fldChar w:fldCharType="separate"/>
        </w:r>
        <w:r w:rsidR="00EB1371">
          <w:rPr>
            <w:webHidden/>
          </w:rPr>
          <w:t>1</w:t>
        </w:r>
        <w:r w:rsidR="00EB1371">
          <w:rPr>
            <w:webHidden/>
          </w:rPr>
          <w:fldChar w:fldCharType="end"/>
        </w:r>
      </w:hyperlink>
    </w:p>
    <w:p w:rsidR="00EB1371" w:rsidRPr="00EB1371" w:rsidRDefault="004855BC" w:rsidP="00EB1371">
      <w:pPr>
        <w:pStyle w:val="Innehll1"/>
        <w:rPr>
          <w:rFonts w:ascii="Calibri" w:hAnsi="Calibri"/>
          <w:sz w:val="22"/>
          <w:szCs w:val="22"/>
          <w:lang w:val="sv-FI" w:eastAsia="sv-FI"/>
        </w:rPr>
      </w:pPr>
      <w:hyperlink w:anchor="_Toc412702841" w:history="1">
        <w:r w:rsidR="00EB1371" w:rsidRPr="006A1109">
          <w:rPr>
            <w:rStyle w:val="Hyperlnk"/>
          </w:rPr>
          <w:t>2. Verksamheten 2014</w:t>
        </w:r>
        <w:r w:rsidR="00EB1371">
          <w:rPr>
            <w:webHidden/>
          </w:rPr>
          <w:tab/>
        </w:r>
        <w:r w:rsidR="00EB1371">
          <w:rPr>
            <w:webHidden/>
          </w:rPr>
          <w:fldChar w:fldCharType="begin"/>
        </w:r>
        <w:r w:rsidR="00EB1371">
          <w:rPr>
            <w:webHidden/>
          </w:rPr>
          <w:instrText xml:space="preserve"> PAGEREF _Toc412702841 \h </w:instrText>
        </w:r>
        <w:r w:rsidR="00EB1371">
          <w:rPr>
            <w:webHidden/>
          </w:rPr>
        </w:r>
        <w:r w:rsidR="00EB1371">
          <w:rPr>
            <w:webHidden/>
          </w:rPr>
          <w:fldChar w:fldCharType="separate"/>
        </w:r>
        <w:r w:rsidR="00EB1371">
          <w:rPr>
            <w:webHidden/>
          </w:rPr>
          <w:t>2</w:t>
        </w:r>
        <w:r w:rsidR="00EB1371">
          <w:rPr>
            <w:webHidden/>
          </w:rPr>
          <w:fldChar w:fldCharType="end"/>
        </w:r>
      </w:hyperlink>
    </w:p>
    <w:p w:rsidR="00EB1371" w:rsidRPr="00EB1371" w:rsidRDefault="004855BC" w:rsidP="00EB1371">
      <w:pPr>
        <w:pStyle w:val="Innehll2"/>
        <w:rPr>
          <w:rFonts w:ascii="Calibri" w:hAnsi="Calibri"/>
          <w:sz w:val="22"/>
          <w:szCs w:val="22"/>
          <w:lang w:val="sv-FI" w:eastAsia="sv-FI"/>
        </w:rPr>
      </w:pPr>
      <w:hyperlink w:anchor="_Toc412702842" w:history="1">
        <w:r w:rsidR="00EB1371" w:rsidRPr="006A1109">
          <w:rPr>
            <w:rStyle w:val="Hyperlnk"/>
          </w:rPr>
          <w:t>2.1 Islands ordförandeskap</w:t>
        </w:r>
        <w:r w:rsidR="00EB1371">
          <w:rPr>
            <w:webHidden/>
          </w:rPr>
          <w:tab/>
        </w:r>
        <w:r w:rsidR="00EB1371">
          <w:rPr>
            <w:webHidden/>
          </w:rPr>
          <w:fldChar w:fldCharType="begin"/>
        </w:r>
        <w:r w:rsidR="00EB1371">
          <w:rPr>
            <w:webHidden/>
          </w:rPr>
          <w:instrText xml:space="preserve"> PAGEREF _Toc412702842 \h </w:instrText>
        </w:r>
        <w:r w:rsidR="00EB1371">
          <w:rPr>
            <w:webHidden/>
          </w:rPr>
        </w:r>
        <w:r w:rsidR="00EB1371">
          <w:rPr>
            <w:webHidden/>
          </w:rPr>
          <w:fldChar w:fldCharType="separate"/>
        </w:r>
        <w:r w:rsidR="00EB1371">
          <w:rPr>
            <w:webHidden/>
          </w:rPr>
          <w:t>2</w:t>
        </w:r>
        <w:r w:rsidR="00EB1371">
          <w:rPr>
            <w:webHidden/>
          </w:rPr>
          <w:fldChar w:fldCharType="end"/>
        </w:r>
      </w:hyperlink>
    </w:p>
    <w:p w:rsidR="00EB1371" w:rsidRPr="00EB1371" w:rsidRDefault="004855BC" w:rsidP="00EB1371">
      <w:pPr>
        <w:pStyle w:val="Innehll2"/>
        <w:rPr>
          <w:rFonts w:ascii="Calibri" w:hAnsi="Calibri"/>
          <w:sz w:val="22"/>
          <w:szCs w:val="22"/>
          <w:lang w:val="sv-FI" w:eastAsia="sv-FI"/>
        </w:rPr>
      </w:pPr>
      <w:hyperlink w:anchor="_Toc412702843" w:history="1">
        <w:r w:rsidR="00EB1371" w:rsidRPr="006A1109">
          <w:rPr>
            <w:rStyle w:val="Hyperlnk"/>
          </w:rPr>
          <w:t>2.2 Tvärsektoriellt arbete</w:t>
        </w:r>
        <w:r w:rsidR="00EB1371">
          <w:rPr>
            <w:webHidden/>
          </w:rPr>
          <w:tab/>
        </w:r>
        <w:r w:rsidR="00EB1371">
          <w:rPr>
            <w:webHidden/>
          </w:rPr>
          <w:fldChar w:fldCharType="begin"/>
        </w:r>
        <w:r w:rsidR="00EB1371">
          <w:rPr>
            <w:webHidden/>
          </w:rPr>
          <w:instrText xml:space="preserve"> PAGEREF _Toc412702843 \h </w:instrText>
        </w:r>
        <w:r w:rsidR="00EB1371">
          <w:rPr>
            <w:webHidden/>
          </w:rPr>
        </w:r>
        <w:r w:rsidR="00EB1371">
          <w:rPr>
            <w:webHidden/>
          </w:rPr>
          <w:fldChar w:fldCharType="separate"/>
        </w:r>
        <w:r w:rsidR="00EB1371">
          <w:rPr>
            <w:webHidden/>
          </w:rPr>
          <w:t>2</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44" w:history="1">
        <w:r w:rsidR="00EB1371" w:rsidRPr="006A1109">
          <w:rPr>
            <w:rStyle w:val="Hyperlnk"/>
          </w:rPr>
          <w:t>2.2.1 Information</w:t>
        </w:r>
        <w:r w:rsidR="00EB1371">
          <w:rPr>
            <w:webHidden/>
          </w:rPr>
          <w:tab/>
        </w:r>
        <w:r w:rsidR="00EB1371">
          <w:rPr>
            <w:webHidden/>
          </w:rPr>
          <w:fldChar w:fldCharType="begin"/>
        </w:r>
        <w:r w:rsidR="00EB1371">
          <w:rPr>
            <w:webHidden/>
          </w:rPr>
          <w:instrText xml:space="preserve"> PAGEREF _Toc412702844 \h </w:instrText>
        </w:r>
        <w:r w:rsidR="00EB1371">
          <w:rPr>
            <w:webHidden/>
          </w:rPr>
        </w:r>
        <w:r w:rsidR="00EB1371">
          <w:rPr>
            <w:webHidden/>
          </w:rPr>
          <w:fldChar w:fldCharType="separate"/>
        </w:r>
        <w:r w:rsidR="00EB1371">
          <w:rPr>
            <w:webHidden/>
          </w:rPr>
          <w:t>2</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45" w:history="1">
        <w:r w:rsidR="00EB1371" w:rsidRPr="006A1109">
          <w:rPr>
            <w:rStyle w:val="Hyperlnk"/>
          </w:rPr>
          <w:t>2.2.2 Gränshinderarbetet</w:t>
        </w:r>
        <w:r w:rsidR="00EB1371">
          <w:rPr>
            <w:webHidden/>
          </w:rPr>
          <w:tab/>
        </w:r>
        <w:r w:rsidR="00EB1371">
          <w:rPr>
            <w:webHidden/>
          </w:rPr>
          <w:fldChar w:fldCharType="begin"/>
        </w:r>
        <w:r w:rsidR="00EB1371">
          <w:rPr>
            <w:webHidden/>
          </w:rPr>
          <w:instrText xml:space="preserve"> PAGEREF _Toc412702845 \h </w:instrText>
        </w:r>
        <w:r w:rsidR="00EB1371">
          <w:rPr>
            <w:webHidden/>
          </w:rPr>
        </w:r>
        <w:r w:rsidR="00EB1371">
          <w:rPr>
            <w:webHidden/>
          </w:rPr>
          <w:fldChar w:fldCharType="separate"/>
        </w:r>
        <w:r w:rsidR="00EB1371">
          <w:rPr>
            <w:webHidden/>
          </w:rPr>
          <w:t>2</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46" w:history="1">
        <w:r w:rsidR="00EB1371" w:rsidRPr="006A1109">
          <w:rPr>
            <w:rStyle w:val="Hyperlnk"/>
          </w:rPr>
          <w:t>2.2.3 Nordiska rådets session</w:t>
        </w:r>
        <w:r w:rsidR="00EB1371">
          <w:rPr>
            <w:webHidden/>
          </w:rPr>
          <w:tab/>
        </w:r>
        <w:r w:rsidR="00EB1371">
          <w:rPr>
            <w:webHidden/>
          </w:rPr>
          <w:fldChar w:fldCharType="begin"/>
        </w:r>
        <w:r w:rsidR="00EB1371">
          <w:rPr>
            <w:webHidden/>
          </w:rPr>
          <w:instrText xml:space="preserve"> PAGEREF _Toc412702846 \h </w:instrText>
        </w:r>
        <w:r w:rsidR="00EB1371">
          <w:rPr>
            <w:webHidden/>
          </w:rPr>
        </w:r>
        <w:r w:rsidR="00EB1371">
          <w:rPr>
            <w:webHidden/>
          </w:rPr>
          <w:fldChar w:fldCharType="separate"/>
        </w:r>
        <w:r w:rsidR="00EB1371">
          <w:rPr>
            <w:webHidden/>
          </w:rPr>
          <w:t>3</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47" w:history="1">
        <w:r w:rsidR="00EB1371" w:rsidRPr="006A1109">
          <w:rPr>
            <w:rStyle w:val="Hyperlnk"/>
          </w:rPr>
          <w:t>2.2.4 Temasessionen</w:t>
        </w:r>
        <w:r w:rsidR="00EB1371">
          <w:rPr>
            <w:webHidden/>
          </w:rPr>
          <w:tab/>
        </w:r>
        <w:r w:rsidR="00EB1371">
          <w:rPr>
            <w:webHidden/>
          </w:rPr>
          <w:fldChar w:fldCharType="begin"/>
        </w:r>
        <w:r w:rsidR="00EB1371">
          <w:rPr>
            <w:webHidden/>
          </w:rPr>
          <w:instrText xml:space="preserve"> PAGEREF _Toc412702847 \h </w:instrText>
        </w:r>
        <w:r w:rsidR="00EB1371">
          <w:rPr>
            <w:webHidden/>
          </w:rPr>
        </w:r>
        <w:r w:rsidR="00EB1371">
          <w:rPr>
            <w:webHidden/>
          </w:rPr>
          <w:fldChar w:fldCharType="separate"/>
        </w:r>
        <w:r w:rsidR="00EB1371">
          <w:rPr>
            <w:webHidden/>
          </w:rPr>
          <w:t>3</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48" w:history="1">
        <w:r w:rsidR="00EB1371" w:rsidRPr="006A1109">
          <w:rPr>
            <w:rStyle w:val="Hyperlnk"/>
          </w:rPr>
          <w:t>2.2.5 Politikerveckan i Almedalen</w:t>
        </w:r>
        <w:r w:rsidR="00EB1371">
          <w:rPr>
            <w:webHidden/>
          </w:rPr>
          <w:tab/>
        </w:r>
        <w:r w:rsidR="00EB1371">
          <w:rPr>
            <w:webHidden/>
          </w:rPr>
          <w:fldChar w:fldCharType="begin"/>
        </w:r>
        <w:r w:rsidR="00EB1371">
          <w:rPr>
            <w:webHidden/>
          </w:rPr>
          <w:instrText xml:space="preserve"> PAGEREF _Toc412702848 \h </w:instrText>
        </w:r>
        <w:r w:rsidR="00EB1371">
          <w:rPr>
            <w:webHidden/>
          </w:rPr>
        </w:r>
        <w:r w:rsidR="00EB1371">
          <w:rPr>
            <w:webHidden/>
          </w:rPr>
          <w:fldChar w:fldCharType="separate"/>
        </w:r>
        <w:r w:rsidR="00EB1371">
          <w:rPr>
            <w:webHidden/>
          </w:rPr>
          <w:t>3</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49" w:history="1">
        <w:r w:rsidR="00EB1371" w:rsidRPr="006A1109">
          <w:rPr>
            <w:rStyle w:val="Hyperlnk"/>
          </w:rPr>
          <w:t>2.2.6 Samarbetet med Färöarna och Grönland</w:t>
        </w:r>
        <w:r w:rsidR="00EB1371">
          <w:rPr>
            <w:webHidden/>
          </w:rPr>
          <w:tab/>
        </w:r>
        <w:r w:rsidR="00EB1371">
          <w:rPr>
            <w:webHidden/>
          </w:rPr>
          <w:fldChar w:fldCharType="begin"/>
        </w:r>
        <w:r w:rsidR="00EB1371">
          <w:rPr>
            <w:webHidden/>
          </w:rPr>
          <w:instrText xml:space="preserve"> PAGEREF _Toc412702849 \h </w:instrText>
        </w:r>
        <w:r w:rsidR="00EB1371">
          <w:rPr>
            <w:webHidden/>
          </w:rPr>
        </w:r>
        <w:r w:rsidR="00EB1371">
          <w:rPr>
            <w:webHidden/>
          </w:rPr>
          <w:fldChar w:fldCharType="separate"/>
        </w:r>
        <w:r w:rsidR="00EB1371">
          <w:rPr>
            <w:webHidden/>
          </w:rPr>
          <w:t>4</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0" w:history="1">
        <w:r w:rsidR="00EB1371" w:rsidRPr="006A1109">
          <w:rPr>
            <w:rStyle w:val="Hyperlnk"/>
          </w:rPr>
          <w:t>2.2.7 Besök</w:t>
        </w:r>
        <w:r w:rsidR="00EB1371">
          <w:rPr>
            <w:webHidden/>
          </w:rPr>
          <w:tab/>
        </w:r>
        <w:r w:rsidR="00EB1371">
          <w:rPr>
            <w:webHidden/>
          </w:rPr>
          <w:fldChar w:fldCharType="begin"/>
        </w:r>
        <w:r w:rsidR="00EB1371">
          <w:rPr>
            <w:webHidden/>
          </w:rPr>
          <w:instrText xml:space="preserve"> PAGEREF _Toc412702850 \h </w:instrText>
        </w:r>
        <w:r w:rsidR="00EB1371">
          <w:rPr>
            <w:webHidden/>
          </w:rPr>
        </w:r>
        <w:r w:rsidR="00EB1371">
          <w:rPr>
            <w:webHidden/>
          </w:rPr>
          <w:fldChar w:fldCharType="separate"/>
        </w:r>
        <w:r w:rsidR="00EB1371">
          <w:rPr>
            <w:webHidden/>
          </w:rPr>
          <w:t>4</w:t>
        </w:r>
        <w:r w:rsidR="00EB1371">
          <w:rPr>
            <w:webHidden/>
          </w:rPr>
          <w:fldChar w:fldCharType="end"/>
        </w:r>
      </w:hyperlink>
    </w:p>
    <w:p w:rsidR="00EB1371" w:rsidRPr="00EB1371" w:rsidRDefault="004855BC" w:rsidP="00EB1371">
      <w:pPr>
        <w:pStyle w:val="Innehll2"/>
        <w:rPr>
          <w:rFonts w:ascii="Calibri" w:hAnsi="Calibri"/>
          <w:sz w:val="22"/>
          <w:szCs w:val="22"/>
          <w:lang w:val="sv-FI" w:eastAsia="sv-FI"/>
        </w:rPr>
      </w:pPr>
      <w:hyperlink w:anchor="_Toc412702851" w:history="1">
        <w:r w:rsidR="00EB1371" w:rsidRPr="006A1109">
          <w:rPr>
            <w:rStyle w:val="Hyperlnk"/>
          </w:rPr>
          <w:t>2.3 Sektoriellt arbete</w:t>
        </w:r>
        <w:r w:rsidR="00EB1371">
          <w:rPr>
            <w:webHidden/>
          </w:rPr>
          <w:tab/>
        </w:r>
        <w:r w:rsidR="00EB1371">
          <w:rPr>
            <w:webHidden/>
          </w:rPr>
          <w:fldChar w:fldCharType="begin"/>
        </w:r>
        <w:r w:rsidR="00EB1371">
          <w:rPr>
            <w:webHidden/>
          </w:rPr>
          <w:instrText xml:space="preserve"> PAGEREF _Toc412702851 \h </w:instrText>
        </w:r>
        <w:r w:rsidR="00EB1371">
          <w:rPr>
            <w:webHidden/>
          </w:rPr>
        </w:r>
        <w:r w:rsidR="00EB1371">
          <w:rPr>
            <w:webHidden/>
          </w:rPr>
          <w:fldChar w:fldCharType="separate"/>
        </w:r>
        <w:r w:rsidR="00EB1371">
          <w:rPr>
            <w:webHidden/>
          </w:rPr>
          <w:t>4</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2" w:history="1">
        <w:r w:rsidR="00EB1371" w:rsidRPr="006A1109">
          <w:rPr>
            <w:rStyle w:val="Hyperlnk"/>
          </w:rPr>
          <w:t>2.3.1 Samarbetsministrarna (MR-SAM)</w:t>
        </w:r>
        <w:r w:rsidR="00EB1371">
          <w:rPr>
            <w:webHidden/>
          </w:rPr>
          <w:tab/>
        </w:r>
        <w:r w:rsidR="00EB1371">
          <w:rPr>
            <w:webHidden/>
          </w:rPr>
          <w:fldChar w:fldCharType="begin"/>
        </w:r>
        <w:r w:rsidR="00EB1371">
          <w:rPr>
            <w:webHidden/>
          </w:rPr>
          <w:instrText xml:space="preserve"> PAGEREF _Toc412702852 \h </w:instrText>
        </w:r>
        <w:r w:rsidR="00EB1371">
          <w:rPr>
            <w:webHidden/>
          </w:rPr>
        </w:r>
        <w:r w:rsidR="00EB1371">
          <w:rPr>
            <w:webHidden/>
          </w:rPr>
          <w:fldChar w:fldCharType="separate"/>
        </w:r>
        <w:r w:rsidR="00EB1371">
          <w:rPr>
            <w:webHidden/>
          </w:rPr>
          <w:t>4</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3" w:history="1">
        <w:r w:rsidR="00EB1371" w:rsidRPr="006A1109">
          <w:rPr>
            <w:rStyle w:val="Hyperlnk"/>
          </w:rPr>
          <w:t>2.3.2 Arbetsliv</w:t>
        </w:r>
        <w:r w:rsidR="00EB1371">
          <w:rPr>
            <w:webHidden/>
          </w:rPr>
          <w:tab/>
        </w:r>
        <w:r w:rsidR="00EB1371">
          <w:rPr>
            <w:webHidden/>
          </w:rPr>
          <w:fldChar w:fldCharType="begin"/>
        </w:r>
        <w:r w:rsidR="00EB1371">
          <w:rPr>
            <w:webHidden/>
          </w:rPr>
          <w:instrText xml:space="preserve"> PAGEREF _Toc412702853 \h </w:instrText>
        </w:r>
        <w:r w:rsidR="00EB1371">
          <w:rPr>
            <w:webHidden/>
          </w:rPr>
        </w:r>
        <w:r w:rsidR="00EB1371">
          <w:rPr>
            <w:webHidden/>
          </w:rPr>
          <w:fldChar w:fldCharType="separate"/>
        </w:r>
        <w:r w:rsidR="00EB1371">
          <w:rPr>
            <w:webHidden/>
          </w:rPr>
          <w:t>4</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4" w:history="1">
        <w:r w:rsidR="00EB1371" w:rsidRPr="006A1109">
          <w:rPr>
            <w:rStyle w:val="Hyperlnk"/>
          </w:rPr>
          <w:t>2.3.3 Fiskeri och havsliv, jordbruk, livsmedel och skogsbruk (MR-FJLS)</w:t>
        </w:r>
        <w:r w:rsidR="00EB1371">
          <w:rPr>
            <w:webHidden/>
          </w:rPr>
          <w:tab/>
        </w:r>
        <w:r w:rsidR="00EB1371">
          <w:rPr>
            <w:webHidden/>
          </w:rPr>
          <w:fldChar w:fldCharType="begin"/>
        </w:r>
        <w:r w:rsidR="00EB1371">
          <w:rPr>
            <w:webHidden/>
          </w:rPr>
          <w:instrText xml:space="preserve"> PAGEREF _Toc412702854 \h </w:instrText>
        </w:r>
        <w:r w:rsidR="00EB1371">
          <w:rPr>
            <w:webHidden/>
          </w:rPr>
        </w:r>
        <w:r w:rsidR="00EB1371">
          <w:rPr>
            <w:webHidden/>
          </w:rPr>
          <w:fldChar w:fldCharType="separate"/>
        </w:r>
        <w:r w:rsidR="00EB1371">
          <w:rPr>
            <w:webHidden/>
          </w:rPr>
          <w:t>5</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5" w:history="1">
        <w:r w:rsidR="00EB1371" w:rsidRPr="006A1109">
          <w:rPr>
            <w:rStyle w:val="Hyperlnk"/>
          </w:rPr>
          <w:t>2.3.4 Jämställdhet (MR-JÄM)</w:t>
        </w:r>
        <w:r w:rsidR="00EB1371">
          <w:rPr>
            <w:webHidden/>
          </w:rPr>
          <w:tab/>
        </w:r>
        <w:r w:rsidR="00EB1371">
          <w:rPr>
            <w:webHidden/>
          </w:rPr>
          <w:fldChar w:fldCharType="begin"/>
        </w:r>
        <w:r w:rsidR="00EB1371">
          <w:rPr>
            <w:webHidden/>
          </w:rPr>
          <w:instrText xml:space="preserve"> PAGEREF _Toc412702855 \h </w:instrText>
        </w:r>
        <w:r w:rsidR="00EB1371">
          <w:rPr>
            <w:webHidden/>
          </w:rPr>
        </w:r>
        <w:r w:rsidR="00EB1371">
          <w:rPr>
            <w:webHidden/>
          </w:rPr>
          <w:fldChar w:fldCharType="separate"/>
        </w:r>
        <w:r w:rsidR="00EB1371">
          <w:rPr>
            <w:webHidden/>
          </w:rPr>
          <w:t>5</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6" w:history="1">
        <w:r w:rsidR="00EB1371" w:rsidRPr="006A1109">
          <w:rPr>
            <w:rStyle w:val="Hyperlnk"/>
          </w:rPr>
          <w:t>2.3.5 Kultur (MR-K)</w:t>
        </w:r>
        <w:r w:rsidR="00EB1371">
          <w:rPr>
            <w:webHidden/>
          </w:rPr>
          <w:tab/>
        </w:r>
        <w:r w:rsidR="00EB1371">
          <w:rPr>
            <w:webHidden/>
          </w:rPr>
          <w:fldChar w:fldCharType="begin"/>
        </w:r>
        <w:r w:rsidR="00EB1371">
          <w:rPr>
            <w:webHidden/>
          </w:rPr>
          <w:instrText xml:space="preserve"> PAGEREF _Toc412702856 \h </w:instrText>
        </w:r>
        <w:r w:rsidR="00EB1371">
          <w:rPr>
            <w:webHidden/>
          </w:rPr>
        </w:r>
        <w:r w:rsidR="00EB1371">
          <w:rPr>
            <w:webHidden/>
          </w:rPr>
          <w:fldChar w:fldCharType="separate"/>
        </w:r>
        <w:r w:rsidR="00EB1371">
          <w:rPr>
            <w:webHidden/>
          </w:rPr>
          <w:t>6</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7" w:history="1">
        <w:r w:rsidR="00EB1371" w:rsidRPr="006A1109">
          <w:rPr>
            <w:rStyle w:val="Hyperlnk"/>
          </w:rPr>
          <w:t>2.3.6 Lagsamarbetet (MR-LAG)</w:t>
        </w:r>
        <w:r w:rsidR="00EB1371">
          <w:rPr>
            <w:webHidden/>
          </w:rPr>
          <w:tab/>
        </w:r>
        <w:r w:rsidR="00EB1371">
          <w:rPr>
            <w:webHidden/>
          </w:rPr>
          <w:fldChar w:fldCharType="begin"/>
        </w:r>
        <w:r w:rsidR="00EB1371">
          <w:rPr>
            <w:webHidden/>
          </w:rPr>
          <w:instrText xml:space="preserve"> PAGEREF _Toc412702857 \h </w:instrText>
        </w:r>
        <w:r w:rsidR="00EB1371">
          <w:rPr>
            <w:webHidden/>
          </w:rPr>
        </w:r>
        <w:r w:rsidR="00EB1371">
          <w:rPr>
            <w:webHidden/>
          </w:rPr>
          <w:fldChar w:fldCharType="separate"/>
        </w:r>
        <w:r w:rsidR="00EB1371">
          <w:rPr>
            <w:webHidden/>
          </w:rPr>
          <w:t>6</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8" w:history="1">
        <w:r w:rsidR="00EB1371" w:rsidRPr="006A1109">
          <w:rPr>
            <w:rStyle w:val="Hyperlnk"/>
          </w:rPr>
          <w:t>2.3.7 Miljö (MR-M)</w:t>
        </w:r>
        <w:r w:rsidR="00EB1371">
          <w:rPr>
            <w:webHidden/>
          </w:rPr>
          <w:tab/>
        </w:r>
        <w:r w:rsidR="00EB1371">
          <w:rPr>
            <w:webHidden/>
          </w:rPr>
          <w:fldChar w:fldCharType="begin"/>
        </w:r>
        <w:r w:rsidR="00EB1371">
          <w:rPr>
            <w:webHidden/>
          </w:rPr>
          <w:instrText xml:space="preserve"> PAGEREF _Toc412702858 \h </w:instrText>
        </w:r>
        <w:r w:rsidR="00EB1371">
          <w:rPr>
            <w:webHidden/>
          </w:rPr>
        </w:r>
        <w:r w:rsidR="00EB1371">
          <w:rPr>
            <w:webHidden/>
          </w:rPr>
          <w:fldChar w:fldCharType="separate"/>
        </w:r>
        <w:r w:rsidR="00EB1371">
          <w:rPr>
            <w:webHidden/>
          </w:rPr>
          <w:t>6</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59" w:history="1">
        <w:r w:rsidR="00EB1371" w:rsidRPr="006A1109">
          <w:rPr>
            <w:rStyle w:val="Hyperlnk"/>
          </w:rPr>
          <w:t>2.3.8 Näringsliv, energi och regionalpolitik (MR-NER)</w:t>
        </w:r>
        <w:r w:rsidR="00EB1371">
          <w:rPr>
            <w:webHidden/>
          </w:rPr>
          <w:tab/>
        </w:r>
        <w:r w:rsidR="00EB1371">
          <w:rPr>
            <w:webHidden/>
          </w:rPr>
          <w:fldChar w:fldCharType="begin"/>
        </w:r>
        <w:r w:rsidR="00EB1371">
          <w:rPr>
            <w:webHidden/>
          </w:rPr>
          <w:instrText xml:space="preserve"> PAGEREF _Toc412702859 \h </w:instrText>
        </w:r>
        <w:r w:rsidR="00EB1371">
          <w:rPr>
            <w:webHidden/>
          </w:rPr>
        </w:r>
        <w:r w:rsidR="00EB1371">
          <w:rPr>
            <w:webHidden/>
          </w:rPr>
          <w:fldChar w:fldCharType="separate"/>
        </w:r>
        <w:r w:rsidR="00EB1371">
          <w:rPr>
            <w:webHidden/>
          </w:rPr>
          <w:t>7</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60" w:history="1">
        <w:r w:rsidR="00EB1371" w:rsidRPr="006A1109">
          <w:rPr>
            <w:rStyle w:val="Hyperlnk"/>
          </w:rPr>
          <w:t>2.3.9 Social och hälsopolitik (MR-S)</w:t>
        </w:r>
        <w:r w:rsidR="00EB1371">
          <w:rPr>
            <w:webHidden/>
          </w:rPr>
          <w:tab/>
        </w:r>
        <w:r w:rsidR="00EB1371">
          <w:rPr>
            <w:webHidden/>
          </w:rPr>
          <w:fldChar w:fldCharType="begin"/>
        </w:r>
        <w:r w:rsidR="00EB1371">
          <w:rPr>
            <w:webHidden/>
          </w:rPr>
          <w:instrText xml:space="preserve"> PAGEREF _Toc412702860 \h </w:instrText>
        </w:r>
        <w:r w:rsidR="00EB1371">
          <w:rPr>
            <w:webHidden/>
          </w:rPr>
        </w:r>
        <w:r w:rsidR="00EB1371">
          <w:rPr>
            <w:webHidden/>
          </w:rPr>
          <w:fldChar w:fldCharType="separate"/>
        </w:r>
        <w:r w:rsidR="00EB1371">
          <w:rPr>
            <w:webHidden/>
          </w:rPr>
          <w:t>8</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61" w:history="1">
        <w:r w:rsidR="00EB1371" w:rsidRPr="006A1109">
          <w:rPr>
            <w:rStyle w:val="Hyperlnk"/>
          </w:rPr>
          <w:t>2.3.10 Utbildning och forskning (MR-U)</w:t>
        </w:r>
        <w:r w:rsidR="00EB1371">
          <w:rPr>
            <w:webHidden/>
          </w:rPr>
          <w:tab/>
        </w:r>
        <w:r w:rsidR="00EB1371">
          <w:rPr>
            <w:webHidden/>
          </w:rPr>
          <w:fldChar w:fldCharType="begin"/>
        </w:r>
        <w:r w:rsidR="00EB1371">
          <w:rPr>
            <w:webHidden/>
          </w:rPr>
          <w:instrText xml:space="preserve"> PAGEREF _Toc412702861 \h </w:instrText>
        </w:r>
        <w:r w:rsidR="00EB1371">
          <w:rPr>
            <w:webHidden/>
          </w:rPr>
        </w:r>
        <w:r w:rsidR="00EB1371">
          <w:rPr>
            <w:webHidden/>
          </w:rPr>
          <w:fldChar w:fldCharType="separate"/>
        </w:r>
        <w:r w:rsidR="00EB1371">
          <w:rPr>
            <w:webHidden/>
          </w:rPr>
          <w:t>8</w:t>
        </w:r>
        <w:r w:rsidR="00EB1371">
          <w:rPr>
            <w:webHidden/>
          </w:rPr>
          <w:fldChar w:fldCharType="end"/>
        </w:r>
      </w:hyperlink>
    </w:p>
    <w:p w:rsidR="00EB1371" w:rsidRPr="00EB1371" w:rsidRDefault="004855BC" w:rsidP="00EB1371">
      <w:pPr>
        <w:pStyle w:val="Innehll3"/>
        <w:rPr>
          <w:rFonts w:ascii="Calibri" w:hAnsi="Calibri"/>
          <w:sz w:val="22"/>
          <w:szCs w:val="22"/>
          <w:lang w:val="sv-FI" w:eastAsia="sv-FI"/>
        </w:rPr>
      </w:pPr>
      <w:hyperlink w:anchor="_Toc412702862" w:history="1">
        <w:r w:rsidR="00EB1371" w:rsidRPr="006A1109">
          <w:rPr>
            <w:rStyle w:val="Hyperlnk"/>
          </w:rPr>
          <w:t>2.3.11 Ekonomi och finanspolitik (MR-FINANS)</w:t>
        </w:r>
        <w:r w:rsidR="00EB1371">
          <w:rPr>
            <w:webHidden/>
          </w:rPr>
          <w:tab/>
        </w:r>
        <w:r w:rsidR="00EB1371">
          <w:rPr>
            <w:webHidden/>
          </w:rPr>
          <w:fldChar w:fldCharType="begin"/>
        </w:r>
        <w:r w:rsidR="00EB1371">
          <w:rPr>
            <w:webHidden/>
          </w:rPr>
          <w:instrText xml:space="preserve"> PAGEREF _Toc412702862 \h </w:instrText>
        </w:r>
        <w:r w:rsidR="00EB1371">
          <w:rPr>
            <w:webHidden/>
          </w:rPr>
        </w:r>
        <w:r w:rsidR="00EB1371">
          <w:rPr>
            <w:webHidden/>
          </w:rPr>
          <w:fldChar w:fldCharType="separate"/>
        </w:r>
        <w:r w:rsidR="00EB1371">
          <w:rPr>
            <w:webHidden/>
          </w:rPr>
          <w:t>9</w:t>
        </w:r>
        <w:r w:rsidR="00EB1371">
          <w:rPr>
            <w:webHidden/>
          </w:rPr>
          <w:fldChar w:fldCharType="end"/>
        </w:r>
      </w:hyperlink>
    </w:p>
    <w:p w:rsidR="00EB1371" w:rsidRDefault="00EB1371" w:rsidP="00EB1371">
      <w:r>
        <w:rPr>
          <w:b/>
          <w:bCs/>
        </w:rPr>
        <w:fldChar w:fldCharType="end"/>
      </w:r>
    </w:p>
    <w:p w:rsidR="00EB1371" w:rsidRDefault="00EB1371" w:rsidP="00EB1371"/>
    <w:p w:rsidR="00EB1371" w:rsidRDefault="00EB1371" w:rsidP="00EB1371">
      <w:pPr>
        <w:pStyle w:val="Rubrik1"/>
        <w:numPr>
          <w:ilvl w:val="0"/>
          <w:numId w:val="0"/>
        </w:numPr>
      </w:pPr>
      <w:bookmarkStart w:id="128" w:name="_Toc410992915"/>
      <w:bookmarkStart w:id="129" w:name="_Toc412443837"/>
      <w:bookmarkStart w:id="130" w:name="_Toc412702839"/>
      <w:r>
        <w:t>1. Åland</w:t>
      </w:r>
      <w:bookmarkEnd w:id="128"/>
      <w:r>
        <w:t xml:space="preserve"> i Nordiska ministerrådet</w:t>
      </w:r>
      <w:bookmarkEnd w:id="129"/>
      <w:bookmarkEnd w:id="130"/>
    </w:p>
    <w:p w:rsidR="00EB1371" w:rsidRDefault="00EB1371" w:rsidP="00EB1371">
      <w:r>
        <w:t>Nordiska ministerrådet är - trots namnet - egentligen inte ett utan elva m</w:t>
      </w:r>
      <w:r>
        <w:t>i</w:t>
      </w:r>
      <w:r>
        <w:t>nisterråd (MR). De nordiska fackministrarna möts i sitt ministerråd i g</w:t>
      </w:r>
      <w:r>
        <w:t>e</w:t>
      </w:r>
      <w:r>
        <w:t>nomsnitt ett par gånger om året.</w:t>
      </w:r>
      <w:r>
        <w:tab/>
      </w:r>
    </w:p>
    <w:p w:rsidR="00EB1371" w:rsidRDefault="00EB1371" w:rsidP="00EB1371">
      <w:pPr>
        <w:ind w:firstLine="284"/>
      </w:pPr>
      <w:r>
        <w:t>Tjänstemännens berednings- och uppföljande möten sker i ämbets-mannakommittéerna. Ämbetsmannakommittéerna behandlar ärenden som senare kan föras upp till ett ministerråd eller avgöras i ett beslut direkt i ämbetsmannakommittén. Beredningen i landskapsregeringen sker genom de utsedda tjänstemän som deltar i de olika ämbetsmannakommittéerna. Varje fackministerråd arbetar utifrån en egen dagordning varför tvärsekt</w:t>
      </w:r>
      <w:r>
        <w:t>o</w:t>
      </w:r>
      <w:r>
        <w:t>riell beredning måste göras på initiativ av representanten i respektive ämbetsmannakommitté.</w:t>
      </w:r>
    </w:p>
    <w:p w:rsidR="00EB1371" w:rsidRDefault="00EB1371" w:rsidP="00EB1371">
      <w:pPr>
        <w:pStyle w:val="Rubrik2"/>
        <w:numPr>
          <w:ilvl w:val="1"/>
          <w:numId w:val="4"/>
        </w:numPr>
      </w:pPr>
      <w:bookmarkStart w:id="131" w:name="_Toc410992916"/>
      <w:bookmarkStart w:id="132" w:name="_Toc412443838"/>
      <w:bookmarkStart w:id="133" w:name="_Toc412702840"/>
      <w:r>
        <w:t>1.1 Ansvariga ministrar</w:t>
      </w:r>
      <w:bookmarkEnd w:id="131"/>
      <w:bookmarkEnd w:id="132"/>
      <w:bookmarkEnd w:id="133"/>
    </w:p>
    <w:p w:rsidR="00EB1371" w:rsidRDefault="00EB1371" w:rsidP="00EB1371">
      <w:r>
        <w:t>Under 2014 har Ålands ministerrepresentation i Nordiska ministerrådet v</w:t>
      </w:r>
      <w:r>
        <w:t>a</w:t>
      </w:r>
      <w:r>
        <w:t xml:space="preserve">rit följande: </w:t>
      </w:r>
    </w:p>
    <w:p w:rsidR="00EB1371" w:rsidRDefault="00EB1371" w:rsidP="00EB1371">
      <w:pPr>
        <w:ind w:firstLine="284"/>
      </w:pPr>
      <w:r>
        <w:t xml:space="preserve">• </w:t>
      </w:r>
      <w:r w:rsidRPr="00765924">
        <w:t>samarbetsministrarna MR</w:t>
      </w:r>
      <w:r>
        <w:t xml:space="preserve">-SAM, Veronica Thörnroos </w:t>
      </w:r>
    </w:p>
    <w:p w:rsidR="00EB1371" w:rsidRDefault="00EB1371" w:rsidP="00EB1371">
      <w:pPr>
        <w:ind w:firstLine="284"/>
      </w:pPr>
      <w:r>
        <w:t>• arbetsliv MR-A, Fredrik Karlström</w:t>
      </w:r>
    </w:p>
    <w:p w:rsidR="00EB1371" w:rsidRDefault="00EB1371" w:rsidP="00EB1371">
      <w:pPr>
        <w:ind w:left="284"/>
      </w:pPr>
      <w:r>
        <w:lastRenderedPageBreak/>
        <w:t xml:space="preserve">• närings-, energi- och regionalpolitik MR-NER, Fredrik Karlström, </w:t>
      </w:r>
    </w:p>
    <w:p w:rsidR="00EB1371" w:rsidRDefault="00EB1371" w:rsidP="00EB1371">
      <w:pPr>
        <w:ind w:left="567" w:hanging="142"/>
      </w:pPr>
      <w:r>
        <w:t>Veronica Thörnroos</w:t>
      </w:r>
    </w:p>
    <w:p w:rsidR="00EB1371" w:rsidRPr="00765924" w:rsidRDefault="00EB1371" w:rsidP="00EB1371">
      <w:pPr>
        <w:ind w:left="284"/>
      </w:pPr>
      <w:r w:rsidRPr="00765924">
        <w:t xml:space="preserve">• fiskeri och havsliv, jordbruk, livsmedel och skogsbruk MR-FJLS, </w:t>
      </w:r>
    </w:p>
    <w:p w:rsidR="00EB1371" w:rsidRDefault="00EB1371" w:rsidP="00EB1371">
      <w:pPr>
        <w:ind w:left="567" w:hanging="142"/>
      </w:pPr>
      <w:r>
        <w:t>Fredrik Karlström</w:t>
      </w:r>
    </w:p>
    <w:p w:rsidR="00EB1371" w:rsidRDefault="00EB1371" w:rsidP="00EB1371">
      <w:pPr>
        <w:ind w:firstLine="284"/>
      </w:pPr>
      <w:r>
        <w:t>• jämställdhet MR-JÄM, Camilla Gunell</w:t>
      </w:r>
    </w:p>
    <w:p w:rsidR="00EB1371" w:rsidRDefault="00EB1371" w:rsidP="00EB1371">
      <w:pPr>
        <w:ind w:firstLine="284"/>
      </w:pPr>
      <w:r>
        <w:t>• ekonomi- och finanspolitik MR-FINANS, Roger Nordlund</w:t>
      </w:r>
    </w:p>
    <w:p w:rsidR="00EB1371" w:rsidRDefault="00EB1371" w:rsidP="00EB1371">
      <w:pPr>
        <w:ind w:firstLine="284"/>
      </w:pPr>
      <w:r>
        <w:t>• kultur MR-K, Johan Ehn</w:t>
      </w:r>
    </w:p>
    <w:p w:rsidR="00EB1371" w:rsidRDefault="00EB1371" w:rsidP="00EB1371">
      <w:pPr>
        <w:ind w:firstLine="284"/>
      </w:pPr>
      <w:r>
        <w:t>• lagstiftning MR-LAG, Camilla Gunell</w:t>
      </w:r>
    </w:p>
    <w:p w:rsidR="00EB1371" w:rsidRDefault="00EB1371" w:rsidP="00EB1371">
      <w:pPr>
        <w:ind w:firstLine="284"/>
      </w:pPr>
      <w:r>
        <w:t>• miljö MR-M, Carina Aaltonen</w:t>
      </w:r>
    </w:p>
    <w:p w:rsidR="00EB1371" w:rsidRDefault="00EB1371" w:rsidP="00EB1371">
      <w:pPr>
        <w:ind w:firstLine="284"/>
      </w:pPr>
      <w:r>
        <w:t>• social- och hälsovård MR-S, Carina Aaltonen</w:t>
      </w:r>
    </w:p>
    <w:p w:rsidR="00EB1371" w:rsidRDefault="00EB1371" w:rsidP="00EB1371">
      <w:pPr>
        <w:ind w:firstLine="284"/>
      </w:pPr>
      <w:r>
        <w:t>• utbildning- och forskning MR-U, Johan Ehn</w:t>
      </w:r>
    </w:p>
    <w:p w:rsidR="00EB1371" w:rsidRDefault="00EB1371" w:rsidP="00EB1371">
      <w:pPr>
        <w:pStyle w:val="Rubrik1"/>
        <w:numPr>
          <w:ilvl w:val="0"/>
          <w:numId w:val="0"/>
        </w:numPr>
      </w:pPr>
      <w:bookmarkStart w:id="134" w:name="_Toc410992917"/>
      <w:bookmarkStart w:id="135" w:name="_Toc412443839"/>
      <w:bookmarkStart w:id="136" w:name="_Toc412702841"/>
      <w:r>
        <w:t>2. Verksamheten 2014</w:t>
      </w:r>
      <w:bookmarkEnd w:id="134"/>
      <w:bookmarkEnd w:id="135"/>
      <w:bookmarkEnd w:id="136"/>
    </w:p>
    <w:p w:rsidR="00EB1371" w:rsidRDefault="00EB1371" w:rsidP="00EB1371">
      <w:pPr>
        <w:pStyle w:val="Rubrik2"/>
        <w:numPr>
          <w:ilvl w:val="1"/>
          <w:numId w:val="4"/>
        </w:numPr>
      </w:pPr>
      <w:bookmarkStart w:id="137" w:name="_Toc410992918"/>
      <w:bookmarkStart w:id="138" w:name="_Toc412443840"/>
      <w:bookmarkStart w:id="139" w:name="_Toc412702842"/>
      <w:r>
        <w:t>2.1 Islands ordförandeskap</w:t>
      </w:r>
      <w:bookmarkEnd w:id="137"/>
      <w:bookmarkEnd w:id="138"/>
      <w:bookmarkEnd w:id="139"/>
    </w:p>
    <w:p w:rsidR="00EB1371" w:rsidRPr="00765924" w:rsidRDefault="00EB1371" w:rsidP="00EB1371">
      <w:r>
        <w:t>Under 2014 har Island haft ordförandeskapet i Nordiska ministerrådet. T</w:t>
      </w:r>
      <w:r>
        <w:t>e</w:t>
      </w:r>
      <w:r>
        <w:t>mat för det isländska ordförandeskapet var ”</w:t>
      </w:r>
      <w:r w:rsidRPr="00B819D0">
        <w:rPr>
          <w:i/>
        </w:rPr>
        <w:t>Växtkraft – livskraft</w:t>
      </w:r>
      <w:r>
        <w:t xml:space="preserve">”.  Island </w:t>
      </w:r>
      <w:r w:rsidRPr="00765924">
        <w:t xml:space="preserve">initierade tre huvudprojekt: </w:t>
      </w:r>
    </w:p>
    <w:p w:rsidR="00EB1371" w:rsidRPr="00765924" w:rsidRDefault="00EB1371" w:rsidP="00EB1371">
      <w:pPr>
        <w:pStyle w:val="ANormal"/>
      </w:pPr>
      <w:r w:rsidRPr="00765924">
        <w:tab/>
        <w:t>• Bio-ekonomi</w:t>
      </w:r>
    </w:p>
    <w:p w:rsidR="00EB1371" w:rsidRPr="00765924" w:rsidRDefault="00EB1371" w:rsidP="00EB1371">
      <w:pPr>
        <w:pStyle w:val="ANormal"/>
      </w:pPr>
      <w:r w:rsidRPr="00765924">
        <w:tab/>
        <w:t>• Nordiska välfärdsvakten</w:t>
      </w:r>
    </w:p>
    <w:p w:rsidR="00EB1371" w:rsidRPr="00765924" w:rsidRDefault="00EB1371" w:rsidP="00EB1371">
      <w:pPr>
        <w:pStyle w:val="ANormal"/>
      </w:pPr>
      <w:r w:rsidRPr="00765924">
        <w:tab/>
        <w:t>• NordicPlayList</w:t>
      </w:r>
    </w:p>
    <w:p w:rsidR="00EB1371" w:rsidRDefault="00EB1371" w:rsidP="00EB1371">
      <w:pPr>
        <w:pStyle w:val="Rubrik2"/>
        <w:numPr>
          <w:ilvl w:val="1"/>
          <w:numId w:val="4"/>
        </w:numPr>
      </w:pPr>
      <w:bookmarkStart w:id="140" w:name="_Toc410992919"/>
      <w:bookmarkStart w:id="141" w:name="_Toc412443841"/>
      <w:bookmarkStart w:id="142" w:name="_Toc412702843"/>
      <w:r w:rsidRPr="00765924">
        <w:t>2.2 Tvärsektoriellt</w:t>
      </w:r>
      <w:r>
        <w:t xml:space="preserve"> arbete</w:t>
      </w:r>
      <w:bookmarkEnd w:id="140"/>
      <w:bookmarkEnd w:id="141"/>
      <w:bookmarkEnd w:id="142"/>
    </w:p>
    <w:p w:rsidR="00EB1371" w:rsidRDefault="00EB1371" w:rsidP="00EB1371">
      <w:pPr>
        <w:pStyle w:val="Rubrik3"/>
        <w:numPr>
          <w:ilvl w:val="2"/>
          <w:numId w:val="4"/>
        </w:numPr>
      </w:pPr>
      <w:bookmarkStart w:id="143" w:name="_Toc410992920"/>
      <w:bookmarkStart w:id="144" w:name="_Toc412443842"/>
      <w:bookmarkStart w:id="145" w:name="_Toc412702844"/>
      <w:r>
        <w:t>2.2.1 Information</w:t>
      </w:r>
      <w:bookmarkEnd w:id="143"/>
      <w:bookmarkEnd w:id="144"/>
      <w:bookmarkEnd w:id="145"/>
    </w:p>
    <w:p w:rsidR="00EB1371" w:rsidRDefault="00EB1371" w:rsidP="00EB1371">
      <w:r>
        <w:t xml:space="preserve">Under 2014 har en grupp med tjänstemän från landskapsregeringen, Hallå Norden och Föreningen Norden hållit lektioner om det nordiska samarbetet för elever vid Ålands lyceum. Lektionerna har hållits för sju grupper med totalt 140 elever.    </w:t>
      </w:r>
    </w:p>
    <w:p w:rsidR="00EB1371" w:rsidRDefault="00EB1371" w:rsidP="00EB1371">
      <w:pPr>
        <w:pStyle w:val="Rubrik3"/>
        <w:numPr>
          <w:ilvl w:val="2"/>
          <w:numId w:val="4"/>
        </w:numPr>
      </w:pPr>
      <w:bookmarkStart w:id="146" w:name="_Toc410992921"/>
      <w:bookmarkStart w:id="147" w:name="_Toc412443843"/>
      <w:bookmarkStart w:id="148" w:name="_Toc412702845"/>
      <w:r>
        <w:t>2.2.2 Gränshinderarbetet</w:t>
      </w:r>
      <w:bookmarkEnd w:id="146"/>
      <w:bookmarkEnd w:id="147"/>
      <w:bookmarkEnd w:id="148"/>
    </w:p>
    <w:p w:rsidR="00EB1371" w:rsidRDefault="00EB1371" w:rsidP="00EB1371">
      <w:r>
        <w:t>2014 innebar en nystart för gränshinderarbetet i och med att det nya Grän</w:t>
      </w:r>
      <w:r>
        <w:t>s</w:t>
      </w:r>
      <w:r>
        <w:t>hinderrådet inledde sitt arbete. Gränshinderrådets mandat sträcker sig me</w:t>
      </w:r>
      <w:r>
        <w:t>l</w:t>
      </w:r>
      <w:r>
        <w:t>lan 2014-2017. I Gränshinderrådet finns åtta medlemmar, det vill säga de fem länderna plus Färöarna, Grönland och Åland. Nordiska ministerrådets generalsekreterare Dagfinn Höybråten och Nordiska rådets representant Bertel Haarder är också medlemmar. Gränshinderrådets medlemmar har en nära koppling till den politiska verkställigheten i sina respektive regering</w:t>
      </w:r>
      <w:r>
        <w:t>s</w:t>
      </w:r>
      <w:r>
        <w:t>kanslier.</w:t>
      </w:r>
      <w:r>
        <w:tab/>
      </w:r>
    </w:p>
    <w:p w:rsidR="00EB1371" w:rsidRDefault="00EB1371" w:rsidP="00EB1371">
      <w:pPr>
        <w:ind w:firstLine="284"/>
      </w:pPr>
      <w:r>
        <w:t>I arbetsformen för gränshinderarbetet ingår att varje medlem ska välja 3-5 gränshinder som man vill prioritera. Åland har valt att prioritera eltari</w:t>
      </w:r>
      <w:r>
        <w:t>f</w:t>
      </w:r>
      <w:r>
        <w:t xml:space="preserve">ferna till Sverige, examens- och yrkesbehörighet samt olika </w:t>
      </w:r>
      <w:r w:rsidRPr="00765924">
        <w:t>byggbestä</w:t>
      </w:r>
      <w:r w:rsidRPr="00765924">
        <w:t>m</w:t>
      </w:r>
      <w:r w:rsidRPr="00765924">
        <w:t>melser. Avseende byggbestämmelser så har landskapsregeringen i ett brev till det tidigare Gränshinderforum (nuvarande Gränshinderrådet) valt ut reglerna kring buller och brandskydd som pilotprojekt, något som även o</w:t>
      </w:r>
      <w:r w:rsidRPr="00765924">
        <w:t>m</w:t>
      </w:r>
      <w:r w:rsidRPr="00765924">
        <w:t>fattas av Gränshinderrådet. Dessa ärenden är fortfarande under utredning. Andra viktiga frågor för Åland finns prioriterade</w:t>
      </w:r>
      <w:r>
        <w:t xml:space="preserve"> av andra medlemmar. En fråga som fått sin lösning under 2014 är den om källskatt för säsongsarb</w:t>
      </w:r>
      <w:r>
        <w:t>e</w:t>
      </w:r>
      <w:r>
        <w:t>tare. En arbetstagare kan numera välja om man vill beskattas utifrån tabell eller fortsätta betala källskatt. Detta gör att säsongsarbete blir attraktivare då man inte automatiskt belastas med 35 % källskatt.</w:t>
      </w:r>
    </w:p>
    <w:p w:rsidR="00EB1371" w:rsidRDefault="00EB1371" w:rsidP="00EB1371">
      <w:pPr>
        <w:ind w:firstLine="284"/>
      </w:pPr>
      <w:r>
        <w:t xml:space="preserve">Ett ärende som fick en intensiv och snabb </w:t>
      </w:r>
      <w:r w:rsidRPr="00765924">
        <w:t>behandling under sommar och höst i Gränshinderrådet var frågan om avskaffandet av det så kallade A</w:t>
      </w:r>
      <w:r w:rsidRPr="00765924">
        <w:t>r</w:t>
      </w:r>
      <w:r w:rsidRPr="00765924">
        <w:t>jeplogsavtalet, som föreslogs avskaffas med hänvisning till befintligt EU-regelverk. Efter Gränshinderrådets påstötning kommer ministerrådet för s</w:t>
      </w:r>
      <w:r w:rsidRPr="00765924">
        <w:t>o</w:t>
      </w:r>
      <w:r w:rsidRPr="00765924">
        <w:lastRenderedPageBreak/>
        <w:t>ciala frågor att göra en fortsatt utredning vad ett avskaffande skulle inn</w:t>
      </w:r>
      <w:r w:rsidRPr="00765924">
        <w:t>e</w:t>
      </w:r>
      <w:r w:rsidRPr="00765924">
        <w:t>bära, särskilt för Färöarna, Grönland och Åland. Se</w:t>
      </w:r>
      <w:r>
        <w:t xml:space="preserve"> kapitel 2.3.9 för nä</w:t>
      </w:r>
      <w:r>
        <w:t>r</w:t>
      </w:r>
      <w:r>
        <w:t>mare information om Arjeplogsavtalet.</w:t>
      </w:r>
    </w:p>
    <w:p w:rsidR="00EB1371" w:rsidRDefault="00EB1371" w:rsidP="00EB1371">
      <w:pPr>
        <w:ind w:firstLine="284"/>
      </w:pPr>
      <w:r>
        <w:t xml:space="preserve">Hallå Norden-kontoret på </w:t>
      </w:r>
      <w:r w:rsidRPr="00765924">
        <w:t xml:space="preserve">Åland erhöll 2014 </w:t>
      </w:r>
      <w:r>
        <w:t>ett anslag</w:t>
      </w:r>
      <w:r w:rsidRPr="00765924">
        <w:t xml:space="preserve"> om</w:t>
      </w:r>
      <w:r>
        <w:t xml:space="preserve"> 34 000 euro ur</w:t>
      </w:r>
      <w:r w:rsidRPr="00C84913">
        <w:t xml:space="preserve"> Nordiska minister</w:t>
      </w:r>
      <w:r>
        <w:t>rådets budget</w:t>
      </w:r>
      <w:r w:rsidRPr="00C84913">
        <w:t>. Hallå Nordens uppgift är att besvara i</w:t>
      </w:r>
      <w:r w:rsidRPr="00C84913">
        <w:t>n</w:t>
      </w:r>
      <w:r w:rsidRPr="00C84913">
        <w:t>komna frågor och utgör därigenom en viktig resurs för att förebygga att frågeställare råkar ut för gränshinder. Samarbetet mellan Ålands represe</w:t>
      </w:r>
      <w:r w:rsidRPr="00C84913">
        <w:t>n</w:t>
      </w:r>
      <w:r w:rsidRPr="00C84913">
        <w:t>tant</w:t>
      </w:r>
      <w:r>
        <w:t>er</w:t>
      </w:r>
      <w:r w:rsidRPr="00C84913">
        <w:t xml:space="preserve"> i Gränshinderrådet och Hallå Norden</w:t>
      </w:r>
      <w:r>
        <w:t>-kontoret har varit tätt och r</w:t>
      </w:r>
      <w:r>
        <w:t>e</w:t>
      </w:r>
      <w:r>
        <w:t>gelbundet.</w:t>
      </w:r>
    </w:p>
    <w:p w:rsidR="00EB1371" w:rsidRDefault="00EB1371" w:rsidP="00EB1371">
      <w:pPr>
        <w:pStyle w:val="Rubrik3"/>
        <w:numPr>
          <w:ilvl w:val="2"/>
          <w:numId w:val="4"/>
        </w:numPr>
      </w:pPr>
      <w:bookmarkStart w:id="149" w:name="_Toc410992922"/>
      <w:bookmarkStart w:id="150" w:name="_Toc412443844"/>
      <w:bookmarkStart w:id="151" w:name="_Toc412702846"/>
      <w:r>
        <w:t>2.2.3 Nordiska rådets session</w:t>
      </w:r>
      <w:bookmarkEnd w:id="149"/>
      <w:bookmarkEnd w:id="150"/>
      <w:bookmarkEnd w:id="151"/>
    </w:p>
    <w:p w:rsidR="00EB1371" w:rsidRDefault="00EB1371" w:rsidP="00EB1371">
      <w:r>
        <w:t xml:space="preserve">Nordiska rådets 66:e session ägde rum den 28-30 oktober i Stockholm. Vid sessionen deltog lantrådet Camilla Gunell, utbildnings- och kulturminister Johan Ehn, social- och miljöminister Carina Aaltonen samt näringsminister Fredrik Karlström. I anslutning till sessionen hade ministerråden för kultur och </w:t>
      </w:r>
      <w:r w:rsidRPr="00765924">
        <w:t>miljö samt samarbetsministrarna möten</w:t>
      </w:r>
      <w:r>
        <w:t>. Samarbetsministrarna hade även möte med Nordiska rådets presidium. Lantrådet deltog i Färöarnas och Ålands regeringschefsmöte samt i möten med statsministrarna och med Nordiska rådets presidium. Grönlands regeringschef deltog inte vid ses</w:t>
      </w:r>
      <w:r>
        <w:t>s</w:t>
      </w:r>
      <w:r>
        <w:t>ionen.</w:t>
      </w:r>
    </w:p>
    <w:p w:rsidR="00EB1371" w:rsidRDefault="00EB1371" w:rsidP="00EB1371">
      <w:pPr>
        <w:ind w:firstLine="284"/>
      </w:pPr>
      <w:r>
        <w:t>Vid Färöarnas och Ålands regeringschefers möte med de fem nordiska statsministrarna beslöts, på initiativ av lantrådet Camilla Gunell, att No</w:t>
      </w:r>
      <w:r>
        <w:t>r</w:t>
      </w:r>
      <w:r>
        <w:t>diska ministerrådets generalsekreterare ska kartlägga vilka nordiska öve</w:t>
      </w:r>
      <w:r>
        <w:t>r</w:t>
      </w:r>
      <w:r>
        <w:t>enskommelser och avtal som står inför ändringar eller avskaffande då ny EU-lagstiftning antas i länderna. Detta som en följd av MR-S:s ärende om Arjeplogsavtalet. Se vidare kapitel 2.3.9.</w:t>
      </w:r>
    </w:p>
    <w:p w:rsidR="00EB1371" w:rsidRDefault="00EB1371" w:rsidP="00EB1371">
      <w:pPr>
        <w:ind w:firstLine="284"/>
      </w:pPr>
      <w:r>
        <w:t>Vid sessionens toppmöte med de nordiska statsministrarna talade lantr</w:t>
      </w:r>
      <w:r>
        <w:t>å</w:t>
      </w:r>
      <w:r>
        <w:t>det Camilla Gunell under temat: ”</w:t>
      </w:r>
      <w:r w:rsidRPr="00545A09">
        <w:rPr>
          <w:i/>
        </w:rPr>
        <w:t>Det Nordiska samarbetet i u</w:t>
      </w:r>
      <w:r>
        <w:rPr>
          <w:i/>
        </w:rPr>
        <w:t>tveckling – U</w:t>
      </w:r>
      <w:r w:rsidRPr="00545A09">
        <w:rPr>
          <w:i/>
        </w:rPr>
        <w:t>tbildning, integration och arbetsmarknad</w:t>
      </w:r>
      <w:r>
        <w:rPr>
          <w:i/>
        </w:rPr>
        <w:t xml:space="preserve"> – V</w:t>
      </w:r>
      <w:r w:rsidRPr="00545A09">
        <w:rPr>
          <w:i/>
        </w:rPr>
        <w:t>isioner för det framtida Norden</w:t>
      </w:r>
      <w:r>
        <w:t>”. Efter en överenskommelse med Färöarna och Grönland har en i</w:t>
      </w:r>
      <w:r>
        <w:t>n</w:t>
      </w:r>
      <w:r>
        <w:t xml:space="preserve">bördes rotationsordning införts vilket ändrat det faktum att Ålands lantråd tidigare alltid fått tala nästsist i debatten.     </w:t>
      </w:r>
    </w:p>
    <w:p w:rsidR="00EB1371" w:rsidRDefault="00EB1371" w:rsidP="00EB1371">
      <w:pPr>
        <w:ind w:firstLine="284"/>
      </w:pPr>
      <w:r>
        <w:t>Den föreslagna tematiska frågetimmen med finansministrarna fick i</w:t>
      </w:r>
      <w:r>
        <w:t>n</w:t>
      </w:r>
      <w:r>
        <w:t>ställas på grund av för många återbud. Den ersattes av en frågetimme med samarbetsministrarna.</w:t>
      </w:r>
    </w:p>
    <w:p w:rsidR="00EB1371" w:rsidRDefault="00EB1371" w:rsidP="00EB1371">
      <w:pPr>
        <w:pStyle w:val="Rubrik3"/>
        <w:numPr>
          <w:ilvl w:val="2"/>
          <w:numId w:val="4"/>
        </w:numPr>
      </w:pPr>
      <w:bookmarkStart w:id="152" w:name="_Toc410992923"/>
      <w:bookmarkStart w:id="153" w:name="_Toc412443845"/>
      <w:bookmarkStart w:id="154" w:name="_Toc412702847"/>
      <w:r>
        <w:t>2.2.4 Temasessionen</w:t>
      </w:r>
      <w:bookmarkEnd w:id="152"/>
      <w:bookmarkEnd w:id="153"/>
      <w:bookmarkEnd w:id="154"/>
    </w:p>
    <w:p w:rsidR="00EB1371" w:rsidRDefault="00EB1371" w:rsidP="00EB1371">
      <w:r>
        <w:t xml:space="preserve">7-8 april arrangerades Nordiska rådets temasession i isländska Akureyri. Ingen minister från landskapsregeringen deltog. </w:t>
      </w:r>
    </w:p>
    <w:p w:rsidR="00EB1371" w:rsidRDefault="00EB1371" w:rsidP="00EB1371">
      <w:pPr>
        <w:pStyle w:val="Rubrik3"/>
        <w:numPr>
          <w:ilvl w:val="2"/>
          <w:numId w:val="4"/>
        </w:numPr>
      </w:pPr>
      <w:bookmarkStart w:id="155" w:name="_Toc410992924"/>
      <w:bookmarkStart w:id="156" w:name="_Toc412443846"/>
      <w:bookmarkStart w:id="157" w:name="_Toc412702848"/>
      <w:r>
        <w:t>2.2.5 Politikerveckan i Almedalen</w:t>
      </w:r>
      <w:bookmarkEnd w:id="155"/>
      <w:bookmarkEnd w:id="156"/>
      <w:bookmarkEnd w:id="157"/>
    </w:p>
    <w:p w:rsidR="00EB1371" w:rsidRDefault="00EB1371" w:rsidP="00EB1371">
      <w:r>
        <w:t xml:space="preserve">Inom ramarna för politikerveckan i Almedalen på Gotland i månadsskiftet juni-juli arrangerades två </w:t>
      </w:r>
      <w:r w:rsidRPr="00765924">
        <w:t>nordiska dagar: måndagen arrangerades av No</w:t>
      </w:r>
      <w:r w:rsidRPr="00765924">
        <w:t>r</w:t>
      </w:r>
      <w:r w:rsidRPr="00765924">
        <w:t>diska ministerrådet och tisdagen av Föreningen Norden och Ålands lan</w:t>
      </w:r>
      <w:r w:rsidRPr="00765924">
        <w:t>d</w:t>
      </w:r>
      <w:r w:rsidRPr="00765924">
        <w:t>skapsregering. Under Norden-dagarna deltog lantrådet Camilla Gunell i seminarierna ”</w:t>
      </w:r>
      <w:r w:rsidRPr="00765924">
        <w:rPr>
          <w:i/>
        </w:rPr>
        <w:t>Hur bra är den</w:t>
      </w:r>
      <w:r w:rsidRPr="00545A09">
        <w:rPr>
          <w:i/>
        </w:rPr>
        <w:t xml:space="preserve"> nordiska modellen?</w:t>
      </w:r>
      <w:r>
        <w:t>” och ”</w:t>
      </w:r>
      <w:r w:rsidRPr="00545A09">
        <w:rPr>
          <w:i/>
        </w:rPr>
        <w:t>200 år av fred – tar vi freden i Norden för given?</w:t>
      </w:r>
      <w:r>
        <w:t>”, det senare administrerat av Ålands lan</w:t>
      </w:r>
      <w:r>
        <w:t>d</w:t>
      </w:r>
      <w:r>
        <w:t>skapsregering. Nordiska samarbetsministern Veronica Thörnroos deltog i seminariet ”</w:t>
      </w:r>
      <w:r w:rsidRPr="00545A09">
        <w:rPr>
          <w:i/>
        </w:rPr>
        <w:t>TV för ett öppet och fritt Norden</w:t>
      </w:r>
      <w:r>
        <w:t>” och social- och miljöminister Carina Aaltonen deltog i seminariet</w:t>
      </w:r>
      <w:r w:rsidRPr="0014680D">
        <w:t xml:space="preserve"> ”</w:t>
      </w:r>
      <w:r w:rsidRPr="00545A09">
        <w:rPr>
          <w:i/>
        </w:rPr>
        <w:t>Hälsosamarbete över nordiska grä</w:t>
      </w:r>
      <w:r w:rsidRPr="00545A09">
        <w:rPr>
          <w:i/>
        </w:rPr>
        <w:t>n</w:t>
      </w:r>
      <w:r w:rsidRPr="00545A09">
        <w:rPr>
          <w:i/>
        </w:rPr>
        <w:t>ser - Bo Könbergs rapport</w:t>
      </w:r>
      <w:r>
        <w:t>”.</w:t>
      </w:r>
    </w:p>
    <w:p w:rsidR="00EB1371" w:rsidRDefault="00EB1371" w:rsidP="00EB1371">
      <w:pPr>
        <w:ind w:firstLine="284"/>
      </w:pPr>
      <w:r>
        <w:t xml:space="preserve">Tisdagen avslutades med en mottagning ombord på fartyget Michael Sars där cirka </w:t>
      </w:r>
      <w:r w:rsidRPr="00765924">
        <w:t>140 Ålandsvänner och nordister deltog. Mottagningen</w:t>
      </w:r>
      <w:r>
        <w:t xml:space="preserve"> arra</w:t>
      </w:r>
      <w:r>
        <w:t>n</w:t>
      </w:r>
      <w:r>
        <w:t xml:space="preserve">gerades i samarbete med Föreningen Norden.  </w:t>
      </w:r>
    </w:p>
    <w:p w:rsidR="00EB1371" w:rsidRDefault="00EB1371" w:rsidP="00EB1371">
      <w:pPr>
        <w:pStyle w:val="Rubrik3"/>
        <w:numPr>
          <w:ilvl w:val="2"/>
          <w:numId w:val="4"/>
        </w:numPr>
      </w:pPr>
      <w:bookmarkStart w:id="158" w:name="_Toc410992925"/>
      <w:bookmarkStart w:id="159" w:name="_Toc412443847"/>
      <w:bookmarkStart w:id="160" w:name="_Toc412702849"/>
      <w:r>
        <w:lastRenderedPageBreak/>
        <w:t>2.2.6 Samarbetet med Färöarna och Grönland</w:t>
      </w:r>
      <w:bookmarkEnd w:id="158"/>
      <w:bookmarkEnd w:id="159"/>
      <w:bookmarkEnd w:id="160"/>
    </w:p>
    <w:p w:rsidR="00EB1371" w:rsidRDefault="00EB1371" w:rsidP="00EB1371">
      <w:r w:rsidRPr="001671D3">
        <w:t>Samarbetet mellan Färöarna, Grönland och Åland har under året fungerat väl. Inför samarbetsministermöten och möten i Nordiska samarbetskommi</w:t>
      </w:r>
      <w:r w:rsidRPr="001671D3">
        <w:t>t</w:t>
      </w:r>
      <w:r w:rsidRPr="001671D3">
        <w:t>tén görs en avstämning vilka ärenden man behöver understöd i. Ett exempel är frågan om riktlinjer för institutionernas stadgar som har beretts och ant</w:t>
      </w:r>
      <w:r w:rsidRPr="001671D3">
        <w:t>a</w:t>
      </w:r>
      <w:r w:rsidRPr="001671D3">
        <w:t>gits under 201</w:t>
      </w:r>
      <w:r>
        <w:t>4. Ett annat samarbete har lett till</w:t>
      </w:r>
      <w:r w:rsidRPr="001671D3">
        <w:t xml:space="preserve"> att Färöarnas, Grönlands och Ålands regeringschefer numera</w:t>
      </w:r>
      <w:r>
        <w:t xml:space="preserve"> inbjuds till statsministrarnas somma</w:t>
      </w:r>
      <w:r>
        <w:t>r</w:t>
      </w:r>
      <w:r>
        <w:t>möte.</w:t>
      </w:r>
    </w:p>
    <w:p w:rsidR="00EB1371" w:rsidRDefault="00EB1371" w:rsidP="00EB1371">
      <w:pPr>
        <w:pStyle w:val="Rubrik3"/>
        <w:numPr>
          <w:ilvl w:val="2"/>
          <w:numId w:val="4"/>
        </w:numPr>
      </w:pPr>
      <w:bookmarkStart w:id="161" w:name="_Toc410992926"/>
      <w:bookmarkStart w:id="162" w:name="_Toc412443848"/>
      <w:bookmarkStart w:id="163" w:name="_Toc412702850"/>
      <w:r>
        <w:t>2.2.7 Besök</w:t>
      </w:r>
      <w:bookmarkEnd w:id="161"/>
      <w:bookmarkEnd w:id="162"/>
      <w:bookmarkEnd w:id="163"/>
    </w:p>
    <w:p w:rsidR="00EB1371" w:rsidRDefault="00EB1371" w:rsidP="00EB1371">
      <w:r>
        <w:t>I augusti besökte Islands nordiska samarbetsminister Eygló Hardardóttir Åland. Värd för besöket var landskapets nordiska samarbetsminister Ver</w:t>
      </w:r>
      <w:r>
        <w:t>o</w:t>
      </w:r>
      <w:r>
        <w:t>nica Thörnroos. På programmet stod bland annat en presentation av Islands ordförandeprogram 2014 samt ett kommunbesök i Geta.</w:t>
      </w:r>
    </w:p>
    <w:p w:rsidR="00EB1371" w:rsidRPr="00603110" w:rsidRDefault="00EB1371" w:rsidP="00EB1371">
      <w:pPr>
        <w:ind w:firstLine="284"/>
      </w:pPr>
      <w:r>
        <w:t xml:space="preserve">Eftersom Island var ordförande i Nordiska ministerrådet så arrangerades sommarens statsministermöte i Akureyri på norra Island i maj. Lantrådet Camilla </w:t>
      </w:r>
      <w:r w:rsidRPr="00603110">
        <w:t>Gunell och förvaltnings- och utvecklingschefen deltog från Åland. Besöket föregicks av ett besök i Nuuk på Grönland där lantrådet öppnade en skärmutställning om Åland samt höll ett föredrag.</w:t>
      </w:r>
    </w:p>
    <w:p w:rsidR="00EB1371" w:rsidRPr="00603110" w:rsidRDefault="00EB1371" w:rsidP="00EB1371">
      <w:pPr>
        <w:ind w:firstLine="284"/>
      </w:pPr>
      <w:r w:rsidRPr="00603110">
        <w:t xml:space="preserve">Näringsminister Fredrik Karlström var värd då fiskeriminister Jacob </w:t>
      </w:r>
      <w:proofErr w:type="spellStart"/>
      <w:r w:rsidRPr="00603110">
        <w:t>V</w:t>
      </w:r>
      <w:r w:rsidRPr="00603110">
        <w:t>e</w:t>
      </w:r>
      <w:r w:rsidRPr="00603110">
        <w:t>stergaard</w:t>
      </w:r>
      <w:proofErr w:type="spellEnd"/>
      <w:r w:rsidRPr="00603110">
        <w:t xml:space="preserve"> och näringsminister Johan Dahl från Färöarna besökte Åland i slutet av sommaren. Vid besöket diskuterades aktuella frågor och gjordes flera företagsbesök.</w:t>
      </w:r>
    </w:p>
    <w:p w:rsidR="00EB1371" w:rsidRPr="00603110" w:rsidRDefault="00EB1371" w:rsidP="00EB1371">
      <w:pPr>
        <w:pStyle w:val="Rubrik2"/>
        <w:numPr>
          <w:ilvl w:val="1"/>
          <w:numId w:val="4"/>
        </w:numPr>
      </w:pPr>
      <w:bookmarkStart w:id="164" w:name="_Toc410992927"/>
      <w:bookmarkStart w:id="165" w:name="_Toc412443849"/>
      <w:bookmarkStart w:id="166" w:name="_Toc412702851"/>
      <w:r w:rsidRPr="00603110">
        <w:t>2.3 Sektoriellt arbete</w:t>
      </w:r>
      <w:bookmarkEnd w:id="164"/>
      <w:bookmarkEnd w:id="165"/>
      <w:bookmarkEnd w:id="166"/>
    </w:p>
    <w:p w:rsidR="00EB1371" w:rsidRPr="00603110" w:rsidRDefault="00EB1371" w:rsidP="00EB1371">
      <w:pPr>
        <w:pStyle w:val="Rubrik3"/>
        <w:numPr>
          <w:ilvl w:val="2"/>
          <w:numId w:val="4"/>
        </w:numPr>
      </w:pPr>
      <w:bookmarkStart w:id="167" w:name="_Toc410992928"/>
      <w:bookmarkStart w:id="168" w:name="_Toc412443850"/>
      <w:bookmarkStart w:id="169" w:name="_Toc412702852"/>
      <w:r w:rsidRPr="00603110">
        <w:t>2.3.1 Samarbetsministrarna (MR-SAM)</w:t>
      </w:r>
      <w:bookmarkEnd w:id="167"/>
      <w:bookmarkEnd w:id="168"/>
      <w:bookmarkEnd w:id="169"/>
      <w:r w:rsidRPr="00603110">
        <w:t xml:space="preserve"> </w:t>
      </w:r>
    </w:p>
    <w:p w:rsidR="00EB1371" w:rsidRPr="00603110" w:rsidRDefault="00EB1371" w:rsidP="00EB1371">
      <w:r w:rsidRPr="00603110">
        <w:t>MR-SAM är det ministerråd som har det samordnande ansvaret i Nordiska ministerrådet. Samarbetsministrarna har under året haft tre möten där sa</w:t>
      </w:r>
      <w:r w:rsidRPr="00603110">
        <w:t>m</w:t>
      </w:r>
      <w:r w:rsidRPr="00603110">
        <w:t>arbetsminister Veronica Thörnroos har deltagit. Samarbetsministrarna b</w:t>
      </w:r>
      <w:r w:rsidRPr="00603110">
        <w:t>i</w:t>
      </w:r>
      <w:r w:rsidRPr="00603110">
        <w:t>träds av tjänstemännen i Nordiska samarbetskommittén NSK som samtidigt fungerar som styrelse för sekretariatet i Köpenhamn. Nordiska samarbet</w:t>
      </w:r>
      <w:r w:rsidRPr="00603110">
        <w:t>s</w:t>
      </w:r>
      <w:r w:rsidRPr="00603110">
        <w:t>kommittén möttes vid sju tillfällen varav ett extrainsatt möte, fyra av dessa i samband med samarbetsministrarnas möten.</w:t>
      </w:r>
    </w:p>
    <w:p w:rsidR="00EB1371" w:rsidRPr="003F194B" w:rsidRDefault="00EB1371" w:rsidP="00EB1371">
      <w:pPr>
        <w:ind w:firstLine="284"/>
      </w:pPr>
      <w:r w:rsidRPr="00603110">
        <w:t xml:space="preserve">Även 2014 har präglats av kravet på en budgetreduktion om 5 % för hela Nordiska </w:t>
      </w:r>
      <w:r w:rsidRPr="00765924">
        <w:t xml:space="preserve">ministerrådet. </w:t>
      </w:r>
      <w:r w:rsidRPr="003F194B">
        <w:t>Reduktionen för 2015 är fastställd till 2 %, och fastställandet av budgetramen för 2016 föregicks av en intensiv di</w:t>
      </w:r>
      <w:r w:rsidRPr="003F194B">
        <w:t>s</w:t>
      </w:r>
      <w:r w:rsidRPr="003F194B">
        <w:t>kussion där det antogs en kompromiss om en reduktion på 1 %. Reduktio</w:t>
      </w:r>
      <w:r w:rsidRPr="003F194B">
        <w:t>n</w:t>
      </w:r>
      <w:r w:rsidRPr="003F194B">
        <w:t>en stannar alltså vid 8 % i jämförelse med förslaget om 10 %. Nordiska m</w:t>
      </w:r>
      <w:r w:rsidRPr="003F194B">
        <w:t>i</w:t>
      </w:r>
      <w:r w:rsidRPr="003F194B">
        <w:t xml:space="preserve">nisterrådets budget för 2014 uppgick till 128 miljoner euro. </w:t>
      </w:r>
    </w:p>
    <w:p w:rsidR="00EB1371" w:rsidRDefault="00EB1371" w:rsidP="00EB1371">
      <w:pPr>
        <w:ind w:firstLine="284"/>
      </w:pPr>
      <w:r w:rsidRPr="003F194B">
        <w:t>Under året har samarbetsministrarna</w:t>
      </w:r>
      <w:r>
        <w:t xml:space="preserve"> bland annat godkänt visionerna för det framtida nordiska samarbetet, generalsekreterarens 39 modernisering</w:t>
      </w:r>
      <w:r>
        <w:t>s</w:t>
      </w:r>
      <w:r>
        <w:t>förslag i ”Nytt Norden”, strategin för internationell profilering och posi</w:t>
      </w:r>
      <w:r>
        <w:t>t</w:t>
      </w:r>
      <w:r>
        <w:t>ionering samt det Arktiska samarbetsprogrammet för de kommande tre åren.</w:t>
      </w:r>
    </w:p>
    <w:p w:rsidR="00EB1371" w:rsidRDefault="00EB1371" w:rsidP="00EB1371">
      <w:pPr>
        <w:pStyle w:val="Rubrik3"/>
        <w:numPr>
          <w:ilvl w:val="2"/>
          <w:numId w:val="4"/>
        </w:numPr>
      </w:pPr>
      <w:bookmarkStart w:id="170" w:name="_Toc410992929"/>
      <w:bookmarkStart w:id="171" w:name="_Toc412443851"/>
      <w:bookmarkStart w:id="172" w:name="_Toc412702853"/>
      <w:r>
        <w:t>2.3.2 Arbetsliv</w:t>
      </w:r>
      <w:bookmarkEnd w:id="170"/>
      <w:bookmarkEnd w:id="171"/>
      <w:bookmarkEnd w:id="172"/>
      <w:r>
        <w:tab/>
      </w:r>
    </w:p>
    <w:p w:rsidR="00EB1371" w:rsidRDefault="00EB1371" w:rsidP="00EB1371">
      <w:r>
        <w:t>Arbetsmarknadsministrarna möttes i Köpenhamn den 20 november. Åland var inte representerat vid mötet. På agendan fanns dels temadiskussioner med representanter från arbetsmarknadsparter och dels ärenden för m</w:t>
      </w:r>
      <w:r>
        <w:t>i</w:t>
      </w:r>
      <w:r>
        <w:t>nisterrådet. Ett ärende som varit aktuellt en längre tid och som nu kunde a</w:t>
      </w:r>
      <w:r>
        <w:t>v</w:t>
      </w:r>
      <w:r>
        <w:t>föras från agendan över nordiska gränshinder var möjligheten att delta i a</w:t>
      </w:r>
      <w:r>
        <w:t>r</w:t>
      </w:r>
      <w:r>
        <w:t>betspraktik över de nordiska gränserna. Det konstaterades att reglerna kring arbetspraktik inte är möjliga att tillämpa över landsgränserna, men hindret är samtidigt av ytterst liten betydelse för den internordiska rörligheten.</w:t>
      </w:r>
    </w:p>
    <w:p w:rsidR="00EB1371" w:rsidRDefault="00EB1371" w:rsidP="00EB1371">
      <w:pPr>
        <w:ind w:firstLine="284"/>
      </w:pPr>
      <w:r>
        <w:lastRenderedPageBreak/>
        <w:t>I ämbetsmannakommittén för arbetsliv, ÄK-A, och i kommitténs a</w:t>
      </w:r>
      <w:r>
        <w:t>r</w:t>
      </w:r>
      <w:r>
        <w:t>betsmarknadsutskott representeras Åland av myndighetschefen för Ams. Båda organen har hållit två möten under året. Vid mötena bereds och bea</w:t>
      </w:r>
      <w:r>
        <w:t>r</w:t>
      </w:r>
      <w:r>
        <w:t>betas ärenden från ministerrådet, samt behandlas ansökningar om nordiska projektmedel inom arbetslivsområdet. För närvarande görs exempelvis en studie av effektiviteten av arbetsmarknadsutbildningarna i de nordiska lä</w:t>
      </w:r>
      <w:r>
        <w:t>n</w:t>
      </w:r>
      <w:r>
        <w:t>derna. Vid mötena presenteras även aktuella arbetsmarknadsfrågor i respe</w:t>
      </w:r>
      <w:r>
        <w:t>k</w:t>
      </w:r>
      <w:r>
        <w:t xml:space="preserve">tive land samt inom EU.    </w:t>
      </w:r>
    </w:p>
    <w:p w:rsidR="00EB1371" w:rsidRDefault="00EB1371" w:rsidP="00EB1371">
      <w:pPr>
        <w:ind w:firstLine="284"/>
      </w:pPr>
      <w:r>
        <w:t>Under år 2014 fyllde den nordiska överenskommelsen om gemensam arbetsmarknad 60 år. Jubileet firades i Reykjavik på 60-årsdagen den 21 maj med bland annat ett seminarium där en rapport om den aktuella a</w:t>
      </w:r>
      <w:r>
        <w:t>r</w:t>
      </w:r>
      <w:r>
        <w:t>betsmarknadsutvecklingen i Norden presenterades. Rapporten ”</w:t>
      </w:r>
      <w:r w:rsidRPr="00D55953">
        <w:rPr>
          <w:i/>
          <w:lang w:val="sv-FI"/>
        </w:rPr>
        <w:t xml:space="preserve">The Nordic </w:t>
      </w:r>
      <w:proofErr w:type="spellStart"/>
      <w:r w:rsidRPr="00D55953">
        <w:rPr>
          <w:i/>
          <w:lang w:val="sv-FI"/>
        </w:rPr>
        <w:t>Model</w:t>
      </w:r>
      <w:proofErr w:type="spellEnd"/>
      <w:r w:rsidRPr="00D55953">
        <w:rPr>
          <w:i/>
          <w:lang w:val="sv-FI"/>
        </w:rPr>
        <w:t xml:space="preserve"> – </w:t>
      </w:r>
      <w:proofErr w:type="spellStart"/>
      <w:r w:rsidRPr="00D55953">
        <w:rPr>
          <w:i/>
          <w:lang w:val="sv-FI"/>
        </w:rPr>
        <w:t>Challenged</w:t>
      </w:r>
      <w:proofErr w:type="spellEnd"/>
      <w:r w:rsidRPr="00D55953">
        <w:rPr>
          <w:i/>
          <w:lang w:val="sv-FI"/>
        </w:rPr>
        <w:t xml:space="preserve"> </w:t>
      </w:r>
      <w:proofErr w:type="spellStart"/>
      <w:r w:rsidRPr="00D55953">
        <w:rPr>
          <w:i/>
          <w:lang w:val="sv-FI"/>
        </w:rPr>
        <w:t>but</w:t>
      </w:r>
      <w:proofErr w:type="spellEnd"/>
      <w:r w:rsidRPr="00D55953">
        <w:rPr>
          <w:i/>
          <w:lang w:val="sv-FI"/>
        </w:rPr>
        <w:t xml:space="preserve"> </w:t>
      </w:r>
      <w:proofErr w:type="spellStart"/>
      <w:r w:rsidRPr="00D55953">
        <w:rPr>
          <w:i/>
          <w:lang w:val="sv-FI"/>
        </w:rPr>
        <w:t>Capable</w:t>
      </w:r>
      <w:proofErr w:type="spellEnd"/>
      <w:r w:rsidRPr="00D55953">
        <w:rPr>
          <w:i/>
          <w:lang w:val="sv-FI"/>
        </w:rPr>
        <w:t xml:space="preserve"> </w:t>
      </w:r>
      <w:proofErr w:type="spellStart"/>
      <w:r w:rsidRPr="00D55953">
        <w:rPr>
          <w:i/>
          <w:lang w:val="sv-FI"/>
        </w:rPr>
        <w:t>of</w:t>
      </w:r>
      <w:proofErr w:type="spellEnd"/>
      <w:r w:rsidRPr="00D55953">
        <w:rPr>
          <w:i/>
          <w:lang w:val="sv-FI"/>
        </w:rPr>
        <w:t xml:space="preserve"> Reform</w:t>
      </w:r>
      <w:r>
        <w:rPr>
          <w:lang w:val="sv-FI"/>
        </w:rPr>
        <w:t>”</w:t>
      </w:r>
      <w:r>
        <w:t xml:space="preserve"> har beställts av Nordiska M</w:t>
      </w:r>
      <w:r>
        <w:t>i</w:t>
      </w:r>
      <w:r>
        <w:t>nisterrådet och utförts av ETLA i Finland. I rapporten diskuteras situatio</w:t>
      </w:r>
      <w:r>
        <w:t>n</w:t>
      </w:r>
      <w:r>
        <w:t>en i de nordiska länderna i ljuset av de senaste årens svaga ekonomiska u</w:t>
      </w:r>
      <w:r>
        <w:t>t</w:t>
      </w:r>
      <w:r>
        <w:t>veckling i omvärlden. Det konstateras att ”den nordiska modellen” med en utbyggd generell välfärd överlag har klarat påfrestningarna bra, men att det också finns stora utmaningar på kommande. Rapporten har även uppmär</w:t>
      </w:r>
      <w:r>
        <w:t>k</w:t>
      </w:r>
      <w:r>
        <w:t>sammats internationellt.</w:t>
      </w:r>
    </w:p>
    <w:p w:rsidR="00EB1371" w:rsidRDefault="00EB1371" w:rsidP="00EB1371">
      <w:pPr>
        <w:pStyle w:val="Rubrik3"/>
        <w:numPr>
          <w:ilvl w:val="2"/>
          <w:numId w:val="4"/>
        </w:numPr>
      </w:pPr>
      <w:bookmarkStart w:id="173" w:name="_Toc410992930"/>
      <w:bookmarkStart w:id="174" w:name="_Toc412443852"/>
      <w:bookmarkStart w:id="175" w:name="_Toc412702854"/>
      <w:r>
        <w:t xml:space="preserve">2.3.3 Fiskeri </w:t>
      </w:r>
      <w:r w:rsidRPr="00765924">
        <w:t>och havsliv, jordbruk, livsmedel</w:t>
      </w:r>
      <w:r>
        <w:t xml:space="preserve"> och skogsbruk (MR-FJLS)</w:t>
      </w:r>
      <w:bookmarkEnd w:id="173"/>
      <w:bookmarkEnd w:id="174"/>
      <w:bookmarkEnd w:id="175"/>
    </w:p>
    <w:p w:rsidR="00EB1371" w:rsidRDefault="00EB1371" w:rsidP="00EB1371">
      <w:r>
        <w:t>Vid ministerrådets sommarmöte i Sellfoss den 24-25 juni 2014 deltog n</w:t>
      </w:r>
      <w:r>
        <w:t>ä</w:t>
      </w:r>
      <w:r>
        <w:t>ringsminister Fredrik Karlström samt en tjänsteman från näringsavdelnin</w:t>
      </w:r>
      <w:r>
        <w:t>g</w:t>
      </w:r>
      <w:r>
        <w:t>en. Det isländska ordförandeskapet hade valt att fokusera på temat bioek</w:t>
      </w:r>
      <w:r>
        <w:t>o</w:t>
      </w:r>
      <w:r>
        <w:t>nomi. Under sommarmötets inledande seminarium hölls flera intressanta föredrag inom ett brett område inom ramen för bioekonomi. Under mini</w:t>
      </w:r>
      <w:r>
        <w:t>s</w:t>
      </w:r>
      <w:r>
        <w:t>termötet hölls en diskussion kring ämnet samt även kring ämnena BNP j</w:t>
      </w:r>
      <w:r>
        <w:t>u</w:t>
      </w:r>
      <w:r>
        <w:t>sterat utifrån köpkraft (PPP), globaliseringsinitiativ och ministerrådets m</w:t>
      </w:r>
      <w:r>
        <w:t>o</w:t>
      </w:r>
      <w:r>
        <w:t>derniseringsrapport.</w:t>
      </w:r>
    </w:p>
    <w:p w:rsidR="00EB1371" w:rsidRDefault="00EB1371" w:rsidP="00EB1371">
      <w:pPr>
        <w:ind w:firstLine="284"/>
      </w:pPr>
      <w:r>
        <w:t xml:space="preserve">Landsbygdsutvecklare Lena Brenner har även under år 2014 fungerat som styrgruppsordförande för Ny Nordisk Mad II. </w:t>
      </w:r>
    </w:p>
    <w:p w:rsidR="00EB1371" w:rsidRDefault="00EB1371" w:rsidP="00EB1371">
      <w:pPr>
        <w:ind w:firstLine="284"/>
      </w:pPr>
      <w:r>
        <w:t>Inom skogsbrukssektorn var landskapsregeringen representerad vid Samnordisk skogsforsknings (SNS) styrelsemöte i Helsingfors den 19 n</w:t>
      </w:r>
      <w:r>
        <w:t>o</w:t>
      </w:r>
      <w:r>
        <w:t>vember 2014. Vid mötet godkändes SNS:s arbetsprogram samt budgeten för 2015. Vidare behandlades bland annat medelsansökningar för nätverk</w:t>
      </w:r>
      <w:r>
        <w:t>s</w:t>
      </w:r>
      <w:r>
        <w:t xml:space="preserve">aktiviteter och projekt samt för särskilda insatser under 2015. Ytterligare presenterades ett utkast till kommunikationsstrategi för SNS samt nyheter från det danska ordförandeskapet, Nordiska ministerrådet och </w:t>
      </w:r>
      <w:proofErr w:type="spellStart"/>
      <w:r w:rsidRPr="00D55953">
        <w:rPr>
          <w:lang w:val="sv-FI"/>
        </w:rPr>
        <w:t>European</w:t>
      </w:r>
      <w:proofErr w:type="spellEnd"/>
      <w:r w:rsidRPr="00D55953">
        <w:rPr>
          <w:lang w:val="sv-FI"/>
        </w:rPr>
        <w:t xml:space="preserve"> F</w:t>
      </w:r>
      <w:r w:rsidRPr="00D55953">
        <w:rPr>
          <w:lang w:val="sv-FI"/>
        </w:rPr>
        <w:t>o</w:t>
      </w:r>
      <w:r w:rsidRPr="00D55953">
        <w:rPr>
          <w:lang w:val="sv-FI"/>
        </w:rPr>
        <w:t xml:space="preserve">rest </w:t>
      </w:r>
      <w:proofErr w:type="spellStart"/>
      <w:r w:rsidRPr="00D55953">
        <w:rPr>
          <w:lang w:val="sv-FI"/>
        </w:rPr>
        <w:t>Institute</w:t>
      </w:r>
      <w:proofErr w:type="spellEnd"/>
      <w:r w:rsidRPr="00D55953">
        <w:rPr>
          <w:lang w:val="sv-FI"/>
        </w:rPr>
        <w:t xml:space="preserve"> </w:t>
      </w:r>
      <w:r w:rsidRPr="00765924">
        <w:t>(EFINORD).</w:t>
      </w:r>
    </w:p>
    <w:p w:rsidR="00EB1371" w:rsidRPr="00765924" w:rsidRDefault="00EB1371" w:rsidP="00EB1371">
      <w:pPr>
        <w:pStyle w:val="Rubrik3"/>
        <w:numPr>
          <w:ilvl w:val="2"/>
          <w:numId w:val="4"/>
        </w:numPr>
      </w:pPr>
      <w:bookmarkStart w:id="176" w:name="_Toc410992931"/>
      <w:bookmarkStart w:id="177" w:name="_Toc412443853"/>
      <w:bookmarkStart w:id="178" w:name="_Toc412702855"/>
      <w:r w:rsidRPr="00765924">
        <w:t>2.3.4 Jämställdhet (MR-JÄM)</w:t>
      </w:r>
      <w:bookmarkEnd w:id="176"/>
      <w:bookmarkEnd w:id="177"/>
      <w:bookmarkEnd w:id="178"/>
    </w:p>
    <w:p w:rsidR="00EB1371" w:rsidRPr="00765924" w:rsidRDefault="00EB1371" w:rsidP="00EB1371">
      <w:r w:rsidRPr="00765924">
        <w:t>Regeringarna i de nordiska länderna och självstyrande områdena samarb</w:t>
      </w:r>
      <w:r w:rsidRPr="00765924">
        <w:t>e</w:t>
      </w:r>
      <w:r w:rsidRPr="00765924">
        <w:t>tar på jämställdhetsområdet under ledning av de nordiska jämställdhetsm</w:t>
      </w:r>
      <w:r w:rsidRPr="00765924">
        <w:t>i</w:t>
      </w:r>
      <w:r w:rsidRPr="00765924">
        <w:t>nistrarna som tillsammans bildar ministerrådet för jämställdhet (MR-JÄM). Utgångspunkten för ministerrådet för jämställdhet är att det nordiska sa</w:t>
      </w:r>
      <w:r w:rsidRPr="00765924">
        <w:t>m</w:t>
      </w:r>
      <w:r w:rsidRPr="00765924">
        <w:t>arbetet på jämställdhetsområdet ska leda till nordisk nytta genom att man tillvaratar och delar med sig av kunskap, kompetens och erfarenheter på jämställdhetsområdet. Det nordiska jämställdhetsarbetet ska också ge a</w:t>
      </w:r>
      <w:r w:rsidRPr="00765924">
        <w:t>v</w:t>
      </w:r>
      <w:r w:rsidRPr="00765924">
        <w:t>tryck i globala sammanhang.</w:t>
      </w:r>
    </w:p>
    <w:p w:rsidR="00EB1371" w:rsidRPr="00765924" w:rsidRDefault="00EB1371" w:rsidP="00EB1371">
      <w:pPr>
        <w:ind w:firstLine="284"/>
      </w:pPr>
      <w:r w:rsidRPr="00765924">
        <w:t>Ålands representant i ämbetsmannakommittén för jämställdhet tar in</w:t>
      </w:r>
      <w:r w:rsidRPr="00765924">
        <w:t>i</w:t>
      </w:r>
      <w:r w:rsidRPr="00765924">
        <w:t>tiativ gällande åländska intressen i jämställdhetssamarbetet, bevakar, u</w:t>
      </w:r>
      <w:r w:rsidRPr="00765924">
        <w:t>t</w:t>
      </w:r>
      <w:r w:rsidRPr="00765924">
        <w:t xml:space="preserve">vecklar och följer upp frågor som är relevanta för landskapet.  </w:t>
      </w:r>
    </w:p>
    <w:p w:rsidR="00EB1371" w:rsidRPr="00765924" w:rsidRDefault="00EB1371" w:rsidP="00EB1371">
      <w:pPr>
        <w:pStyle w:val="Rubrik3"/>
        <w:numPr>
          <w:ilvl w:val="2"/>
          <w:numId w:val="4"/>
        </w:numPr>
      </w:pPr>
      <w:bookmarkStart w:id="179" w:name="_Toc410992932"/>
      <w:bookmarkStart w:id="180" w:name="_Toc412443854"/>
      <w:bookmarkStart w:id="181" w:name="_Toc412702856"/>
      <w:r w:rsidRPr="00765924">
        <w:lastRenderedPageBreak/>
        <w:t>2.3.5 Kultur (MR-K)</w:t>
      </w:r>
      <w:bookmarkEnd w:id="179"/>
      <w:bookmarkEnd w:id="180"/>
      <w:bookmarkEnd w:id="181"/>
    </w:p>
    <w:p w:rsidR="00EB1371" w:rsidRDefault="00EB1371" w:rsidP="00EB1371">
      <w:r>
        <w:t>De nordiska kulturministrarna har mötts två gånger under året, i april i M</w:t>
      </w:r>
      <w:r>
        <w:t>u</w:t>
      </w:r>
      <w:r>
        <w:t>sikhuset Harpa i Reykjavik och i oktober i Riksdagshuset i Stockholm. Ämbetsmannakommittén för kultur (ÄK-K), som har ett övergripande a</w:t>
      </w:r>
      <w:r>
        <w:t>n</w:t>
      </w:r>
      <w:r>
        <w:t>svar för kultursektorn i Norden inklusive fördelningen av tillgängliga a</w:t>
      </w:r>
      <w:r>
        <w:t>n</w:t>
      </w:r>
      <w:r>
        <w:t>slag inom området, har under året förberett och följt upp ministerrådets ärenden. På kulturministrarnas och ämbetsmannakommitténs agendor har bland annat funnits följande punkter som ur landskapsregeringens synvi</w:t>
      </w:r>
      <w:r>
        <w:t>n</w:t>
      </w:r>
      <w:r>
        <w:t>kel haft väsentlig betydelse:</w:t>
      </w:r>
    </w:p>
    <w:p w:rsidR="00EB1371" w:rsidRDefault="00EB1371" w:rsidP="00EB1371">
      <w:pPr>
        <w:ind w:left="426" w:hanging="142"/>
      </w:pPr>
      <w:r>
        <w:t>• Utvärdering av de nordiska husen och instituten inklusive en han</w:t>
      </w:r>
      <w:r>
        <w:t>d</w:t>
      </w:r>
      <w:r>
        <w:t>lingsplan för att utvidga dessa institutioners roll för det nordiska sa</w:t>
      </w:r>
      <w:r>
        <w:t>m</w:t>
      </w:r>
      <w:r>
        <w:t>arbetet.</w:t>
      </w:r>
    </w:p>
    <w:p w:rsidR="00EB1371" w:rsidRDefault="00EB1371" w:rsidP="00EB1371">
      <w:pPr>
        <w:ind w:left="426" w:hanging="142"/>
      </w:pPr>
      <w:r>
        <w:t>• Genomgång och revidering av stadgar för Nordiska rådets pris inom film, musik, litteratur och barnlitteratur samt miljöinsatser.</w:t>
      </w:r>
    </w:p>
    <w:p w:rsidR="00EB1371" w:rsidRDefault="00EB1371" w:rsidP="00EB1371">
      <w:pPr>
        <w:ind w:firstLine="284"/>
      </w:pPr>
      <w:r>
        <w:t>• Deklaration om vikten av nordiskt arkivarbete och samarbete.</w:t>
      </w:r>
    </w:p>
    <w:p w:rsidR="00EB1371" w:rsidRDefault="00EB1371" w:rsidP="00EB1371">
      <w:pPr>
        <w:ind w:left="426" w:hanging="142"/>
      </w:pPr>
      <w:r>
        <w:t xml:space="preserve">• Kartläggning av initiativ, forskning och utbildning på kultur- och </w:t>
      </w:r>
    </w:p>
    <w:p w:rsidR="00EB1371" w:rsidRDefault="00EB1371" w:rsidP="00EB1371">
      <w:pPr>
        <w:ind w:left="709" w:hanging="284"/>
      </w:pPr>
      <w:r>
        <w:t>hälsoområdet i Norden.</w:t>
      </w:r>
    </w:p>
    <w:p w:rsidR="00EB1371" w:rsidRPr="00E6480B" w:rsidRDefault="00EB1371" w:rsidP="00EB1371">
      <w:r>
        <w:t>Färöarnas kulturminister Björn Kalsö besökte Åland under våren. Diskus</w:t>
      </w:r>
      <w:r>
        <w:t>s</w:t>
      </w:r>
      <w:r>
        <w:t>ioner om möjligheter till samverkan på utbildnings- och kulturområdet fö</w:t>
      </w:r>
      <w:r>
        <w:t>r</w:t>
      </w:r>
      <w:r>
        <w:t>des med landskapets utbildnings- och kulturminister Johan Ehn, som stod värd för besöket. Gästerna besökte bland annat Nordens institut, Ålands sjöfartsmuseum och Högskolan på Åland. Den åländska ministern och b</w:t>
      </w:r>
      <w:r>
        <w:t>e</w:t>
      </w:r>
      <w:r>
        <w:t xml:space="preserve">rörd tjänsteman gjorde i sin tur en svarsvisit på </w:t>
      </w:r>
      <w:r w:rsidRPr="00E6480B">
        <w:t>Färöarna under hösten.</w:t>
      </w:r>
    </w:p>
    <w:p w:rsidR="00EB1371" w:rsidRDefault="00EB1371" w:rsidP="00EB1371">
      <w:pPr>
        <w:ind w:firstLine="284"/>
      </w:pPr>
      <w:r>
        <w:t xml:space="preserve">De senaste årens nedskärningar i den nordiska kulturbudgeten – som bland annat drabbat de nordiska husen och instituten – har bromsats så att till exempel Nordens institut på Åland (NIPÅ) inte utsatts för ytterligare nedskärningar under 2015. Minskningen av budgetmedel för NIPÅ var 6 % under 2014. </w:t>
      </w:r>
    </w:p>
    <w:p w:rsidR="00EB1371" w:rsidRDefault="00EB1371" w:rsidP="00EB1371">
      <w:pPr>
        <w:ind w:firstLine="284"/>
      </w:pPr>
      <w:r>
        <w:t>Ett nordiskt landsarkivariemöte ordnades i september av Ålands lan</w:t>
      </w:r>
      <w:r>
        <w:t>d</w:t>
      </w:r>
      <w:r>
        <w:t>skapsarkiv. Närmare trettio chefer vid de nordiska arkivverken deltog. Til</w:t>
      </w:r>
      <w:r>
        <w:t>l</w:t>
      </w:r>
      <w:r>
        <w:t>ställningen har i dess nuvarande form varit årligen återkommande sedan år 1992. Under konferenserna gav deltagarna lägesrapporter om aktualiteter inom respektive lands eller självstyrt områdes arkivväsen. Frågor som berör dokumentförvaltning inom offentlig förvaltning behandlades med ett ko</w:t>
      </w:r>
      <w:r>
        <w:t>m</w:t>
      </w:r>
      <w:r>
        <w:t>parativt grepp.</w:t>
      </w:r>
    </w:p>
    <w:p w:rsidR="00EB1371" w:rsidRDefault="00EB1371" w:rsidP="00EB1371">
      <w:pPr>
        <w:pStyle w:val="Rubrik3"/>
        <w:numPr>
          <w:ilvl w:val="2"/>
          <w:numId w:val="4"/>
        </w:numPr>
      </w:pPr>
      <w:bookmarkStart w:id="182" w:name="_Toc410992933"/>
      <w:bookmarkStart w:id="183" w:name="_Toc412443855"/>
      <w:bookmarkStart w:id="184" w:name="_Toc412702857"/>
      <w:r>
        <w:t>2.3.6 Lagsamarbetet (MR-LAG)</w:t>
      </w:r>
      <w:bookmarkEnd w:id="182"/>
      <w:bookmarkEnd w:id="183"/>
      <w:bookmarkEnd w:id="184"/>
    </w:p>
    <w:p w:rsidR="00EB1371" w:rsidRDefault="00EB1371" w:rsidP="00EB1371">
      <w:r>
        <w:t>Eftersom arbetet i MR-LAG främst rör frågor utanför Ålands lagstiftning</w:t>
      </w:r>
      <w:r>
        <w:t>s</w:t>
      </w:r>
      <w:r>
        <w:t>behörighet har landskapsregeringen inte deltagit i arbetet under året.</w:t>
      </w:r>
    </w:p>
    <w:p w:rsidR="00EB1371" w:rsidRDefault="00EB1371" w:rsidP="00EB1371">
      <w:pPr>
        <w:pStyle w:val="Rubrik3"/>
        <w:numPr>
          <w:ilvl w:val="2"/>
          <w:numId w:val="4"/>
        </w:numPr>
      </w:pPr>
      <w:bookmarkStart w:id="185" w:name="_Toc410992934"/>
      <w:bookmarkStart w:id="186" w:name="_Toc412443856"/>
      <w:bookmarkStart w:id="187" w:name="_Toc412702858"/>
      <w:r>
        <w:t>2.3.7 Miljö (MR-M)</w:t>
      </w:r>
      <w:bookmarkEnd w:id="185"/>
      <w:bookmarkEnd w:id="186"/>
      <w:bookmarkEnd w:id="187"/>
    </w:p>
    <w:p w:rsidR="00EB1371" w:rsidRDefault="00EB1371" w:rsidP="00EB1371">
      <w:r>
        <w:t>Ministerrådet för miljö har hållit ett möte under året och miljöminister C</w:t>
      </w:r>
      <w:r>
        <w:t>a</w:t>
      </w:r>
      <w:r>
        <w:t xml:space="preserve">rina Aaltonen deltog i </w:t>
      </w:r>
      <w:r w:rsidRPr="00E6480B">
        <w:t>mötet som hölls i Stockholm. Vid mötet diskuterades bland annat EU:s förslag till luftpaket. De nordiska miljöministrarna vä</w:t>
      </w:r>
      <w:r w:rsidRPr="00E6480B">
        <w:t>l</w:t>
      </w:r>
      <w:r w:rsidRPr="00E6480B">
        <w:t>komnar att EU-kommissionen har lagt fram förslag</w:t>
      </w:r>
      <w:r>
        <w:t xml:space="preserve"> till att begränsa gräns</w:t>
      </w:r>
      <w:r>
        <w:t>ö</w:t>
      </w:r>
      <w:r>
        <w:t>verskridande luftföroreningar. Vidare diskuterades ökad sjöfart i Arktis, NEFCO och en nordisk arbetsplan för ett globalt klimatavtal. De nordiska miljöministrarna hade även ett möte med Nordiska Rådets miljö- och natu</w:t>
      </w:r>
      <w:r>
        <w:t>r</w:t>
      </w:r>
      <w:r>
        <w:t>resursutskott. Då diskuterades kemikalie- och klimatpolitik samt ett förslag till nordisk certifiering av hållbara turistdestinationer.</w:t>
      </w:r>
    </w:p>
    <w:p w:rsidR="00EB1371" w:rsidRPr="00E6480B" w:rsidRDefault="00EB1371" w:rsidP="00EB1371">
      <w:pPr>
        <w:ind w:firstLine="284"/>
      </w:pPr>
      <w:r>
        <w:t>Landskapsregeringen har deltagit i två av de tre möten som hållits i ämbetsmannakommittén för miljö. Vid mötena diskuterades bl.a. statsm</w:t>
      </w:r>
      <w:r>
        <w:t>i</w:t>
      </w:r>
      <w:r>
        <w:t xml:space="preserve">nisterinitiativet om grön tillväxt, politiska prioriteringar under </w:t>
      </w:r>
      <w:r w:rsidRPr="00E6480B">
        <w:t>2015, den femte IPPC rapporten samt det nya styrdokumentet för miljömärket Sv</w:t>
      </w:r>
      <w:r w:rsidRPr="00E6480B">
        <w:t>a</w:t>
      </w:r>
      <w:r w:rsidRPr="00E6480B">
        <w:t>nen.</w:t>
      </w:r>
    </w:p>
    <w:p w:rsidR="00EB1371" w:rsidRDefault="00EB1371" w:rsidP="00EB1371">
      <w:pPr>
        <w:ind w:firstLine="284"/>
      </w:pPr>
      <w:r>
        <w:lastRenderedPageBreak/>
        <w:t xml:space="preserve">Det finns åtta arbetsgrupper under ämbetsmannakommittén för miljö. Landskapsregeringen är medlem i terrestra ekosystemgruppen (TEG) men har inte tagit del i gruppens möten. Däremot tog landskapsregeringen </w:t>
      </w:r>
      <w:r w:rsidRPr="00E6480B">
        <w:t>del i ett seminarium på Färöarna om implementering av Ramsarkonventionen och biodiversitetskonventionen i små samhällen</w:t>
      </w:r>
      <w:r>
        <w:t>. Seminariet arrangerades av TEG.</w:t>
      </w:r>
    </w:p>
    <w:p w:rsidR="00EB1371" w:rsidRDefault="00EB1371" w:rsidP="00EB1371">
      <w:pPr>
        <w:ind w:firstLine="284"/>
      </w:pPr>
      <w:r>
        <w:t xml:space="preserve">Landskapsregeringen deltar </w:t>
      </w:r>
      <w:r w:rsidRPr="00E6480B">
        <w:t>med en tjänsteman, fram till våren 2014 i egenskap av ordförande, i HAV-gruppen som arbetar med miljöfrågor kopplat till kust och hav. Landskapets</w:t>
      </w:r>
      <w:r>
        <w:t xml:space="preserve"> representant har även deltagit i sty</w:t>
      </w:r>
      <w:r>
        <w:t>r</w:t>
      </w:r>
      <w:r>
        <w:t>gruppen för HAV-nätverket för marin områdesplanering och förvaltning med särskilt fokus på att ta fram en gemensam Nordisk modell för hav</w:t>
      </w:r>
      <w:r>
        <w:t>s</w:t>
      </w:r>
      <w:r>
        <w:t>planläggning.</w:t>
      </w:r>
    </w:p>
    <w:p w:rsidR="00EB1371" w:rsidRDefault="00EB1371" w:rsidP="00EB1371">
      <w:pPr>
        <w:ind w:firstLine="284"/>
      </w:pPr>
      <w:r>
        <w:t>Landskapsregeringen arrangerade ett två dagar långt möte på Åland för TEG, HAV-gruppen och miljöekonomiska gruppen (MEG). Grupperna hade dels interna möten, dels ett gemensamt möte där olika projekt och samarbete mellan grupperna diskuterades. Dessutom har landskapsreg</w:t>
      </w:r>
      <w:r>
        <w:t>e</w:t>
      </w:r>
      <w:r>
        <w:t xml:space="preserve">ringen tagit del i ett möte med MEG i Stockholm. Vid mötet diskuterades pågående och planerade projekt. </w:t>
      </w:r>
    </w:p>
    <w:p w:rsidR="00EB1371" w:rsidRDefault="00EB1371" w:rsidP="00EB1371">
      <w:pPr>
        <w:tabs>
          <w:tab w:val="left" w:pos="1843"/>
        </w:tabs>
        <w:ind w:firstLine="284"/>
      </w:pPr>
      <w:r>
        <w:t>Landskapsregeringen har deltagit i ett av Nordiska avfallsgruppens m</w:t>
      </w:r>
      <w:r>
        <w:t>ö</w:t>
      </w:r>
      <w:r>
        <w:t>ten. Statsministrarna tog initiativ till en workshop om plast- och textilåte</w:t>
      </w:r>
      <w:r>
        <w:t>r</w:t>
      </w:r>
      <w:r>
        <w:t>vinning och -användning anordnades av Nordiska avfallsgruppen. Lan</w:t>
      </w:r>
      <w:r>
        <w:t>d</w:t>
      </w:r>
      <w:r>
        <w:t>skapsregeringen har även deltagit i två möten anordnade av småsamfund</w:t>
      </w:r>
      <w:r>
        <w:t>s</w:t>
      </w:r>
      <w:r>
        <w:t>gruppens, en undergrupp till Nordiska gruppen för hållbar konsumtion och produktion.</w:t>
      </w:r>
    </w:p>
    <w:p w:rsidR="00EB1371" w:rsidRDefault="00EB1371" w:rsidP="00EB1371">
      <w:pPr>
        <w:ind w:firstLine="284"/>
      </w:pPr>
      <w:r>
        <w:t>Landskapsregeringen har deltagit i ett möte för expertgruppen för hål</w:t>
      </w:r>
      <w:r>
        <w:t>l</w:t>
      </w:r>
      <w:r>
        <w:t>bar utveckling. Expertgruppen behandlade då den under mötet presenterade rapporten "</w:t>
      </w:r>
      <w:r w:rsidRPr="008D3B31">
        <w:rPr>
          <w:i/>
        </w:rPr>
        <w:t>Verktygsprojekt för hållbar utveckling</w:t>
      </w:r>
      <w:r>
        <w:t>”. Även ansökningar för projektmedel för 2014 inom hållbar utveckling samt Expertgruppens fö</w:t>
      </w:r>
      <w:r>
        <w:t>r</w:t>
      </w:r>
      <w:r>
        <w:t>slag till Nordiska Samarbetskommitténs prioriteringar för hållbar utveck</w:t>
      </w:r>
      <w:r>
        <w:t>l</w:t>
      </w:r>
      <w:r>
        <w:t>ing 2015 behandlades.</w:t>
      </w:r>
    </w:p>
    <w:p w:rsidR="00EB1371" w:rsidRDefault="00EB1371" w:rsidP="00EB1371">
      <w:pPr>
        <w:pStyle w:val="Rubrik3"/>
        <w:numPr>
          <w:ilvl w:val="2"/>
          <w:numId w:val="4"/>
        </w:numPr>
      </w:pPr>
      <w:bookmarkStart w:id="188" w:name="_Toc410992935"/>
      <w:bookmarkStart w:id="189" w:name="_Toc412443857"/>
      <w:bookmarkStart w:id="190" w:name="_Toc412702859"/>
      <w:r>
        <w:t>2.3.8 Näringsliv, energi och regionalpolitik (MR-NER)</w:t>
      </w:r>
      <w:bookmarkEnd w:id="188"/>
      <w:bookmarkEnd w:id="189"/>
      <w:bookmarkEnd w:id="190"/>
    </w:p>
    <w:p w:rsidR="00EB1371" w:rsidRPr="00E6480B" w:rsidRDefault="00EB1371" w:rsidP="00EB1371">
      <w:r>
        <w:t>Samarbetsprogrammet för innovations- och näringspolitik 2014-2017 ska genomföras i ett tätt samarbete mellan ÄK-N, Nordisk Innovation samt r</w:t>
      </w:r>
      <w:r>
        <w:t>e</w:t>
      </w:r>
      <w:r>
        <w:t>levanta verksamheter, myndigheter och organisationer i de nordiska lände</w:t>
      </w:r>
      <w:r>
        <w:t>r</w:t>
      </w:r>
      <w:r>
        <w:t xml:space="preserve">na. Samarbetsprogrammet innehåller följande fyra delar: Ett förstklassigt </w:t>
      </w:r>
      <w:proofErr w:type="spellStart"/>
      <w:r w:rsidRPr="00E6480B">
        <w:t>entreprenöriellt</w:t>
      </w:r>
      <w:proofErr w:type="spellEnd"/>
      <w:r w:rsidRPr="00E6480B">
        <w:t xml:space="preserve"> ekosystem</w:t>
      </w:r>
      <w:r>
        <w:t>, Grön Tillväxt, Nya välfärdslösningar samt Ku</w:t>
      </w:r>
      <w:r>
        <w:t>l</w:t>
      </w:r>
      <w:r>
        <w:t xml:space="preserve">turella och kreativa näringar. Ministrarna tog vid mötet i november initiativ till ett regelförenklingsarbete som ska underlätta vardagen för de nordiska </w:t>
      </w:r>
      <w:r w:rsidRPr="00E6480B">
        <w:t>företagen. Det finns samstämmighet kring att Norden samarbetar i turis</w:t>
      </w:r>
      <w:r w:rsidRPr="00E6480B">
        <w:t>m</w:t>
      </w:r>
      <w:r w:rsidRPr="00E6480B">
        <w:t>marknadsföringen på marknaderna i Kina och Japan särskilt vad gäller p</w:t>
      </w:r>
      <w:r w:rsidRPr="00E6480B">
        <w:t>a</w:t>
      </w:r>
      <w:r w:rsidRPr="00E6480B">
        <w:t>ketering.</w:t>
      </w:r>
    </w:p>
    <w:p w:rsidR="00EB1371" w:rsidRDefault="00EB1371" w:rsidP="00EB1371">
      <w:pPr>
        <w:ind w:firstLine="284"/>
      </w:pPr>
      <w:r w:rsidRPr="00E6480B">
        <w:t>De nordiska</w:t>
      </w:r>
      <w:r>
        <w:t xml:space="preserve"> ministrarna med ansvar för regionalpolitik arbetar enligt det nordiska samarbetsprogrammet för regionalpolitik 2013-2016, vilket fok</w:t>
      </w:r>
      <w:r>
        <w:t>u</w:t>
      </w:r>
      <w:r>
        <w:t>serar på en regionalt hållbar välfärdsutveckling, en hållbar näringslivsu</w:t>
      </w:r>
      <w:r>
        <w:t>t</w:t>
      </w:r>
      <w:r>
        <w:t>veckling i Arktis och en grön tillväxt i alla regioner. Den nordiska dem</w:t>
      </w:r>
      <w:r>
        <w:t>o</w:t>
      </w:r>
      <w:r>
        <w:t>grafiska utvecklingen har varit aktuell under året. Ett digitalt verktyg som kombinerar kartor och statistik för regioner i Norden utarbetas i syfte att underlätta analyser och jämförelser i Norden. Några generella utveckling</w:t>
      </w:r>
      <w:r>
        <w:t>s</w:t>
      </w:r>
      <w:r>
        <w:t>tendenser kan skönjas i Norden: Medelåldern för befolkningen stiger men samtidigt blir befolkningen friskare; befolkningen koncentreras allt mer till större städer och regionala centra, och i nästan alla kommuner ses en pos</w:t>
      </w:r>
      <w:r>
        <w:t>i</w:t>
      </w:r>
      <w:r>
        <w:t>tiv internationell migration. Demografin påverkar i stort sett alla politiko</w:t>
      </w:r>
      <w:r>
        <w:t>m</w:t>
      </w:r>
      <w:r>
        <w:t>råden och sätter ramarna för hur framtiden utformas. Det lokala och regio</w:t>
      </w:r>
      <w:r>
        <w:t>n</w:t>
      </w:r>
      <w:r>
        <w:t>ala perspektivet är viktigt då möjligheter och utmaningar ser olika ut på olika ställen.</w:t>
      </w:r>
    </w:p>
    <w:p w:rsidR="00EB1371" w:rsidRDefault="00EB1371" w:rsidP="00EB1371">
      <w:pPr>
        <w:pStyle w:val="Rubrik3"/>
        <w:numPr>
          <w:ilvl w:val="2"/>
          <w:numId w:val="4"/>
        </w:numPr>
      </w:pPr>
      <w:bookmarkStart w:id="191" w:name="_Toc410992936"/>
      <w:bookmarkStart w:id="192" w:name="_Toc412443858"/>
      <w:bookmarkStart w:id="193" w:name="_Toc412702860"/>
      <w:r>
        <w:lastRenderedPageBreak/>
        <w:t>2.3.9 Social och hälsopolitik (MR-S)</w:t>
      </w:r>
      <w:bookmarkEnd w:id="191"/>
      <w:bookmarkEnd w:id="192"/>
      <w:bookmarkEnd w:id="193"/>
    </w:p>
    <w:p w:rsidR="00EB1371" w:rsidRDefault="00EB1371" w:rsidP="00EB1371">
      <w:r>
        <w:t>Under året slutfördes den så kallade Könberg-rapporten, en utredning om det framtida nordiska samarbetet inom hälso- och sjukvården. I rapporten ges 14 förslag på hur samarbetet inom hälsovårdsområdet kan stärkas och utvecklas inom de närmaste fem till tio åren. Vid ministerrådet för social- och hälsopolitik i oktober i Köpenhamn beslöts att av de 14 föreslagna punkterna ska hälsoberedskap, högspecialiserad behandling, sällsynta di</w:t>
      </w:r>
      <w:r>
        <w:t>a</w:t>
      </w:r>
      <w:r>
        <w:t xml:space="preserve">gnoser, psykiatri och tjänstemannautbyte prioriteras. Socialminister Carina Aaltonen deltog vid mötet. </w:t>
      </w:r>
    </w:p>
    <w:p w:rsidR="00EB1371" w:rsidRDefault="00EB1371" w:rsidP="00EB1371">
      <w:pPr>
        <w:ind w:firstLine="284"/>
      </w:pPr>
      <w:r>
        <w:t>Vid samma möte behandlades det så kallade Arjeplogsavtalet, en öve</w:t>
      </w:r>
      <w:r>
        <w:t>r</w:t>
      </w:r>
      <w:r>
        <w:t>enskommelse från 1994 om en gemensam nordisk arbetsmarknad för vissa personalgrupper inom hälso- och sjukvårds- samt veterinärväsendet. Lan</w:t>
      </w:r>
      <w:r>
        <w:t>d</w:t>
      </w:r>
      <w:r>
        <w:t>skapsregeringen motsatte sig förslaget med anledning av Ålands beroende av sådan personal med utbildning från övriga Norden, i synnerhet Sverige, samt även oklarheten kring de praktiska konsekvenserna av en uppsägning av avtalet. Ministerrådet beslöt att de nordiska självstyrenas särskilda b</w:t>
      </w:r>
      <w:r>
        <w:t>e</w:t>
      </w:r>
      <w:r>
        <w:t>hov på området behöver säkerställas för framtiden vid ett eventuellt upps</w:t>
      </w:r>
      <w:r>
        <w:t>ä</w:t>
      </w:r>
      <w:r>
        <w:t>gande. En nordisk arbetsgrupp, i vilken en åländsk representant deltar, har bildats för ändamålet. Arbetsgruppen ska ha utarbetat en slutskrivelse under våren. Se också kapitel 2.2.2</w:t>
      </w:r>
    </w:p>
    <w:p w:rsidR="00EB1371" w:rsidRDefault="00EB1371" w:rsidP="00EB1371">
      <w:pPr>
        <w:pStyle w:val="Rubrik3"/>
        <w:numPr>
          <w:ilvl w:val="2"/>
          <w:numId w:val="4"/>
        </w:numPr>
      </w:pPr>
      <w:bookmarkStart w:id="194" w:name="_Toc410992937"/>
      <w:bookmarkStart w:id="195" w:name="_Toc412443859"/>
      <w:bookmarkStart w:id="196" w:name="_Toc412702861"/>
      <w:r>
        <w:t>2.3.10 Utbildning och forskning (MR-U)</w:t>
      </w:r>
      <w:bookmarkEnd w:id="194"/>
      <w:bookmarkEnd w:id="195"/>
      <w:bookmarkEnd w:id="196"/>
    </w:p>
    <w:p w:rsidR="00EB1371" w:rsidRDefault="00EB1371" w:rsidP="00EB1371">
      <w:r>
        <w:t>De nordiska utbildnings- och forskningsministrarna har mötts en gång u</w:t>
      </w:r>
      <w:r>
        <w:t>n</w:t>
      </w:r>
      <w:r>
        <w:t>der året, i juni i Reykjavik. Det andra mötet som skulle ha ägt rum under Nordiska rådets session i Stockholm ställdes in. Ämbetsmannakommittén för utbildning och forskning (ÄK-U), som har ett övergripande ansvar för utbildningssektorn i Norden inklusive fördelningen av tillgängliga anslag inom området, har under året förberett och följt upp ministerrådets ärenden. På utbildningsministrarnas och ämbetsmannakommitténs agendor har bland annat funnits följande punkter som ur landskapsregeringens synvinkel haft väsentlig betydelse:</w:t>
      </w:r>
    </w:p>
    <w:p w:rsidR="00EB1371" w:rsidRDefault="00EB1371" w:rsidP="00EB1371">
      <w:pPr>
        <w:ind w:firstLine="284"/>
      </w:pPr>
      <w:r>
        <w:t>• Färöarnas, Grönlands och Ålands ställning i det nordiska samarbetet.</w:t>
      </w:r>
    </w:p>
    <w:p w:rsidR="00EB1371" w:rsidRDefault="00EB1371" w:rsidP="00EB1371">
      <w:pPr>
        <w:ind w:left="426" w:hanging="142"/>
      </w:pPr>
      <w:r>
        <w:t>• Gränsöverskridande utbildningsmöjligheter i högskolor och universitet i de nordiska länderna.</w:t>
      </w:r>
    </w:p>
    <w:p w:rsidR="00EB1371" w:rsidRDefault="00EB1371" w:rsidP="00EB1371">
      <w:pPr>
        <w:ind w:firstLine="284"/>
      </w:pPr>
      <w:r>
        <w:t>• Jämställdhetsintegreringen inom utbildnings- och forskningssektorn.</w:t>
      </w:r>
    </w:p>
    <w:p w:rsidR="00EB1371" w:rsidRDefault="00EB1371" w:rsidP="00EB1371">
      <w:r>
        <w:t>Från de självstyrda områdena har de åländska representanterna fört fram vikten av fullvärdig representation i olika underorganisationer och -grupper på likvärdiga grunder som länderna. Saken ställdes på sin spets nyligen då stadgarna för organisationen med ansvar för samarbetet inom forskning och forskarutbildning (NordForsk) reviderades och representationen i dess st</w:t>
      </w:r>
      <w:r>
        <w:t>y</w:t>
      </w:r>
      <w:r>
        <w:t>relse klargjordes: det beslöts att de självstyrande områdena framöver endast ska inneha observatörsroller i styrelsen för NordForsk, i motsats till tidigare överenskommelse mellan de självstyrande områdena som innebar ett rot</w:t>
      </w:r>
      <w:r>
        <w:t>e</w:t>
      </w:r>
      <w:r>
        <w:t>rande fullvärdigt medlemskap i styrelsen.</w:t>
      </w:r>
    </w:p>
    <w:p w:rsidR="00EB1371" w:rsidRDefault="00EB1371" w:rsidP="00EB1371">
      <w:pPr>
        <w:ind w:firstLine="284"/>
      </w:pPr>
      <w:r>
        <w:t>Styrelsen för NordForsk har sammanträtt fyra gånger under året. Re</w:t>
      </w:r>
      <w:r>
        <w:t>k</w:t>
      </w:r>
      <w:r>
        <w:t>torn vid Högskolan på Åland har fungerat som landskapsregeringens repr</w:t>
      </w:r>
      <w:r>
        <w:t>e</w:t>
      </w:r>
      <w:r>
        <w:t>sentant/observatör i styrelsen. Högskolans nordiska kontakter har stärkt i</w:t>
      </w:r>
      <w:r>
        <w:t>n</w:t>
      </w:r>
      <w:r>
        <w:t>tentionerna i landskapsregeringens forskningspolitiska program. Högskolan har i sin undervisning och verksamhet lyckats utveckla samverkansm</w:t>
      </w:r>
      <w:r>
        <w:t>o</w:t>
      </w:r>
      <w:r>
        <w:t>deller med andra högskolor och tillämpade forsknings- och utvecklingspr</w:t>
      </w:r>
      <w:r>
        <w:t>o</w:t>
      </w:r>
      <w:r>
        <w:t>jekt som gagnat det åländska närings- och arbetslivet. Projekten har i inn</w:t>
      </w:r>
      <w:r>
        <w:t>o</w:t>
      </w:r>
      <w:r>
        <w:t>vativt syfte kunnat utveckla nya företag, produkter, tjänster, arbetssätt och strukturer som är till nytta för samhällsutvecklingen och den ekonomiska tillväxten på Åland.</w:t>
      </w:r>
    </w:p>
    <w:p w:rsidR="00EB1371" w:rsidRDefault="00EB1371" w:rsidP="00EB1371">
      <w:pPr>
        <w:pStyle w:val="Rubrik3"/>
        <w:numPr>
          <w:ilvl w:val="2"/>
          <w:numId w:val="4"/>
        </w:numPr>
      </w:pPr>
      <w:bookmarkStart w:id="197" w:name="_Toc410992938"/>
      <w:bookmarkStart w:id="198" w:name="_Toc412443860"/>
      <w:bookmarkStart w:id="199" w:name="_Toc412702862"/>
      <w:r>
        <w:lastRenderedPageBreak/>
        <w:t>2.3.11 Ekonomi och finanspolitik (MR-FINANS)</w:t>
      </w:r>
      <w:bookmarkEnd w:id="197"/>
      <w:bookmarkEnd w:id="198"/>
      <w:bookmarkEnd w:id="199"/>
    </w:p>
    <w:p w:rsidR="00EB1371" w:rsidRDefault="00EB1371" w:rsidP="00EB1371">
      <w:r>
        <w:t>De nordiska finans- och ekonomiministrarna har träffats en gång under året, den 28 oktober i Stockholm. Under mötet diskuterades förutom det rådande ekonomiska läget i de nordiska länderna även de nordiska framgångarna i att sluta avtal med skatteparadis samt hur ökad effektivitet inom den offen</w:t>
      </w:r>
      <w:r>
        <w:t>t</w:t>
      </w:r>
      <w:r>
        <w:t xml:space="preserve">liga sektorn kan skapas genom konkurrensutsättning. </w:t>
      </w:r>
    </w:p>
    <w:p w:rsidR="00EB1371" w:rsidRDefault="00EB1371" w:rsidP="00EB1371"/>
    <w:p w:rsidR="00EB1371" w:rsidRDefault="00EB1371" w:rsidP="00E560B4">
      <w:pPr>
        <w:pStyle w:val="ANormal"/>
      </w:pPr>
    </w:p>
    <w:sectPr w:rsidR="00EB1371">
      <w:headerReference w:type="even" r:id="rId17"/>
      <w:headerReference w:type="default" r:id="rId18"/>
      <w:footerReference w:type="default" r:id="rId19"/>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16" w:rsidRDefault="00D25916">
      <w:r>
        <w:separator/>
      </w:r>
    </w:p>
  </w:endnote>
  <w:endnote w:type="continuationSeparator" w:id="0">
    <w:p w:rsidR="00D25916" w:rsidRDefault="00D2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626" w:rsidRPr="00556626" w:rsidRDefault="00556626">
    <w:pPr>
      <w:pStyle w:val="Sidfot"/>
      <w:rPr>
        <w:lang w:val="sv-FI"/>
      </w:rPr>
    </w:pPr>
    <w:r>
      <w:rPr>
        <w:lang w:val="sv-FI"/>
      </w:rPr>
      <w:t>M0120142015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fot"/>
      <w:tabs>
        <w:tab w:val="clear" w:pos="816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fot"/>
      <w:rPr>
        <w:lang w:val="fi-FI"/>
      </w:rPr>
    </w:pPr>
    <w:r>
      <w:fldChar w:fldCharType="begin"/>
    </w:r>
    <w:r>
      <w:rPr>
        <w:lang w:val="fi-FI"/>
      </w:rPr>
      <w:instrText xml:space="preserve"> FILENAME  \* MERGEFORMAT </w:instrText>
    </w:r>
    <w:r>
      <w:fldChar w:fldCharType="separate"/>
    </w:r>
    <w:r>
      <w:rPr>
        <w:noProof/>
        <w:lang w:val="fi-FI"/>
      </w:rPr>
      <w:t>Bilaga, årsberättelse för Nordiska ministerrådet.docx</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16" w:rsidRDefault="00D25916">
      <w:r>
        <w:separator/>
      </w:r>
    </w:p>
  </w:footnote>
  <w:footnote w:type="continuationSeparator" w:id="0">
    <w:p w:rsidR="00D25916" w:rsidRDefault="00D2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4855BC">
      <w:rPr>
        <w:rStyle w:val="Sidnummer"/>
        <w:noProof/>
      </w:rPr>
      <w:t>40</w:t>
    </w:r>
    <w:r>
      <w:rPr>
        <w:rStyle w:val="Sidnummer"/>
      </w:rPr>
      <w:fldChar w:fldCharType="end"/>
    </w:r>
  </w:p>
  <w:p w:rsidR="00EB1371" w:rsidRDefault="00EB137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4855BC">
      <w:rPr>
        <w:rStyle w:val="Sidnummer"/>
        <w:noProof/>
      </w:rPr>
      <w:t>41</w:t>
    </w:r>
    <w:r>
      <w:rPr>
        <w:rStyle w:val="Sid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4855BC">
      <w:rPr>
        <w:rStyle w:val="Sidnummer"/>
        <w:noProof/>
      </w:rPr>
      <w:t>8</w:t>
    </w:r>
    <w:r>
      <w:rPr>
        <w:rStyle w:val="Sidnummer"/>
      </w:rPr>
      <w:fldChar w:fldCharType="end"/>
    </w:r>
  </w:p>
  <w:p w:rsidR="00EB1371" w:rsidRDefault="00EB1371">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71" w:rsidRDefault="00EB137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4855BC">
      <w:rPr>
        <w:rStyle w:val="Sidnummer"/>
        <w:noProof/>
      </w:rPr>
      <w:t>9</w:t>
    </w:r>
    <w:r>
      <w:rPr>
        <w:rStyle w:val="Sid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nsid w:val="001318D7"/>
    <w:multiLevelType w:val="hybridMultilevel"/>
    <w:tmpl w:val="59547A5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nsid w:val="113F59D9"/>
    <w:multiLevelType w:val="hybridMultilevel"/>
    <w:tmpl w:val="35928030"/>
    <w:lvl w:ilvl="0" w:tplc="081D000F">
      <w:start w:val="1"/>
      <w:numFmt w:val="decimal"/>
      <w:lvlText w:val="%1."/>
      <w:lvlJc w:val="left"/>
      <w:pPr>
        <w:ind w:left="720" w:hanging="360"/>
      </w:p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nsid w:val="18C20EDC"/>
    <w:multiLevelType w:val="hybridMultilevel"/>
    <w:tmpl w:val="6D584B0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nsid w:val="1F826CD7"/>
    <w:multiLevelType w:val="hybridMultilevel"/>
    <w:tmpl w:val="77F8E65C"/>
    <w:lvl w:ilvl="0" w:tplc="1C3464C8">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37E7E07"/>
    <w:multiLevelType w:val="hybridMultilevel"/>
    <w:tmpl w:val="6CC2CC4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7">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nsid w:val="69D71953"/>
    <w:multiLevelType w:val="hybridMultilevel"/>
    <w:tmpl w:val="8E8861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nsid w:val="7B4F600F"/>
    <w:multiLevelType w:val="hybridMultilevel"/>
    <w:tmpl w:val="EA4C2CFC"/>
    <w:lvl w:ilvl="0" w:tplc="081D0001">
      <w:start w:val="1"/>
      <w:numFmt w:val="bullet"/>
      <w:lvlText w:val=""/>
      <w:lvlJc w:val="left"/>
      <w:pPr>
        <w:ind w:left="2024" w:hanging="360"/>
      </w:pPr>
      <w:rPr>
        <w:rFonts w:ascii="Symbol" w:hAnsi="Symbol" w:hint="default"/>
      </w:rPr>
    </w:lvl>
    <w:lvl w:ilvl="1" w:tplc="081D0003" w:tentative="1">
      <w:start w:val="1"/>
      <w:numFmt w:val="bullet"/>
      <w:lvlText w:val="o"/>
      <w:lvlJc w:val="left"/>
      <w:pPr>
        <w:ind w:left="2744" w:hanging="360"/>
      </w:pPr>
      <w:rPr>
        <w:rFonts w:ascii="Courier New" w:hAnsi="Courier New" w:cs="Courier New" w:hint="default"/>
      </w:rPr>
    </w:lvl>
    <w:lvl w:ilvl="2" w:tplc="081D0005" w:tentative="1">
      <w:start w:val="1"/>
      <w:numFmt w:val="bullet"/>
      <w:lvlText w:val=""/>
      <w:lvlJc w:val="left"/>
      <w:pPr>
        <w:ind w:left="3464" w:hanging="360"/>
      </w:pPr>
      <w:rPr>
        <w:rFonts w:ascii="Wingdings" w:hAnsi="Wingdings" w:hint="default"/>
      </w:rPr>
    </w:lvl>
    <w:lvl w:ilvl="3" w:tplc="081D0001" w:tentative="1">
      <w:start w:val="1"/>
      <w:numFmt w:val="bullet"/>
      <w:lvlText w:val=""/>
      <w:lvlJc w:val="left"/>
      <w:pPr>
        <w:ind w:left="4184" w:hanging="360"/>
      </w:pPr>
      <w:rPr>
        <w:rFonts w:ascii="Symbol" w:hAnsi="Symbol" w:hint="default"/>
      </w:rPr>
    </w:lvl>
    <w:lvl w:ilvl="4" w:tplc="081D0003" w:tentative="1">
      <w:start w:val="1"/>
      <w:numFmt w:val="bullet"/>
      <w:lvlText w:val="o"/>
      <w:lvlJc w:val="left"/>
      <w:pPr>
        <w:ind w:left="4904" w:hanging="360"/>
      </w:pPr>
      <w:rPr>
        <w:rFonts w:ascii="Courier New" w:hAnsi="Courier New" w:cs="Courier New" w:hint="default"/>
      </w:rPr>
    </w:lvl>
    <w:lvl w:ilvl="5" w:tplc="081D0005" w:tentative="1">
      <w:start w:val="1"/>
      <w:numFmt w:val="bullet"/>
      <w:lvlText w:val=""/>
      <w:lvlJc w:val="left"/>
      <w:pPr>
        <w:ind w:left="5624" w:hanging="360"/>
      </w:pPr>
      <w:rPr>
        <w:rFonts w:ascii="Wingdings" w:hAnsi="Wingdings" w:hint="default"/>
      </w:rPr>
    </w:lvl>
    <w:lvl w:ilvl="6" w:tplc="081D0001" w:tentative="1">
      <w:start w:val="1"/>
      <w:numFmt w:val="bullet"/>
      <w:lvlText w:val=""/>
      <w:lvlJc w:val="left"/>
      <w:pPr>
        <w:ind w:left="6344" w:hanging="360"/>
      </w:pPr>
      <w:rPr>
        <w:rFonts w:ascii="Symbol" w:hAnsi="Symbol" w:hint="default"/>
      </w:rPr>
    </w:lvl>
    <w:lvl w:ilvl="7" w:tplc="081D0003" w:tentative="1">
      <w:start w:val="1"/>
      <w:numFmt w:val="bullet"/>
      <w:lvlText w:val="o"/>
      <w:lvlJc w:val="left"/>
      <w:pPr>
        <w:ind w:left="7064" w:hanging="360"/>
      </w:pPr>
      <w:rPr>
        <w:rFonts w:ascii="Courier New" w:hAnsi="Courier New" w:cs="Courier New" w:hint="default"/>
      </w:rPr>
    </w:lvl>
    <w:lvl w:ilvl="8" w:tplc="081D0005" w:tentative="1">
      <w:start w:val="1"/>
      <w:numFmt w:val="bullet"/>
      <w:lvlText w:val=""/>
      <w:lvlJc w:val="left"/>
      <w:pPr>
        <w:ind w:left="7784"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4"/>
  </w:num>
  <w:num w:numId="14">
    <w:abstractNumId w:val="10"/>
  </w:num>
  <w:num w:numId="15">
    <w:abstractNumId w:val="1"/>
  </w:num>
  <w:num w:numId="16">
    <w:abstractNumId w:val="9"/>
  </w:num>
  <w:num w:numId="17">
    <w:abstractNumId w:val="2"/>
  </w:num>
  <w:num w:numId="18">
    <w:abstractNumId w:val="3"/>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attachedTemplate r:id="rId1"/>
  <w:doNotTrackMoves/>
  <w:defaultTabStop w:val="284"/>
  <w:autoHyphenation/>
  <w:hyphenationZone w:val="142"/>
  <w:evenAndOddHeaders/>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ExportToHTMLPath" w:val="\\Pound\vol1\Allman\Pedago\Web\lagtinget\assistans\exempelfiler\M0220002001.htm"/>
  </w:docVars>
  <w:rsids>
    <w:rsidRoot w:val="002A1D84"/>
    <w:rsid w:val="00001E74"/>
    <w:rsid w:val="00014386"/>
    <w:rsid w:val="00017F80"/>
    <w:rsid w:val="00023C6C"/>
    <w:rsid w:val="00030C88"/>
    <w:rsid w:val="000444F4"/>
    <w:rsid w:val="00052BE1"/>
    <w:rsid w:val="00066B81"/>
    <w:rsid w:val="000770FB"/>
    <w:rsid w:val="000811B1"/>
    <w:rsid w:val="00082640"/>
    <w:rsid w:val="00084074"/>
    <w:rsid w:val="000B507D"/>
    <w:rsid w:val="000C0461"/>
    <w:rsid w:val="000D439D"/>
    <w:rsid w:val="000E3717"/>
    <w:rsid w:val="00100D73"/>
    <w:rsid w:val="00110677"/>
    <w:rsid w:val="00115132"/>
    <w:rsid w:val="00125E09"/>
    <w:rsid w:val="001346DE"/>
    <w:rsid w:val="00150D02"/>
    <w:rsid w:val="00151163"/>
    <w:rsid w:val="0015174D"/>
    <w:rsid w:val="00151916"/>
    <w:rsid w:val="00157EB9"/>
    <w:rsid w:val="00160A33"/>
    <w:rsid w:val="001707B5"/>
    <w:rsid w:val="00175C36"/>
    <w:rsid w:val="00197878"/>
    <w:rsid w:val="00197F9C"/>
    <w:rsid w:val="001B1711"/>
    <w:rsid w:val="001B5813"/>
    <w:rsid w:val="001D6BF6"/>
    <w:rsid w:val="001F09E3"/>
    <w:rsid w:val="00205F9B"/>
    <w:rsid w:val="0021018E"/>
    <w:rsid w:val="002107E5"/>
    <w:rsid w:val="00220475"/>
    <w:rsid w:val="00222FA5"/>
    <w:rsid w:val="002241C6"/>
    <w:rsid w:val="00231E1E"/>
    <w:rsid w:val="00244E70"/>
    <w:rsid w:val="00257B06"/>
    <w:rsid w:val="00261EAD"/>
    <w:rsid w:val="002621D1"/>
    <w:rsid w:val="00262F58"/>
    <w:rsid w:val="00285BFD"/>
    <w:rsid w:val="00290CC1"/>
    <w:rsid w:val="002A1D84"/>
    <w:rsid w:val="002B7C44"/>
    <w:rsid w:val="002F1DD3"/>
    <w:rsid w:val="002F709C"/>
    <w:rsid w:val="002F73C3"/>
    <w:rsid w:val="003001A7"/>
    <w:rsid w:val="003114A1"/>
    <w:rsid w:val="003140F1"/>
    <w:rsid w:val="00331589"/>
    <w:rsid w:val="00335F43"/>
    <w:rsid w:val="0036535B"/>
    <w:rsid w:val="00365DAB"/>
    <w:rsid w:val="00367E74"/>
    <w:rsid w:val="00370419"/>
    <w:rsid w:val="00386441"/>
    <w:rsid w:val="00391D40"/>
    <w:rsid w:val="00394537"/>
    <w:rsid w:val="003A6FFC"/>
    <w:rsid w:val="003D4791"/>
    <w:rsid w:val="003E7227"/>
    <w:rsid w:val="003F194B"/>
    <w:rsid w:val="00405B83"/>
    <w:rsid w:val="0040709D"/>
    <w:rsid w:val="00413D4C"/>
    <w:rsid w:val="00423354"/>
    <w:rsid w:val="00425A30"/>
    <w:rsid w:val="00430BFB"/>
    <w:rsid w:val="004329DC"/>
    <w:rsid w:val="004345BC"/>
    <w:rsid w:val="004406DE"/>
    <w:rsid w:val="004571B3"/>
    <w:rsid w:val="0046174B"/>
    <w:rsid w:val="0048246E"/>
    <w:rsid w:val="004855BC"/>
    <w:rsid w:val="0048590A"/>
    <w:rsid w:val="004912A8"/>
    <w:rsid w:val="004C1BD7"/>
    <w:rsid w:val="004C6216"/>
    <w:rsid w:val="004E54CE"/>
    <w:rsid w:val="004F1967"/>
    <w:rsid w:val="00500E05"/>
    <w:rsid w:val="00511F25"/>
    <w:rsid w:val="00512B5C"/>
    <w:rsid w:val="005201E7"/>
    <w:rsid w:val="0052115E"/>
    <w:rsid w:val="005242BE"/>
    <w:rsid w:val="00527F7D"/>
    <w:rsid w:val="00537B61"/>
    <w:rsid w:val="00540201"/>
    <w:rsid w:val="00556626"/>
    <w:rsid w:val="00557980"/>
    <w:rsid w:val="0056576A"/>
    <w:rsid w:val="0057375E"/>
    <w:rsid w:val="005828EE"/>
    <w:rsid w:val="005A1E4B"/>
    <w:rsid w:val="005B5ACB"/>
    <w:rsid w:val="005C0CEF"/>
    <w:rsid w:val="005C2C87"/>
    <w:rsid w:val="005D5D98"/>
    <w:rsid w:val="005F2581"/>
    <w:rsid w:val="00614603"/>
    <w:rsid w:val="00632B5D"/>
    <w:rsid w:val="00634A10"/>
    <w:rsid w:val="00646EA0"/>
    <w:rsid w:val="006511C9"/>
    <w:rsid w:val="00681379"/>
    <w:rsid w:val="006918FC"/>
    <w:rsid w:val="006A424E"/>
    <w:rsid w:val="006C66FF"/>
    <w:rsid w:val="006E0E9B"/>
    <w:rsid w:val="006F467C"/>
    <w:rsid w:val="006F5375"/>
    <w:rsid w:val="007129E4"/>
    <w:rsid w:val="007215E2"/>
    <w:rsid w:val="00721AE0"/>
    <w:rsid w:val="00725FAE"/>
    <w:rsid w:val="00737EF3"/>
    <w:rsid w:val="00781793"/>
    <w:rsid w:val="00787365"/>
    <w:rsid w:val="00793700"/>
    <w:rsid w:val="00795C17"/>
    <w:rsid w:val="007A5388"/>
    <w:rsid w:val="007B5668"/>
    <w:rsid w:val="007C1A91"/>
    <w:rsid w:val="007C3862"/>
    <w:rsid w:val="007D7C70"/>
    <w:rsid w:val="007E2566"/>
    <w:rsid w:val="007F4388"/>
    <w:rsid w:val="00802A9F"/>
    <w:rsid w:val="00815F0E"/>
    <w:rsid w:val="00821F53"/>
    <w:rsid w:val="00857646"/>
    <w:rsid w:val="00861BD6"/>
    <w:rsid w:val="00864699"/>
    <w:rsid w:val="008700F2"/>
    <w:rsid w:val="00870FAF"/>
    <w:rsid w:val="00882211"/>
    <w:rsid w:val="0088374C"/>
    <w:rsid w:val="0088679A"/>
    <w:rsid w:val="008919E0"/>
    <w:rsid w:val="008B3251"/>
    <w:rsid w:val="008C1BE1"/>
    <w:rsid w:val="00900022"/>
    <w:rsid w:val="00900AD6"/>
    <w:rsid w:val="00910C25"/>
    <w:rsid w:val="00913155"/>
    <w:rsid w:val="00934DD5"/>
    <w:rsid w:val="00946272"/>
    <w:rsid w:val="00954E37"/>
    <w:rsid w:val="00967FAF"/>
    <w:rsid w:val="00971064"/>
    <w:rsid w:val="00993BEE"/>
    <w:rsid w:val="009B2778"/>
    <w:rsid w:val="009B4089"/>
    <w:rsid w:val="009C0E4E"/>
    <w:rsid w:val="009C0F56"/>
    <w:rsid w:val="009D4429"/>
    <w:rsid w:val="009E2F08"/>
    <w:rsid w:val="00A039AD"/>
    <w:rsid w:val="00A2089D"/>
    <w:rsid w:val="00A362D1"/>
    <w:rsid w:val="00A41B6E"/>
    <w:rsid w:val="00A42C83"/>
    <w:rsid w:val="00A71CF8"/>
    <w:rsid w:val="00A72B69"/>
    <w:rsid w:val="00A76A6B"/>
    <w:rsid w:val="00A86E67"/>
    <w:rsid w:val="00A87735"/>
    <w:rsid w:val="00A91FD5"/>
    <w:rsid w:val="00A95797"/>
    <w:rsid w:val="00AA2C33"/>
    <w:rsid w:val="00AA7EE6"/>
    <w:rsid w:val="00AC0367"/>
    <w:rsid w:val="00AE3D85"/>
    <w:rsid w:val="00AF27DC"/>
    <w:rsid w:val="00B0002C"/>
    <w:rsid w:val="00B1087D"/>
    <w:rsid w:val="00B1519D"/>
    <w:rsid w:val="00B2727C"/>
    <w:rsid w:val="00B45DE2"/>
    <w:rsid w:val="00B63DE3"/>
    <w:rsid w:val="00B7545F"/>
    <w:rsid w:val="00B75C77"/>
    <w:rsid w:val="00B77EBA"/>
    <w:rsid w:val="00B80212"/>
    <w:rsid w:val="00B83087"/>
    <w:rsid w:val="00BD31C9"/>
    <w:rsid w:val="00BD71FD"/>
    <w:rsid w:val="00BE1714"/>
    <w:rsid w:val="00BE4E2E"/>
    <w:rsid w:val="00BF0E10"/>
    <w:rsid w:val="00C45D55"/>
    <w:rsid w:val="00C46810"/>
    <w:rsid w:val="00C655C9"/>
    <w:rsid w:val="00CA09A3"/>
    <w:rsid w:val="00CA600A"/>
    <w:rsid w:val="00CA6C2B"/>
    <w:rsid w:val="00CA715B"/>
    <w:rsid w:val="00CC2F78"/>
    <w:rsid w:val="00D00E13"/>
    <w:rsid w:val="00D01552"/>
    <w:rsid w:val="00D11867"/>
    <w:rsid w:val="00D20AD7"/>
    <w:rsid w:val="00D25916"/>
    <w:rsid w:val="00D33933"/>
    <w:rsid w:val="00D527C3"/>
    <w:rsid w:val="00D54C5A"/>
    <w:rsid w:val="00D551C8"/>
    <w:rsid w:val="00D55953"/>
    <w:rsid w:val="00D60801"/>
    <w:rsid w:val="00D80405"/>
    <w:rsid w:val="00DA3066"/>
    <w:rsid w:val="00DC7DED"/>
    <w:rsid w:val="00DE45F7"/>
    <w:rsid w:val="00DE53AD"/>
    <w:rsid w:val="00E00E63"/>
    <w:rsid w:val="00E07851"/>
    <w:rsid w:val="00E1202C"/>
    <w:rsid w:val="00E20971"/>
    <w:rsid w:val="00E41F95"/>
    <w:rsid w:val="00E47DAE"/>
    <w:rsid w:val="00E560B4"/>
    <w:rsid w:val="00E60205"/>
    <w:rsid w:val="00E61207"/>
    <w:rsid w:val="00E720A0"/>
    <w:rsid w:val="00E754E3"/>
    <w:rsid w:val="00E75A6D"/>
    <w:rsid w:val="00E8696C"/>
    <w:rsid w:val="00EB1371"/>
    <w:rsid w:val="00ED0034"/>
    <w:rsid w:val="00ED104C"/>
    <w:rsid w:val="00ED436B"/>
    <w:rsid w:val="00EE3BE2"/>
    <w:rsid w:val="00EE65FB"/>
    <w:rsid w:val="00EF6325"/>
    <w:rsid w:val="00F33A5D"/>
    <w:rsid w:val="00F54997"/>
    <w:rsid w:val="00F55878"/>
    <w:rsid w:val="00F63BBE"/>
    <w:rsid w:val="00F95D87"/>
    <w:rsid w:val="00FA3832"/>
    <w:rsid w:val="00FC5E97"/>
    <w:rsid w:val="00FE030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FI" w:eastAsia="sv-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BE"/>
    <w:rPr>
      <w:sz w:val="22"/>
      <w:szCs w:val="24"/>
      <w:lang w:val="sv-SE" w:eastAsia="sv-SE"/>
    </w:rPr>
  </w:style>
  <w:style w:type="paragraph" w:styleId="Rubrik1">
    <w:name w:val="heading 1"/>
    <w:basedOn w:val="Normal"/>
    <w:next w:val="Normal"/>
    <w:link w:val="Rubrik1Char"/>
    <w:qFormat/>
    <w:rsid w:val="00386441"/>
    <w:pPr>
      <w:keepNext/>
      <w:numPr>
        <w:numId w:val="4"/>
      </w:numPr>
      <w:spacing w:before="240" w:after="60"/>
      <w:outlineLvl w:val="0"/>
    </w:pPr>
    <w:rPr>
      <w:rFonts w:cs="Arial"/>
      <w:bCs/>
      <w:kern w:val="32"/>
      <w:sz w:val="34"/>
      <w:szCs w:val="32"/>
    </w:rPr>
  </w:style>
  <w:style w:type="paragraph" w:styleId="Rubrik2">
    <w:name w:val="heading 2"/>
    <w:basedOn w:val="Normal"/>
    <w:next w:val="Normal"/>
    <w:link w:val="Rubrik2Char"/>
    <w:qFormat/>
    <w:rsid w:val="00386441"/>
    <w:pPr>
      <w:keepNext/>
      <w:numPr>
        <w:ilvl w:val="1"/>
        <w:numId w:val="5"/>
      </w:numPr>
      <w:spacing w:before="240" w:after="60"/>
      <w:outlineLvl w:val="1"/>
    </w:pPr>
    <w:rPr>
      <w:rFonts w:cs="Arial"/>
      <w:bCs/>
      <w:iCs/>
      <w:sz w:val="30"/>
      <w:szCs w:val="28"/>
    </w:rPr>
  </w:style>
  <w:style w:type="paragraph" w:styleId="Rubrik3">
    <w:name w:val="heading 3"/>
    <w:basedOn w:val="Normal"/>
    <w:next w:val="Normal"/>
    <w:link w:val="Rubrik3Char"/>
    <w:qFormat/>
    <w:rsid w:val="00386441"/>
    <w:pPr>
      <w:keepNext/>
      <w:numPr>
        <w:ilvl w:val="2"/>
        <w:numId w:val="6"/>
      </w:numPr>
      <w:spacing w:before="240" w:after="60"/>
      <w:outlineLvl w:val="2"/>
    </w:pPr>
    <w:rPr>
      <w:rFonts w:cs="Arial"/>
      <w:bCs/>
      <w:sz w:val="26"/>
      <w:szCs w:val="26"/>
    </w:rPr>
  </w:style>
  <w:style w:type="paragraph" w:styleId="Rubrik4">
    <w:name w:val="heading 4"/>
    <w:basedOn w:val="Normal"/>
    <w:next w:val="Normal"/>
    <w:link w:val="Rubrik4Char"/>
    <w:qFormat/>
    <w:rsid w:val="00386441"/>
    <w:pPr>
      <w:keepNext/>
      <w:numPr>
        <w:ilvl w:val="3"/>
        <w:numId w:val="7"/>
      </w:numPr>
      <w:spacing w:before="240" w:after="60"/>
      <w:outlineLvl w:val="3"/>
    </w:pPr>
    <w:rPr>
      <w:bCs/>
      <w:i/>
      <w:sz w:val="26"/>
      <w:szCs w:val="28"/>
    </w:rPr>
  </w:style>
  <w:style w:type="paragraph" w:styleId="Rubrik5">
    <w:name w:val="heading 5"/>
    <w:basedOn w:val="Normal"/>
    <w:next w:val="Normal"/>
    <w:qFormat/>
    <w:pPr>
      <w:numPr>
        <w:ilvl w:val="4"/>
        <w:numId w:val="8"/>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Cs w:val="22"/>
    </w:rPr>
  </w:style>
  <w:style w:type="paragraph" w:styleId="Rubrik7">
    <w:name w:val="heading 7"/>
    <w:basedOn w:val="Normal"/>
    <w:next w:val="Normal"/>
    <w:qFormat/>
    <w:pPr>
      <w:numPr>
        <w:ilvl w:val="6"/>
        <w:numId w:val="10"/>
      </w:numPr>
      <w:spacing w:before="240" w:after="60"/>
      <w:outlineLvl w:val="6"/>
    </w:pPr>
  </w:style>
  <w:style w:type="paragraph" w:styleId="Rubrik8">
    <w:name w:val="heading 8"/>
    <w:basedOn w:val="Normal"/>
    <w:next w:val="Normal"/>
    <w:qFormat/>
    <w:pPr>
      <w:numPr>
        <w:ilvl w:val="7"/>
        <w:numId w:val="11"/>
      </w:numPr>
      <w:spacing w:before="240" w:after="60"/>
      <w:outlineLvl w:val="7"/>
    </w:pPr>
    <w:rPr>
      <w:i/>
      <w:iCs/>
    </w:rPr>
  </w:style>
  <w:style w:type="paragraph" w:styleId="Rubrik9">
    <w:name w:val="heading 9"/>
    <w:basedOn w:val="Normal"/>
    <w:next w:val="Normal"/>
    <w:qFormat/>
    <w:pPr>
      <w:numPr>
        <w:ilvl w:val="8"/>
        <w:numId w:val="12"/>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386441"/>
    <w:rPr>
      <w:rFonts w:cs="Arial"/>
      <w:bCs/>
      <w:kern w:val="32"/>
      <w:sz w:val="34"/>
      <w:szCs w:val="32"/>
      <w:lang w:val="sv-SE" w:eastAsia="sv-SE"/>
    </w:rPr>
  </w:style>
  <w:style w:type="character" w:customStyle="1" w:styleId="Rubrik2Char">
    <w:name w:val="Rubrik 2 Char"/>
    <w:link w:val="Rubrik2"/>
    <w:rsid w:val="00386441"/>
    <w:rPr>
      <w:rFonts w:cs="Arial"/>
      <w:bCs/>
      <w:iCs/>
      <w:sz w:val="30"/>
      <w:szCs w:val="28"/>
      <w:lang w:val="sv-SE" w:eastAsia="sv-SE"/>
    </w:rPr>
  </w:style>
  <w:style w:type="character" w:customStyle="1" w:styleId="Rubrik3Char">
    <w:name w:val="Rubrik 3 Char"/>
    <w:link w:val="Rubrik3"/>
    <w:rsid w:val="00386441"/>
    <w:rPr>
      <w:rFonts w:cs="Arial"/>
      <w:bCs/>
      <w:sz w:val="26"/>
      <w:szCs w:val="26"/>
      <w:lang w:val="sv-SE" w:eastAsia="sv-SE"/>
    </w:rPr>
  </w:style>
  <w:style w:type="character" w:customStyle="1" w:styleId="Rubrik4Char">
    <w:name w:val="Rubrik 4 Char"/>
    <w:link w:val="Rubrik4"/>
    <w:rsid w:val="00386441"/>
    <w:rPr>
      <w:bCs/>
      <w:i/>
      <w:sz w:val="26"/>
      <w:szCs w:val="28"/>
      <w:lang w:val="sv-SE" w:eastAsia="sv-SE"/>
    </w:rPr>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link w:val="SidhuvudChar"/>
    <w:uiPriority w:val="99"/>
    <w:pPr>
      <w:tabs>
        <w:tab w:val="right" w:pos="8732"/>
      </w:tabs>
    </w:pPr>
    <w:rPr>
      <w:rFonts w:ascii="Arial" w:hAnsi="Arial" w:cs="Arial"/>
      <w:sz w:val="16"/>
    </w:rPr>
  </w:style>
  <w:style w:type="character" w:customStyle="1" w:styleId="SidhuvudChar">
    <w:name w:val="Sidhuvud Char"/>
    <w:link w:val="Sidhuvud"/>
    <w:uiPriority w:val="99"/>
    <w:rsid w:val="004406DE"/>
    <w:rPr>
      <w:rFonts w:ascii="Arial" w:hAnsi="Arial" w:cs="Arial"/>
      <w:sz w:val="16"/>
      <w:szCs w:val="24"/>
      <w:lang w:val="sv-SE" w:eastAsia="sv-SE"/>
    </w:rPr>
  </w:style>
  <w:style w:type="paragraph" w:styleId="Sidfot">
    <w:name w:val="footer"/>
    <w:basedOn w:val="Normal"/>
    <w:link w:val="SidfotChar"/>
    <w:pPr>
      <w:tabs>
        <w:tab w:val="right" w:pos="8165"/>
      </w:tabs>
    </w:pPr>
    <w:rPr>
      <w:rFonts w:ascii="Verdana" w:hAnsi="Verdana" w:cs="Arial"/>
      <w:sz w:val="14"/>
    </w:rPr>
  </w:style>
  <w:style w:type="character" w:customStyle="1" w:styleId="SidfotChar">
    <w:name w:val="Sidfot Char"/>
    <w:link w:val="Sidfot"/>
    <w:rsid w:val="004406DE"/>
    <w:rPr>
      <w:rFonts w:ascii="Verdana" w:hAnsi="Verdana" w:cs="Arial"/>
      <w:sz w:val="14"/>
      <w:szCs w:val="24"/>
      <w:lang w:val="sv-SE" w:eastAsia="sv-SE"/>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paragraph" w:customStyle="1" w:styleId="Rubrikmellanrum">
    <w:name w:val="Rubrikmellanrum"/>
    <w:basedOn w:val="ANormal"/>
    <w:next w:val="ANormal"/>
    <w:pPr>
      <w:keepNext/>
    </w:pPr>
    <w:rPr>
      <w:sz w:val="1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Brdtext21">
    <w:name w:val="Brödtext 21"/>
    <w:basedOn w:val="Normal"/>
    <w:pPr>
      <w:widowControl w:val="0"/>
      <w:overflowPunct w:val="0"/>
      <w:autoSpaceDE w:val="0"/>
      <w:autoSpaceDN w:val="0"/>
      <w:adjustRightInd w:val="0"/>
      <w:jc w:val="both"/>
      <w:textAlignment w:val="baseline"/>
    </w:pPr>
    <w:rPr>
      <w:szCs w:val="20"/>
    </w:rPr>
  </w:style>
  <w:style w:type="paragraph" w:styleId="Punktlista">
    <w:name w:val="List Bullet"/>
    <w:basedOn w:val="ANormal"/>
    <w:autoRedefine/>
    <w:semiHidden/>
    <w:pPr>
      <w:numPr>
        <w:numId w:val="13"/>
      </w:numPr>
    </w:pPr>
  </w:style>
  <w:style w:type="character" w:customStyle="1" w:styleId="BallongtextChar">
    <w:name w:val="Ballongtext Char"/>
    <w:link w:val="Ballongtext"/>
    <w:uiPriority w:val="99"/>
    <w:semiHidden/>
    <w:rsid w:val="004406DE"/>
    <w:rPr>
      <w:rFonts w:ascii="Tahoma" w:hAnsi="Tahoma" w:cs="Tahoma"/>
      <w:sz w:val="16"/>
      <w:szCs w:val="16"/>
      <w:lang w:val="sv-SE" w:eastAsia="sv-SE"/>
    </w:rPr>
  </w:style>
  <w:style w:type="paragraph" w:styleId="Ballongtext">
    <w:name w:val="Balloon Text"/>
    <w:basedOn w:val="Normal"/>
    <w:link w:val="BallongtextChar"/>
    <w:uiPriority w:val="99"/>
    <w:semiHidden/>
    <w:unhideWhenUsed/>
    <w:rsid w:val="004406DE"/>
    <w:pPr>
      <w:jc w:val="both"/>
    </w:pPr>
    <w:rPr>
      <w:rFonts w:ascii="Tahoma" w:hAnsi="Tahoma" w:cs="Tahoma"/>
      <w:sz w:val="16"/>
      <w:szCs w:val="16"/>
    </w:rPr>
  </w:style>
  <w:style w:type="character" w:customStyle="1" w:styleId="KommentarerChar">
    <w:name w:val="Kommentarer Char"/>
    <w:link w:val="Kommentarer"/>
    <w:uiPriority w:val="99"/>
    <w:semiHidden/>
    <w:rsid w:val="004406DE"/>
    <w:rPr>
      <w:lang w:val="sv-SE" w:eastAsia="sv-SE"/>
    </w:rPr>
  </w:style>
  <w:style w:type="paragraph" w:styleId="Kommentarer">
    <w:name w:val="annotation text"/>
    <w:basedOn w:val="Normal"/>
    <w:link w:val="KommentarerChar"/>
    <w:uiPriority w:val="99"/>
    <w:semiHidden/>
    <w:unhideWhenUsed/>
    <w:rsid w:val="004406DE"/>
    <w:pPr>
      <w:jc w:val="both"/>
    </w:pPr>
    <w:rPr>
      <w:sz w:val="20"/>
      <w:szCs w:val="20"/>
    </w:rPr>
  </w:style>
  <w:style w:type="paragraph" w:styleId="Innehllsfrteckningsrubrik">
    <w:name w:val="TOC Heading"/>
    <w:basedOn w:val="Rubrik1"/>
    <w:next w:val="Normal"/>
    <w:uiPriority w:val="39"/>
    <w:semiHidden/>
    <w:unhideWhenUsed/>
    <w:qFormat/>
    <w:rsid w:val="0040709D"/>
    <w:pPr>
      <w:keepLines/>
      <w:numPr>
        <w:numId w:val="0"/>
      </w:numPr>
      <w:spacing w:before="480" w:after="0" w:line="276" w:lineRule="auto"/>
      <w:outlineLvl w:val="9"/>
    </w:pPr>
    <w:rPr>
      <w:rFonts w:ascii="Cambria" w:hAnsi="Cambria" w:cs="Times New Roman"/>
      <w:b/>
      <w:color w:val="365F91"/>
      <w:kern w:val="0"/>
      <w:sz w:val="28"/>
      <w:szCs w:val="28"/>
      <w:lang w:val="sv-FI" w:eastAsia="sv-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sv-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6303">
      <w:bodyDiv w:val="1"/>
      <w:marLeft w:val="0"/>
      <w:marRight w:val="0"/>
      <w:marTop w:val="0"/>
      <w:marBottom w:val="0"/>
      <w:divBdr>
        <w:top w:val="none" w:sz="0" w:space="0" w:color="auto"/>
        <w:left w:val="none" w:sz="0" w:space="0" w:color="auto"/>
        <w:bottom w:val="none" w:sz="0" w:space="0" w:color="auto"/>
        <w:right w:val="none" w:sz="0" w:space="0" w:color="auto"/>
      </w:divBdr>
      <w:divsChild>
        <w:div w:id="1511751402">
          <w:marLeft w:val="0"/>
          <w:marRight w:val="0"/>
          <w:marTop w:val="0"/>
          <w:marBottom w:val="0"/>
          <w:divBdr>
            <w:top w:val="none" w:sz="0" w:space="0" w:color="auto"/>
            <w:left w:val="none" w:sz="0" w:space="0" w:color="auto"/>
            <w:bottom w:val="none" w:sz="0" w:space="0" w:color="auto"/>
            <w:right w:val="none" w:sz="0" w:space="0" w:color="auto"/>
          </w:divBdr>
          <w:divsChild>
            <w:div w:id="19606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2140">
      <w:bodyDiv w:val="1"/>
      <w:marLeft w:val="60"/>
      <w:marRight w:val="60"/>
      <w:marTop w:val="60"/>
      <w:marBottom w:val="15"/>
      <w:divBdr>
        <w:top w:val="none" w:sz="0" w:space="0" w:color="auto"/>
        <w:left w:val="none" w:sz="0" w:space="0" w:color="auto"/>
        <w:bottom w:val="none" w:sz="0" w:space="0" w:color="auto"/>
        <w:right w:val="none" w:sz="0" w:space="0" w:color="auto"/>
      </w:divBdr>
      <w:divsChild>
        <w:div w:id="1355108611">
          <w:marLeft w:val="0"/>
          <w:marRight w:val="0"/>
          <w:marTop w:val="0"/>
          <w:marBottom w:val="0"/>
          <w:divBdr>
            <w:top w:val="none" w:sz="0" w:space="0" w:color="auto"/>
            <w:left w:val="none" w:sz="0" w:space="0" w:color="auto"/>
            <w:bottom w:val="none" w:sz="0" w:space="0" w:color="auto"/>
            <w:right w:val="none" w:sz="0" w:space="0" w:color="auto"/>
          </w:divBdr>
        </w:div>
        <w:div w:id="110979505">
          <w:marLeft w:val="0"/>
          <w:marRight w:val="0"/>
          <w:marTop w:val="0"/>
          <w:marBottom w:val="0"/>
          <w:divBdr>
            <w:top w:val="none" w:sz="0" w:space="0" w:color="auto"/>
            <w:left w:val="none" w:sz="0" w:space="0" w:color="auto"/>
            <w:bottom w:val="none" w:sz="0" w:space="0" w:color="auto"/>
            <w:right w:val="none" w:sz="0" w:space="0" w:color="auto"/>
          </w:divBdr>
        </w:div>
        <w:div w:id="1236630461">
          <w:marLeft w:val="0"/>
          <w:marRight w:val="0"/>
          <w:marTop w:val="0"/>
          <w:marBottom w:val="0"/>
          <w:divBdr>
            <w:top w:val="none" w:sz="0" w:space="0" w:color="auto"/>
            <w:left w:val="none" w:sz="0" w:space="0" w:color="auto"/>
            <w:bottom w:val="none" w:sz="0" w:space="0" w:color="auto"/>
            <w:right w:val="none" w:sz="0" w:space="0" w:color="auto"/>
          </w:divBdr>
        </w:div>
        <w:div w:id="1068187276">
          <w:marLeft w:val="0"/>
          <w:marRight w:val="0"/>
          <w:marTop w:val="0"/>
          <w:marBottom w:val="0"/>
          <w:divBdr>
            <w:top w:val="none" w:sz="0" w:space="0" w:color="auto"/>
            <w:left w:val="none" w:sz="0" w:space="0" w:color="auto"/>
            <w:bottom w:val="none" w:sz="0" w:space="0" w:color="auto"/>
            <w:right w:val="none" w:sz="0" w:space="0" w:color="auto"/>
          </w:divBdr>
        </w:div>
      </w:divsChild>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8850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peter\Application%20Data\Microsoft\Mallar\LS-LT\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9A43-A538-47E9-B187-8D583206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0</TotalTime>
  <Pages>51</Pages>
  <Words>24551</Words>
  <Characters>130126</Characters>
  <Application>Microsoft Office Word</Application>
  <DocSecurity>4</DocSecurity>
  <Lines>1084</Lines>
  <Paragraphs>308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Landskapsstyrelsens meddelande nr 2/2000-2001</vt:lpstr>
      <vt:lpstr>Landskapsstyrelsens meddelande nr 2/2000-2001</vt:lpstr>
    </vt:vector>
  </TitlesOfParts>
  <Company>Ålands landskapsstyrelse</Company>
  <LinksUpToDate>false</LinksUpToDate>
  <CharactersWithSpaces>154369</CharactersWithSpaces>
  <SharedDoc>false</SharedDoc>
  <HLinks>
    <vt:vector size="78" baseType="variant">
      <vt:variant>
        <vt:i4>2752614</vt:i4>
      </vt:variant>
      <vt:variant>
        <vt:i4>63</vt:i4>
      </vt:variant>
      <vt:variant>
        <vt:i4>0</vt:i4>
      </vt:variant>
      <vt:variant>
        <vt:i4>5</vt:i4>
      </vt:variant>
      <vt:variant>
        <vt:lpwstr>m0220002001-b2.htm</vt:lpwstr>
      </vt:variant>
      <vt:variant>
        <vt:lpwstr/>
      </vt:variant>
      <vt:variant>
        <vt:i4>2687078</vt:i4>
      </vt:variant>
      <vt:variant>
        <vt:i4>60</vt:i4>
      </vt:variant>
      <vt:variant>
        <vt:i4>0</vt:i4>
      </vt:variant>
      <vt:variant>
        <vt:i4>5</vt:i4>
      </vt:variant>
      <vt:variant>
        <vt:lpwstr>m0220002001-b1.htm</vt:lpwstr>
      </vt:variant>
      <vt:variant>
        <vt:lpwstr/>
      </vt:variant>
      <vt:variant>
        <vt:i4>262192</vt:i4>
      </vt:variant>
      <vt:variant>
        <vt:i4>57</vt:i4>
      </vt:variant>
      <vt:variant>
        <vt:i4>0</vt:i4>
      </vt:variant>
      <vt:variant>
        <vt:i4>5</vt:i4>
      </vt:variant>
      <vt:variant>
        <vt:lpwstr/>
      </vt:variant>
      <vt:variant>
        <vt:lpwstr>_top</vt:lpwstr>
      </vt:variant>
      <vt:variant>
        <vt:i4>1638456</vt:i4>
      </vt:variant>
      <vt:variant>
        <vt:i4>50</vt:i4>
      </vt:variant>
      <vt:variant>
        <vt:i4>0</vt:i4>
      </vt:variant>
      <vt:variant>
        <vt:i4>5</vt:i4>
      </vt:variant>
      <vt:variant>
        <vt:lpwstr/>
      </vt:variant>
      <vt:variant>
        <vt:lpwstr>_Toc535296190</vt:lpwstr>
      </vt:variant>
      <vt:variant>
        <vt:i4>1572920</vt:i4>
      </vt:variant>
      <vt:variant>
        <vt:i4>44</vt:i4>
      </vt:variant>
      <vt:variant>
        <vt:i4>0</vt:i4>
      </vt:variant>
      <vt:variant>
        <vt:i4>5</vt:i4>
      </vt:variant>
      <vt:variant>
        <vt:lpwstr/>
      </vt:variant>
      <vt:variant>
        <vt:lpwstr>_Toc535296189</vt:lpwstr>
      </vt:variant>
      <vt:variant>
        <vt:i4>1572920</vt:i4>
      </vt:variant>
      <vt:variant>
        <vt:i4>38</vt:i4>
      </vt:variant>
      <vt:variant>
        <vt:i4>0</vt:i4>
      </vt:variant>
      <vt:variant>
        <vt:i4>5</vt:i4>
      </vt:variant>
      <vt:variant>
        <vt:lpwstr/>
      </vt:variant>
      <vt:variant>
        <vt:lpwstr>_Toc535296188</vt:lpwstr>
      </vt:variant>
      <vt:variant>
        <vt:i4>1572920</vt:i4>
      </vt:variant>
      <vt:variant>
        <vt:i4>32</vt:i4>
      </vt:variant>
      <vt:variant>
        <vt:i4>0</vt:i4>
      </vt:variant>
      <vt:variant>
        <vt:i4>5</vt:i4>
      </vt:variant>
      <vt:variant>
        <vt:lpwstr/>
      </vt:variant>
      <vt:variant>
        <vt:lpwstr>_Toc535296187</vt:lpwstr>
      </vt:variant>
      <vt:variant>
        <vt:i4>1572920</vt:i4>
      </vt:variant>
      <vt:variant>
        <vt:i4>26</vt:i4>
      </vt:variant>
      <vt:variant>
        <vt:i4>0</vt:i4>
      </vt:variant>
      <vt:variant>
        <vt:i4>5</vt:i4>
      </vt:variant>
      <vt:variant>
        <vt:lpwstr/>
      </vt:variant>
      <vt:variant>
        <vt:lpwstr>_Toc535296186</vt:lpwstr>
      </vt:variant>
      <vt:variant>
        <vt:i4>1572920</vt:i4>
      </vt:variant>
      <vt:variant>
        <vt:i4>20</vt:i4>
      </vt:variant>
      <vt:variant>
        <vt:i4>0</vt:i4>
      </vt:variant>
      <vt:variant>
        <vt:i4>5</vt:i4>
      </vt:variant>
      <vt:variant>
        <vt:lpwstr/>
      </vt:variant>
      <vt:variant>
        <vt:lpwstr>_Toc535296185</vt:lpwstr>
      </vt:variant>
      <vt:variant>
        <vt:i4>1572920</vt:i4>
      </vt:variant>
      <vt:variant>
        <vt:i4>14</vt:i4>
      </vt:variant>
      <vt:variant>
        <vt:i4>0</vt:i4>
      </vt:variant>
      <vt:variant>
        <vt:i4>5</vt:i4>
      </vt:variant>
      <vt:variant>
        <vt:lpwstr/>
      </vt:variant>
      <vt:variant>
        <vt:lpwstr>_Toc535296184</vt:lpwstr>
      </vt:variant>
      <vt:variant>
        <vt:i4>1572920</vt:i4>
      </vt:variant>
      <vt:variant>
        <vt:i4>8</vt:i4>
      </vt:variant>
      <vt:variant>
        <vt:i4>0</vt:i4>
      </vt:variant>
      <vt:variant>
        <vt:i4>5</vt:i4>
      </vt:variant>
      <vt:variant>
        <vt:lpwstr/>
      </vt:variant>
      <vt:variant>
        <vt:lpwstr>_Toc535296183</vt:lpwstr>
      </vt:variant>
      <vt:variant>
        <vt:i4>1572920</vt:i4>
      </vt:variant>
      <vt:variant>
        <vt:i4>2</vt:i4>
      </vt:variant>
      <vt:variant>
        <vt:i4>0</vt:i4>
      </vt:variant>
      <vt:variant>
        <vt:i4>5</vt:i4>
      </vt:variant>
      <vt:variant>
        <vt:lpwstr/>
      </vt:variant>
      <vt:variant>
        <vt:lpwstr>_Toc535296182</vt:lpwstr>
      </vt:variant>
      <vt:variant>
        <vt:i4>7143543</vt:i4>
      </vt:variant>
      <vt:variant>
        <vt:i4>1026</vt:i4>
      </vt:variant>
      <vt:variant>
        <vt:i4>1026</vt:i4>
      </vt:variant>
      <vt:variant>
        <vt:i4>1</vt:i4>
      </vt:variant>
      <vt:variant>
        <vt:lpwstr>O:\Web\www_lagtinget\grafik\space\5x5px.gif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Landskapsstyrelsens meddelande nr 1/2014-2015</dc:title>
  <dc:creator>LR</dc:creator>
  <cp:lastModifiedBy>Annette Gammals</cp:lastModifiedBy>
  <cp:revision>2</cp:revision>
  <cp:lastPrinted>2015-02-26T09:30:00Z</cp:lastPrinted>
  <dcterms:created xsi:type="dcterms:W3CDTF">2015-02-26T12:11:00Z</dcterms:created>
  <dcterms:modified xsi:type="dcterms:W3CDTF">2015-02-26T12:11:00Z</dcterms:modified>
</cp:coreProperties>
</file>