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>
        <w:trPr>
          <w:cantSplit/>
          <w:trHeight w:val="20"/>
        </w:trPr>
        <w:tc>
          <w:tcPr>
            <w:tcW w:w="861" w:type="dxa"/>
            <w:vMerge w:val="restart"/>
          </w:tcPr>
          <w:p w:rsidR="002401D0" w:rsidRDefault="00F22FEC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5pt;height:53.85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2401D0" w:rsidRDefault="00F22FEC">
            <w:pPr>
              <w:pStyle w:val="xMellanrum"/>
            </w:pPr>
            <w:r>
              <w:pict>
                <v:shape id="_x0000_i1026" type="#_x0000_t75" style="width:3.75pt;height:3.75pt">
                  <v:imagedata r:id="rId9" o:title="5x5px"/>
                </v:shape>
              </w:pict>
            </w:r>
          </w:p>
        </w:tc>
      </w:tr>
      <w:tr w:rsidR="002401D0">
        <w:trPr>
          <w:cantSplit/>
          <w:trHeight w:val="299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2401D0" w:rsidRDefault="00D76A53" w:rsidP="00B90DEC">
            <w:pPr>
              <w:pStyle w:val="xDokTypNr"/>
            </w:pPr>
            <w:r>
              <w:t>BETÄNKANDE nr 7</w:t>
            </w:r>
            <w:r w:rsidR="002401D0">
              <w:t>/20</w:t>
            </w:r>
            <w:r w:rsidR="00723B93">
              <w:t>1</w:t>
            </w:r>
            <w:r>
              <w:t>4</w:t>
            </w:r>
            <w:r w:rsidR="0015337C">
              <w:t>-20</w:t>
            </w:r>
            <w:r w:rsidR="009F7CE2">
              <w:t>1</w:t>
            </w:r>
            <w:r>
              <w:t>5</w:t>
            </w: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2401D0" w:rsidRDefault="00461E03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:rsidR="002401D0" w:rsidRDefault="002401D0">
            <w:pPr>
              <w:pStyle w:val="xDatum1"/>
            </w:pPr>
            <w:r>
              <w:t>20</w:t>
            </w:r>
            <w:r w:rsidR="00B32E91">
              <w:t>1</w:t>
            </w:r>
            <w:r w:rsidR="0096766C">
              <w:t>5</w:t>
            </w:r>
            <w:r w:rsidR="00A92ACF">
              <w:t>-</w:t>
            </w:r>
            <w:r w:rsidR="00D76A53">
              <w:t>03-03</w:t>
            </w:r>
          </w:p>
        </w:tc>
        <w:tc>
          <w:tcPr>
            <w:tcW w:w="2563" w:type="dxa"/>
            <w:vAlign w:val="center"/>
          </w:tcPr>
          <w:p w:rsidR="002401D0" w:rsidRDefault="002401D0">
            <w:pPr>
              <w:pStyle w:val="xBeteckning1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401D0" w:rsidRDefault="002401D0">
            <w:pPr>
              <w:pStyle w:val="xBeteckning2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2401D0" w:rsidRDefault="002401D0">
            <w:pPr>
              <w:pStyle w:val="xLed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  <w:tr w:rsidR="002401D0">
        <w:trPr>
          <w:cantSplit/>
          <w:trHeight w:val="238"/>
        </w:trPr>
        <w:tc>
          <w:tcPr>
            <w:tcW w:w="861" w:type="dxa"/>
          </w:tcPr>
          <w:p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2401D0" w:rsidRDefault="002401D0">
            <w:pPr>
              <w:pStyle w:val="xCelltext"/>
            </w:pPr>
          </w:p>
        </w:tc>
      </w:tr>
    </w:tbl>
    <w:p w:rsidR="002401D0" w:rsidRDefault="002401D0">
      <w:pPr>
        <w:rPr>
          <w:b/>
          <w:bCs/>
        </w:rPr>
        <w:sectPr w:rsidR="002401D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2401D0" w:rsidRDefault="00461E03">
      <w:pPr>
        <w:pStyle w:val="ArendeOverRubrik"/>
      </w:pPr>
      <w:r>
        <w:lastRenderedPageBreak/>
        <w:t>Finans- och närings</w:t>
      </w:r>
      <w:r w:rsidR="002401D0">
        <w:t>utskottets betänkande</w:t>
      </w:r>
    </w:p>
    <w:p w:rsidR="002401D0" w:rsidRDefault="00461E03">
      <w:pPr>
        <w:pStyle w:val="ArendeRubrik"/>
      </w:pPr>
      <w:r>
        <w:t xml:space="preserve">Meddelande om </w:t>
      </w:r>
      <w:r w:rsidR="0096766C">
        <w:t>framtidens skärgårdstrafiksystem</w:t>
      </w:r>
    </w:p>
    <w:p w:rsidR="002401D0" w:rsidRDefault="0096766C">
      <w:pPr>
        <w:pStyle w:val="ArendeUnderRubrik"/>
      </w:pPr>
      <w:r>
        <w:t>Meddelande nr 6</w:t>
      </w:r>
      <w:r w:rsidR="00A92ACF">
        <w:t>/2013-2014</w:t>
      </w:r>
    </w:p>
    <w:p w:rsidR="002401D0" w:rsidRPr="00884362" w:rsidRDefault="00BA0A6C">
      <w:pPr>
        <w:pStyle w:val="ANormal"/>
        <w:rPr>
          <w:b/>
          <w:color w:val="FF0000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</w:p>
    <w:p w:rsidR="002401D0" w:rsidRDefault="002401D0">
      <w:pPr>
        <w:pStyle w:val="Innehll1"/>
      </w:pPr>
      <w:r>
        <w:t>INNEHÅLL</w:t>
      </w:r>
    </w:p>
    <w:p w:rsidR="00D76A53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413141463" w:history="1">
        <w:r w:rsidR="00D76A53" w:rsidRPr="00F93B11">
          <w:rPr>
            <w:rStyle w:val="Hyperlnk"/>
          </w:rPr>
          <w:t>Sammanfattning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_Toc413141463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4" w:history="1">
        <w:r w:rsidR="00D76A53" w:rsidRPr="00F93B11">
          <w:rPr>
            <w:rStyle w:val="Hyperlnk"/>
          </w:rPr>
          <w:t>Landskapsregeringens förslag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_Toc413141464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5" w:history="1">
        <w:r w:rsidR="00D76A53" w:rsidRPr="00F93B11">
          <w:rPr>
            <w:rStyle w:val="Hyperlnk"/>
          </w:rPr>
          <w:t>Utskottets förslag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_Toc413141465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6" w:history="1">
        <w:r w:rsidR="00D76A53" w:rsidRPr="00F93B11">
          <w:rPr>
            <w:rStyle w:val="Hyperlnk"/>
          </w:rPr>
          <w:t>Utskottets synpunkter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_Toc413141466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7" w:history="1">
        <w:r w:rsidR="00D76A53" w:rsidRPr="00F93B11">
          <w:rPr>
            <w:rStyle w:val="Hyperlnk"/>
          </w:rPr>
          <w:t>Allmänt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_Toc413141467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8" w:history="1">
        <w:r w:rsidR="00D76A53" w:rsidRPr="00F93B11">
          <w:rPr>
            <w:rStyle w:val="Hyperlnk"/>
          </w:rPr>
          <w:t>Östra och västra Föglö samt bro över Prästösund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_Toc413141468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3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69" w:history="1">
        <w:r w:rsidR="00D76A53" w:rsidRPr="00F93B11">
          <w:rPr>
            <w:rStyle w:val="Hyperlnk"/>
          </w:rPr>
          <w:t>Allmänt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_Toc413141469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1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3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70" w:history="1">
        <w:r w:rsidR="00D76A53" w:rsidRPr="00F93B11">
          <w:rPr>
            <w:rStyle w:val="Hyperlnk"/>
          </w:rPr>
          <w:t>Utskottets rekommendationer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_Toc413141470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2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71" w:history="1">
        <w:r w:rsidR="00D76A53" w:rsidRPr="00F93B11">
          <w:rPr>
            <w:rStyle w:val="Hyperlnk"/>
          </w:rPr>
          <w:t>Ärendets behandling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_Toc413141471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2</w:t>
        </w:r>
        <w:r w:rsidR="00D76A53">
          <w:rPr>
            <w:webHidden/>
          </w:rPr>
          <w:fldChar w:fldCharType="end"/>
        </w:r>
      </w:hyperlink>
    </w:p>
    <w:p w:rsidR="00D76A53" w:rsidRDefault="00F22FEC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3141472" w:history="1">
        <w:r w:rsidR="00D76A53" w:rsidRPr="00F93B11">
          <w:rPr>
            <w:rStyle w:val="Hyperlnk"/>
          </w:rPr>
          <w:t>Utskottets förslag</w:t>
        </w:r>
        <w:r w:rsidR="00D76A53">
          <w:rPr>
            <w:webHidden/>
          </w:rPr>
          <w:tab/>
        </w:r>
        <w:r w:rsidR="00D76A53">
          <w:rPr>
            <w:webHidden/>
          </w:rPr>
          <w:fldChar w:fldCharType="begin"/>
        </w:r>
        <w:r w:rsidR="00D76A53">
          <w:rPr>
            <w:webHidden/>
          </w:rPr>
          <w:instrText xml:space="preserve"> PAGEREF _Toc413141472 \h </w:instrText>
        </w:r>
        <w:r w:rsidR="00D76A53">
          <w:rPr>
            <w:webHidden/>
          </w:rPr>
        </w:r>
        <w:r w:rsidR="00D76A53">
          <w:rPr>
            <w:webHidden/>
          </w:rPr>
          <w:fldChar w:fldCharType="separate"/>
        </w:r>
        <w:r w:rsidR="00D76A53">
          <w:rPr>
            <w:webHidden/>
          </w:rPr>
          <w:t>2</w:t>
        </w:r>
        <w:r w:rsidR="00D76A53">
          <w:rPr>
            <w:webHidden/>
          </w:rPr>
          <w:fldChar w:fldCharType="end"/>
        </w:r>
      </w:hyperlink>
    </w:p>
    <w:p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:rsidR="002401D0" w:rsidRDefault="002401D0">
      <w:pPr>
        <w:pStyle w:val="RubrikA"/>
      </w:pPr>
      <w:bookmarkStart w:id="2" w:name="_Toc529800932"/>
      <w:bookmarkStart w:id="3" w:name="_Toc413141463"/>
      <w:r>
        <w:t>Sammanfattning</w:t>
      </w:r>
      <w:bookmarkEnd w:id="2"/>
      <w:bookmarkEnd w:id="3"/>
    </w:p>
    <w:p w:rsidR="002401D0" w:rsidRDefault="002401D0">
      <w:pPr>
        <w:pStyle w:val="Rubrikmellanrum"/>
      </w:pPr>
    </w:p>
    <w:p w:rsidR="002401D0" w:rsidRDefault="00461E03">
      <w:pPr>
        <w:pStyle w:val="RubrikB"/>
      </w:pPr>
      <w:bookmarkStart w:id="4" w:name="_Toc529800933"/>
      <w:bookmarkStart w:id="5" w:name="_Toc413141464"/>
      <w:r>
        <w:t>Landskapsregeringens</w:t>
      </w:r>
      <w:r w:rsidR="002401D0">
        <w:t xml:space="preserve"> förslag</w:t>
      </w:r>
      <w:bookmarkEnd w:id="4"/>
      <w:bookmarkEnd w:id="5"/>
    </w:p>
    <w:p w:rsidR="002401D0" w:rsidRDefault="002401D0">
      <w:pPr>
        <w:pStyle w:val="Rubrikmellanrum"/>
      </w:pPr>
    </w:p>
    <w:p w:rsidR="00B535FB" w:rsidRPr="00B535FB" w:rsidRDefault="005445F0" w:rsidP="00B535FB">
      <w:pPr>
        <w:pStyle w:val="ANormal"/>
        <w:rPr>
          <w:lang w:eastAsia="sv-FI"/>
        </w:rPr>
      </w:pPr>
      <w:r>
        <w:rPr>
          <w:lang w:eastAsia="sv-FI"/>
        </w:rPr>
        <w:t xml:space="preserve">Landskapsregeringen föreslår i meddelandet en rad åtgärder i fråga om skärgårdstrafiksystemet i syfte att </w:t>
      </w:r>
      <w:r w:rsidRPr="005445F0">
        <w:rPr>
          <w:lang w:eastAsia="sv-FI"/>
        </w:rPr>
        <w:t xml:space="preserve">möjliggöra nya samverkansmöjligheter mellan kommunerna samt även mellan fasta Åland och skärgården. </w:t>
      </w:r>
      <w:r w:rsidR="00B535FB" w:rsidRPr="00B535FB">
        <w:rPr>
          <w:lang w:eastAsia="sv-FI"/>
        </w:rPr>
        <w:t>Traf</w:t>
      </w:r>
      <w:r w:rsidR="00B535FB" w:rsidRPr="00B535FB">
        <w:rPr>
          <w:lang w:eastAsia="sv-FI"/>
        </w:rPr>
        <w:t>i</w:t>
      </w:r>
      <w:r w:rsidR="00B535FB" w:rsidRPr="00B535FB">
        <w:rPr>
          <w:lang w:eastAsia="sv-FI"/>
        </w:rPr>
        <w:t>ken är en överlevnadsfråga för den bofasta befolkningen i skärgården och deras möjligheter att bedriva näringar, men också mycket viktig för pers</w:t>
      </w:r>
      <w:r w:rsidR="00B535FB" w:rsidRPr="00B535FB">
        <w:rPr>
          <w:lang w:eastAsia="sv-FI"/>
        </w:rPr>
        <w:t>o</w:t>
      </w:r>
      <w:r w:rsidR="00B535FB" w:rsidRPr="00B535FB">
        <w:rPr>
          <w:lang w:eastAsia="sv-FI"/>
        </w:rPr>
        <w:t>ner med fritidsboende i regionen samt för genomfartstrafik och som tran</w:t>
      </w:r>
      <w:r w:rsidR="00B535FB" w:rsidRPr="00B535FB">
        <w:rPr>
          <w:lang w:eastAsia="sv-FI"/>
        </w:rPr>
        <w:t>s</w:t>
      </w:r>
      <w:r w:rsidR="00B535FB" w:rsidRPr="00B535FB">
        <w:rPr>
          <w:lang w:eastAsia="sv-FI"/>
        </w:rPr>
        <w:t>portled österut. Fördelarna med förkortade färjepass förväntas leda till en långsiktigt hållbar trafik med större möjlighet till säsongsvariationer, u</w:t>
      </w:r>
      <w:r w:rsidR="00B535FB" w:rsidRPr="00B535FB">
        <w:rPr>
          <w:lang w:eastAsia="sv-FI"/>
        </w:rPr>
        <w:t>n</w:t>
      </w:r>
      <w:r w:rsidR="00B535FB" w:rsidRPr="00B535FB">
        <w:rPr>
          <w:lang w:eastAsia="sv-FI"/>
        </w:rPr>
        <w:t>derlätta för arbetspendling och knyta samman landskapets regioner till en tätare helhet.</w:t>
      </w:r>
    </w:p>
    <w:p w:rsidR="002401D0" w:rsidRDefault="002401D0">
      <w:pPr>
        <w:pStyle w:val="ANormal"/>
      </w:pPr>
    </w:p>
    <w:p w:rsidR="002401D0" w:rsidRDefault="002401D0">
      <w:pPr>
        <w:pStyle w:val="RubrikB"/>
      </w:pPr>
      <w:bookmarkStart w:id="6" w:name="_Toc529800934"/>
      <w:bookmarkStart w:id="7" w:name="_Toc413141465"/>
      <w:r>
        <w:t>Utskottets förslag</w:t>
      </w:r>
      <w:bookmarkEnd w:id="6"/>
      <w:bookmarkEnd w:id="7"/>
    </w:p>
    <w:p w:rsidR="002401D0" w:rsidRDefault="002401D0">
      <w:pPr>
        <w:pStyle w:val="Rubrikmellanrum"/>
      </w:pPr>
    </w:p>
    <w:p w:rsidR="002401D0" w:rsidRDefault="00461E03">
      <w:pPr>
        <w:pStyle w:val="ANormal"/>
        <w:rPr>
          <w:lang w:eastAsia="sv-FI"/>
        </w:rPr>
      </w:pPr>
      <w:r>
        <w:rPr>
          <w:lang w:eastAsia="sv-FI"/>
        </w:rPr>
        <w:t>Utskottet föreslår att lagtinget antecknar sig landskapsregeringens me</w:t>
      </w:r>
      <w:r>
        <w:rPr>
          <w:lang w:eastAsia="sv-FI"/>
        </w:rPr>
        <w:t>d</w:t>
      </w:r>
      <w:r>
        <w:rPr>
          <w:lang w:eastAsia="sv-FI"/>
        </w:rPr>
        <w:t>delande för kännedom och bringar betänkandets motivering till landskap</w:t>
      </w:r>
      <w:r>
        <w:rPr>
          <w:lang w:eastAsia="sv-FI"/>
        </w:rPr>
        <w:t>s</w:t>
      </w:r>
      <w:r>
        <w:rPr>
          <w:lang w:eastAsia="sv-FI"/>
        </w:rPr>
        <w:t>regeringens kännedom.</w:t>
      </w:r>
    </w:p>
    <w:p w:rsidR="002401D0" w:rsidRDefault="002401D0">
      <w:pPr>
        <w:pStyle w:val="ANormal"/>
      </w:pPr>
    </w:p>
    <w:p w:rsidR="002401D0" w:rsidRDefault="002401D0">
      <w:pPr>
        <w:pStyle w:val="RubrikA"/>
      </w:pPr>
      <w:bookmarkStart w:id="8" w:name="_Toc529800935"/>
      <w:bookmarkStart w:id="9" w:name="_Toc413141466"/>
      <w:r>
        <w:t>Utskottets synpunkter</w:t>
      </w:r>
      <w:bookmarkEnd w:id="8"/>
      <w:bookmarkEnd w:id="9"/>
    </w:p>
    <w:p w:rsidR="002401D0" w:rsidRDefault="002401D0">
      <w:pPr>
        <w:pStyle w:val="Rubrikmellanrum"/>
      </w:pPr>
    </w:p>
    <w:p w:rsidR="002401D0" w:rsidRDefault="00F87AB1" w:rsidP="005636D7">
      <w:pPr>
        <w:pStyle w:val="RubrikB"/>
      </w:pPr>
      <w:bookmarkStart w:id="10" w:name="_Toc413141467"/>
      <w:r>
        <w:t>Allmänt</w:t>
      </w:r>
      <w:bookmarkEnd w:id="10"/>
    </w:p>
    <w:p w:rsidR="005445F0" w:rsidRDefault="005445F0" w:rsidP="005445F0">
      <w:pPr>
        <w:pStyle w:val="Rubrikmellanrum"/>
      </w:pPr>
    </w:p>
    <w:p w:rsidR="0008125B" w:rsidRDefault="007C3E09" w:rsidP="005445F0">
      <w:pPr>
        <w:pStyle w:val="ANormal"/>
        <w:rPr>
          <w:lang w:eastAsia="sv-FI"/>
        </w:rPr>
      </w:pPr>
      <w:r>
        <w:rPr>
          <w:lang w:eastAsia="sv-FI"/>
        </w:rPr>
        <w:t xml:space="preserve">Landskapsregeringen konstaterar i meddelandet att det </w:t>
      </w:r>
      <w:r w:rsidRPr="005445F0">
        <w:rPr>
          <w:lang w:eastAsia="sv-FI"/>
        </w:rPr>
        <w:t>krävs en långsiktig, stabil och tillräcklig servicenivå i skärgårdstrafiken</w:t>
      </w:r>
      <w:r>
        <w:rPr>
          <w:lang w:eastAsia="sv-FI"/>
        </w:rPr>
        <w:t xml:space="preserve"> f</w:t>
      </w:r>
      <w:r w:rsidR="005445F0" w:rsidRPr="005445F0">
        <w:rPr>
          <w:lang w:eastAsia="sv-FI"/>
        </w:rPr>
        <w:t xml:space="preserve">ör att </w:t>
      </w:r>
      <w:r>
        <w:rPr>
          <w:lang w:eastAsia="sv-FI"/>
        </w:rPr>
        <w:t xml:space="preserve">det ska </w:t>
      </w:r>
      <w:r w:rsidR="005445F0" w:rsidRPr="005445F0">
        <w:rPr>
          <w:lang w:eastAsia="sv-FI"/>
        </w:rPr>
        <w:t>kunna</w:t>
      </w:r>
      <w:r>
        <w:rPr>
          <w:lang w:eastAsia="sv-FI"/>
        </w:rPr>
        <w:t xml:space="preserve"> vara möjligt att</w:t>
      </w:r>
      <w:r w:rsidR="005445F0" w:rsidRPr="005445F0">
        <w:rPr>
          <w:lang w:eastAsia="sv-FI"/>
        </w:rPr>
        <w:t xml:space="preserve"> upprätthålla och utveckla fungerande samhällen i skärgå</w:t>
      </w:r>
      <w:r w:rsidR="005445F0" w:rsidRPr="005445F0">
        <w:rPr>
          <w:lang w:eastAsia="sv-FI"/>
        </w:rPr>
        <w:t>r</w:t>
      </w:r>
      <w:r w:rsidR="005445F0" w:rsidRPr="005445F0">
        <w:rPr>
          <w:lang w:eastAsia="sv-FI"/>
        </w:rPr>
        <w:t xml:space="preserve">den med ett välfungerande näringsliv. </w:t>
      </w:r>
      <w:r>
        <w:rPr>
          <w:lang w:eastAsia="sv-FI"/>
        </w:rPr>
        <w:t xml:space="preserve"> Utskottet delar denna uppfattning och understryker vikten av långsiktighet och stabilitet. </w:t>
      </w:r>
    </w:p>
    <w:p w:rsidR="006B45CF" w:rsidRDefault="006B45CF" w:rsidP="005445F0">
      <w:pPr>
        <w:pStyle w:val="ANormal"/>
        <w:rPr>
          <w:lang w:eastAsia="sv-FI"/>
        </w:rPr>
      </w:pPr>
    </w:p>
    <w:p w:rsidR="006B45CF" w:rsidRDefault="006B45CF" w:rsidP="006B45CF">
      <w:pPr>
        <w:pStyle w:val="RubrikB"/>
      </w:pPr>
      <w:bookmarkStart w:id="11" w:name="_Toc413141468"/>
      <w:r>
        <w:t>Östra och västra Föglö samt b</w:t>
      </w:r>
      <w:r w:rsidR="007758B2">
        <w:t>r</w:t>
      </w:r>
      <w:r>
        <w:t>o över Prästösund</w:t>
      </w:r>
      <w:bookmarkEnd w:id="11"/>
    </w:p>
    <w:p w:rsidR="006B45CF" w:rsidRPr="006B45CF" w:rsidRDefault="006B45CF" w:rsidP="006B45CF">
      <w:pPr>
        <w:pStyle w:val="Rubrikmellanrum"/>
      </w:pPr>
    </w:p>
    <w:p w:rsidR="00873E26" w:rsidRDefault="00873E26" w:rsidP="00511085">
      <w:pPr>
        <w:pStyle w:val="RubrikC"/>
      </w:pPr>
      <w:bookmarkStart w:id="12" w:name="_Toc413141469"/>
      <w:r>
        <w:t>Allmänt</w:t>
      </w:r>
      <w:bookmarkEnd w:id="12"/>
    </w:p>
    <w:p w:rsidR="00511085" w:rsidRPr="00511085" w:rsidRDefault="00511085" w:rsidP="00511085">
      <w:pPr>
        <w:pStyle w:val="Rubrikmellanrum"/>
      </w:pPr>
    </w:p>
    <w:p w:rsidR="005445F0" w:rsidRPr="005445F0" w:rsidRDefault="0008125B" w:rsidP="005445F0">
      <w:pPr>
        <w:pStyle w:val="ANormal"/>
        <w:rPr>
          <w:lang w:eastAsia="sv-FI"/>
        </w:rPr>
      </w:pPr>
      <w:r>
        <w:rPr>
          <w:lang w:eastAsia="sv-FI"/>
        </w:rPr>
        <w:t xml:space="preserve">Landskapsregeringens utgångspunkt </w:t>
      </w:r>
      <w:r w:rsidR="005445F0" w:rsidRPr="005445F0">
        <w:rPr>
          <w:lang w:eastAsia="sv-FI"/>
        </w:rPr>
        <w:t>är att nuvarande servicenivå i skä</w:t>
      </w:r>
      <w:r w:rsidR="005445F0" w:rsidRPr="005445F0">
        <w:rPr>
          <w:lang w:eastAsia="sv-FI"/>
        </w:rPr>
        <w:t>r</w:t>
      </w:r>
      <w:r w:rsidR="005445F0" w:rsidRPr="005445F0">
        <w:rPr>
          <w:lang w:eastAsia="sv-FI"/>
        </w:rPr>
        <w:t xml:space="preserve">gårdstrafiken </w:t>
      </w:r>
      <w:proofErr w:type="gramStart"/>
      <w:r w:rsidR="005445F0" w:rsidRPr="005445F0">
        <w:rPr>
          <w:lang w:eastAsia="sv-FI"/>
        </w:rPr>
        <w:t>bibehålls</w:t>
      </w:r>
      <w:proofErr w:type="gramEnd"/>
      <w:r w:rsidR="005445F0" w:rsidRPr="005445F0">
        <w:rPr>
          <w:lang w:eastAsia="sv-FI"/>
        </w:rPr>
        <w:t xml:space="preserve"> om behovet fortsättningsvis är oför</w:t>
      </w:r>
      <w:r>
        <w:rPr>
          <w:lang w:eastAsia="sv-FI"/>
        </w:rPr>
        <w:t>ändrat,</w:t>
      </w:r>
      <w:r w:rsidR="005445F0" w:rsidRPr="005445F0">
        <w:rPr>
          <w:lang w:eastAsia="sv-FI"/>
        </w:rPr>
        <w:t xml:space="preserve"> att o</w:t>
      </w:r>
      <w:r w:rsidR="005445F0" w:rsidRPr="005445F0">
        <w:rPr>
          <w:lang w:eastAsia="sv-FI"/>
        </w:rPr>
        <w:t>m</w:t>
      </w:r>
      <w:r w:rsidR="005445F0" w:rsidRPr="005445F0">
        <w:rPr>
          <w:lang w:eastAsia="sv-FI"/>
        </w:rPr>
        <w:lastRenderedPageBreak/>
        <w:t>struktureringen fortgår i enlighet med slutrapportens slutsatser</w:t>
      </w:r>
      <w:r>
        <w:rPr>
          <w:lang w:eastAsia="sv-FI"/>
        </w:rPr>
        <w:t xml:space="preserve"> samt</w:t>
      </w:r>
      <w:r w:rsidR="005445F0" w:rsidRPr="005445F0">
        <w:rPr>
          <w:lang w:eastAsia="sv-FI"/>
        </w:rPr>
        <w:t xml:space="preserve"> att a</w:t>
      </w:r>
      <w:r w:rsidR="005445F0" w:rsidRPr="005445F0">
        <w:rPr>
          <w:lang w:eastAsia="sv-FI"/>
        </w:rPr>
        <w:t>r</w:t>
      </w:r>
      <w:r w:rsidR="005445F0" w:rsidRPr="005445F0">
        <w:rPr>
          <w:lang w:eastAsia="sv-FI"/>
        </w:rPr>
        <w:t>betet i första hand fokuseras på de delprojekt där den ackumulerade nuvä</w:t>
      </w:r>
      <w:r w:rsidR="005445F0" w:rsidRPr="005445F0">
        <w:rPr>
          <w:lang w:eastAsia="sv-FI"/>
        </w:rPr>
        <w:t>r</w:t>
      </w:r>
      <w:r w:rsidR="005445F0" w:rsidRPr="005445F0">
        <w:rPr>
          <w:lang w:eastAsia="sv-FI"/>
        </w:rPr>
        <w:t>deskostnaden i jämförelse med 0-alternativet är lägst:</w:t>
      </w:r>
    </w:p>
    <w:p w:rsidR="005445F0" w:rsidRPr="005445F0" w:rsidRDefault="005445F0" w:rsidP="001751A7">
      <w:pPr>
        <w:pStyle w:val="ANormal"/>
        <w:ind w:left="1304"/>
        <w:rPr>
          <w:lang w:eastAsia="sv-FI"/>
        </w:rPr>
      </w:pPr>
      <w:proofErr w:type="gramStart"/>
      <w:r w:rsidRPr="005445F0">
        <w:rPr>
          <w:lang w:eastAsia="sv-FI"/>
        </w:rPr>
        <w:t>-</w:t>
      </w:r>
      <w:proofErr w:type="gramEnd"/>
      <w:r w:rsidRPr="005445F0">
        <w:rPr>
          <w:lang w:eastAsia="sv-FI"/>
        </w:rPr>
        <w:t xml:space="preserve"> investeringar på östra och västra Föglö (bedömd invest</w:t>
      </w:r>
      <w:r w:rsidRPr="005445F0">
        <w:rPr>
          <w:lang w:eastAsia="sv-FI"/>
        </w:rPr>
        <w:t>e</w:t>
      </w:r>
      <w:r w:rsidRPr="005445F0">
        <w:rPr>
          <w:lang w:eastAsia="sv-FI"/>
        </w:rPr>
        <w:t>ringskostnad 27-32 miljoner euro)</w:t>
      </w:r>
    </w:p>
    <w:p w:rsidR="001751A7" w:rsidRDefault="005445F0" w:rsidP="001751A7">
      <w:pPr>
        <w:pStyle w:val="ANormal"/>
        <w:ind w:left="1304"/>
        <w:rPr>
          <w:lang w:eastAsia="sv-FI"/>
        </w:rPr>
      </w:pPr>
      <w:proofErr w:type="gramStart"/>
      <w:r w:rsidRPr="005445F0">
        <w:rPr>
          <w:lang w:eastAsia="sv-FI"/>
        </w:rPr>
        <w:t>-</w:t>
      </w:r>
      <w:proofErr w:type="gramEnd"/>
      <w:r w:rsidRPr="005445F0">
        <w:rPr>
          <w:lang w:eastAsia="sv-FI"/>
        </w:rPr>
        <w:t xml:space="preserve"> bro över Prästösund (bedömd investeringskostnad 30-41 miljoner euro)</w:t>
      </w:r>
      <w:r w:rsidR="0008125B">
        <w:rPr>
          <w:lang w:eastAsia="sv-FI"/>
        </w:rPr>
        <w:t>.</w:t>
      </w:r>
    </w:p>
    <w:p w:rsidR="005445F0" w:rsidRDefault="001751A7" w:rsidP="001751A7">
      <w:pPr>
        <w:pStyle w:val="ANormal"/>
        <w:rPr>
          <w:lang w:eastAsia="sv-FI"/>
        </w:rPr>
      </w:pPr>
      <w:r>
        <w:rPr>
          <w:lang w:eastAsia="sv-FI"/>
        </w:rPr>
        <w:tab/>
        <w:t>Landskapsregeringens avsikt</w:t>
      </w:r>
      <w:r w:rsidR="00052B22">
        <w:rPr>
          <w:lang w:eastAsia="sv-FI"/>
        </w:rPr>
        <w:t xml:space="preserve"> är enligt meddelandet</w:t>
      </w:r>
      <w:r w:rsidR="006B45CF">
        <w:rPr>
          <w:lang w:eastAsia="sv-FI"/>
        </w:rPr>
        <w:t xml:space="preserve"> att dessa delprojekt nu </w:t>
      </w:r>
      <w:r w:rsidR="005445F0" w:rsidRPr="005445F0">
        <w:rPr>
          <w:lang w:eastAsia="sv-FI"/>
        </w:rPr>
        <w:t>övergå</w:t>
      </w:r>
      <w:r w:rsidR="006B45CF">
        <w:rPr>
          <w:lang w:eastAsia="sv-FI"/>
        </w:rPr>
        <w:t>r</w:t>
      </w:r>
      <w:r w:rsidR="005445F0" w:rsidRPr="005445F0">
        <w:rPr>
          <w:lang w:eastAsia="sv-FI"/>
        </w:rPr>
        <w:t xml:space="preserve"> till nästa programskede där det på projektnivå görs detaljstudier av miljö-, samhälls- och ekonomieffekter för de olika alternativen. </w:t>
      </w:r>
    </w:p>
    <w:p w:rsidR="0002420E" w:rsidRDefault="0002420E" w:rsidP="001751A7">
      <w:pPr>
        <w:pStyle w:val="ANormal"/>
        <w:rPr>
          <w:lang w:eastAsia="sv-FI"/>
        </w:rPr>
      </w:pPr>
    </w:p>
    <w:p w:rsidR="0002420E" w:rsidRDefault="0002420E" w:rsidP="00511085">
      <w:pPr>
        <w:pStyle w:val="RubrikC"/>
      </w:pPr>
      <w:bookmarkStart w:id="13" w:name="_Toc413141470"/>
      <w:r>
        <w:t xml:space="preserve">Utskottets </w:t>
      </w:r>
      <w:r w:rsidR="00873E26">
        <w:t>rekommendationer</w:t>
      </w:r>
      <w:bookmarkEnd w:id="13"/>
    </w:p>
    <w:p w:rsidR="00511085" w:rsidRPr="00511085" w:rsidRDefault="00511085" w:rsidP="00511085">
      <w:pPr>
        <w:pStyle w:val="Rubrikmellanrum"/>
      </w:pPr>
    </w:p>
    <w:p w:rsidR="005445F0" w:rsidRDefault="001751A7" w:rsidP="005445F0">
      <w:pPr>
        <w:pStyle w:val="ANormal"/>
        <w:rPr>
          <w:lang w:eastAsia="sv-FI"/>
        </w:rPr>
      </w:pPr>
      <w:r>
        <w:t xml:space="preserve">Utskottet förordar för sin del </w:t>
      </w:r>
      <w:r w:rsidRPr="005445F0">
        <w:rPr>
          <w:lang w:eastAsia="sv-FI"/>
        </w:rPr>
        <w:t xml:space="preserve">investeringar </w:t>
      </w:r>
      <w:r>
        <w:rPr>
          <w:lang w:eastAsia="sv-FI"/>
        </w:rPr>
        <w:t xml:space="preserve">i kortrutt </w:t>
      </w:r>
      <w:r w:rsidRPr="005445F0">
        <w:rPr>
          <w:lang w:eastAsia="sv-FI"/>
        </w:rPr>
        <w:t>på östra och västra Föglö</w:t>
      </w:r>
      <w:r>
        <w:rPr>
          <w:lang w:eastAsia="sv-FI"/>
        </w:rPr>
        <w:t xml:space="preserve">. Utskottet betonar vikten av att </w:t>
      </w:r>
      <w:r w:rsidR="00CA7B07">
        <w:rPr>
          <w:lang w:eastAsia="sv-FI"/>
        </w:rPr>
        <w:t xml:space="preserve">de </w:t>
      </w:r>
      <w:r>
        <w:rPr>
          <w:lang w:eastAsia="sv-FI"/>
        </w:rPr>
        <w:t xml:space="preserve">investeringar </w:t>
      </w:r>
      <w:r w:rsidR="00CA7B07">
        <w:rPr>
          <w:lang w:eastAsia="sv-FI"/>
        </w:rPr>
        <w:t>landskapsregeringen gör</w:t>
      </w:r>
      <w:r>
        <w:rPr>
          <w:lang w:eastAsia="sv-FI"/>
        </w:rPr>
        <w:t xml:space="preserve"> inte omöjliggör en kommande fast förbindelse i framtiden. </w:t>
      </w:r>
    </w:p>
    <w:p w:rsidR="00873E26" w:rsidRPr="00AF7A81" w:rsidRDefault="001751A7" w:rsidP="005445F0">
      <w:pPr>
        <w:pStyle w:val="ANormal"/>
        <w:rPr>
          <w:lang w:eastAsia="sv-FI"/>
        </w:rPr>
      </w:pPr>
      <w:r>
        <w:rPr>
          <w:lang w:eastAsia="sv-FI"/>
        </w:rPr>
        <w:tab/>
        <w:t xml:space="preserve">I fråga om </w:t>
      </w:r>
      <w:r w:rsidR="0002420E">
        <w:rPr>
          <w:lang w:eastAsia="sv-FI"/>
        </w:rPr>
        <w:t>en bro över Prästösund</w:t>
      </w:r>
      <w:r>
        <w:rPr>
          <w:lang w:eastAsia="sv-FI"/>
        </w:rPr>
        <w:t xml:space="preserve"> anser utskottet att olika alternativ </w:t>
      </w:r>
      <w:r w:rsidR="0002420E">
        <w:rPr>
          <w:lang w:eastAsia="sv-FI"/>
        </w:rPr>
        <w:t>kan</w:t>
      </w:r>
      <w:r>
        <w:rPr>
          <w:lang w:eastAsia="sv-FI"/>
        </w:rPr>
        <w:t xml:space="preserve"> utredas.</w:t>
      </w:r>
      <w:r w:rsidR="00873E26" w:rsidRPr="00511085">
        <w:rPr>
          <w:color w:val="FF0000"/>
          <w:lang w:eastAsia="sv-FI"/>
        </w:rPr>
        <w:t xml:space="preserve"> </w:t>
      </w:r>
    </w:p>
    <w:p w:rsidR="004F5437" w:rsidRDefault="004F5437">
      <w:pPr>
        <w:pStyle w:val="ANormal"/>
      </w:pPr>
    </w:p>
    <w:p w:rsidR="002401D0" w:rsidRDefault="002401D0" w:rsidP="004148C6">
      <w:pPr>
        <w:pStyle w:val="RubrikA"/>
      </w:pPr>
      <w:bookmarkStart w:id="14" w:name="_Toc529800936"/>
      <w:bookmarkStart w:id="15" w:name="_Toc413141471"/>
      <w:r>
        <w:t>Ärendets behandling</w:t>
      </w:r>
      <w:bookmarkEnd w:id="14"/>
      <w:bookmarkEnd w:id="15"/>
    </w:p>
    <w:p w:rsidR="004148C6" w:rsidRPr="004148C6" w:rsidRDefault="004148C6" w:rsidP="004148C6">
      <w:pPr>
        <w:pStyle w:val="Rubrikmellanrum"/>
      </w:pPr>
    </w:p>
    <w:p w:rsidR="00B33979" w:rsidRDefault="0096766C" w:rsidP="004148C6">
      <w:pPr>
        <w:pStyle w:val="ANormal"/>
        <w:rPr>
          <w:color w:val="000000"/>
        </w:rPr>
      </w:pPr>
      <w:r>
        <w:rPr>
          <w:lang w:eastAsia="sv-FI"/>
        </w:rPr>
        <w:t>Lagtinget har den 26 maj</w:t>
      </w:r>
      <w:r w:rsidR="004148C6">
        <w:rPr>
          <w:lang w:eastAsia="sv-FI"/>
        </w:rPr>
        <w:t xml:space="preserve"> 2014 </w:t>
      </w:r>
      <w:r w:rsidR="004148C6" w:rsidRPr="004148C6">
        <w:rPr>
          <w:lang w:eastAsia="sv-FI"/>
        </w:rPr>
        <w:t>inbegärt finans- och näringsutskottets yt</w:t>
      </w:r>
      <w:r w:rsidR="004148C6" w:rsidRPr="004148C6">
        <w:rPr>
          <w:lang w:eastAsia="sv-FI"/>
        </w:rPr>
        <w:t>t</w:t>
      </w:r>
      <w:r w:rsidR="004148C6" w:rsidRPr="004148C6">
        <w:rPr>
          <w:lang w:eastAsia="sv-FI"/>
        </w:rPr>
        <w:t>rande över meddelandet.</w:t>
      </w:r>
      <w:r w:rsidR="0085118B" w:rsidRPr="0085118B">
        <w:rPr>
          <w:color w:val="000000"/>
        </w:rPr>
        <w:t xml:space="preserve"> </w:t>
      </w:r>
      <w:bookmarkStart w:id="16" w:name="_Toc374625266"/>
      <w:bookmarkEnd w:id="16"/>
    </w:p>
    <w:p w:rsidR="0096766C" w:rsidRDefault="00B33979" w:rsidP="004148C6">
      <w:pPr>
        <w:pStyle w:val="ANormal"/>
      </w:pPr>
      <w:r>
        <w:rPr>
          <w:color w:val="000000"/>
        </w:rPr>
        <w:tab/>
      </w:r>
      <w:r>
        <w:t>Utskottet har i ärendet hört</w:t>
      </w:r>
      <w:r w:rsidR="00687CE7">
        <w:t xml:space="preserve"> projektledaren Ian Bergström, styr. ordf. Jarl Danielsson från Vårdö kommun, rådgivaren Jan Haglund från link.ax, pr</w:t>
      </w:r>
      <w:r w:rsidR="00687CE7">
        <w:t>o</w:t>
      </w:r>
      <w:r w:rsidR="00687CE7">
        <w:t>jektledaren Otto Hojar från link.ax, kommunfullmäktige ordf. Jonny Kar</w:t>
      </w:r>
      <w:r w:rsidR="00687CE7">
        <w:t>l</w:t>
      </w:r>
      <w:r w:rsidR="00687CE7">
        <w:t>ström från Brändö kommun, vice styr. ordf. Mikael Lindholm från Vårdö kommun, styr. ordf. Marg</w:t>
      </w:r>
      <w:r w:rsidR="00511085">
        <w:t>ret Lundberg från Brändö kommun och</w:t>
      </w:r>
      <w:r w:rsidR="00687CE7">
        <w:t xml:space="preserve"> avde</w:t>
      </w:r>
      <w:r w:rsidR="00687CE7">
        <w:t>l</w:t>
      </w:r>
      <w:r w:rsidR="00687CE7">
        <w:t>nings</w:t>
      </w:r>
      <w:r w:rsidR="00511085">
        <w:t>chefen Yvonne Österlund.</w:t>
      </w:r>
    </w:p>
    <w:p w:rsidR="0085118B" w:rsidRPr="001D2EDA" w:rsidRDefault="00687CE7" w:rsidP="004148C6">
      <w:pPr>
        <w:pStyle w:val="ANormal"/>
      </w:pPr>
      <w:r>
        <w:tab/>
        <w:t xml:space="preserve">Utskottet har därtill förrättat </w:t>
      </w:r>
      <w:r w:rsidR="001D2EDA">
        <w:t>möte i Föglö kommunkansli och</w:t>
      </w:r>
      <w:r>
        <w:t xml:space="preserve"> där hört kommunfullmäktiges vice ordf. Alfons Boström från Föglö kommun, </w:t>
      </w:r>
      <w:proofErr w:type="spellStart"/>
      <w:r w:rsidR="001D2EDA">
        <w:t>kom.dir</w:t>
      </w:r>
      <w:proofErr w:type="spellEnd"/>
      <w:r w:rsidR="001D2EDA">
        <w:t xml:space="preserve">. Christian </w:t>
      </w:r>
      <w:proofErr w:type="spellStart"/>
      <w:r w:rsidR="001D2EDA">
        <w:t>Dreyer</w:t>
      </w:r>
      <w:proofErr w:type="spellEnd"/>
      <w:r w:rsidR="001D2EDA">
        <w:t xml:space="preserve"> från Kumlinge kommun, </w:t>
      </w:r>
      <w:proofErr w:type="spellStart"/>
      <w:r w:rsidR="001D2EDA">
        <w:t>styr.ordf</w:t>
      </w:r>
      <w:proofErr w:type="spellEnd"/>
      <w:r w:rsidR="001D2EDA">
        <w:t xml:space="preserve">. Torbjörn Engman från Kumlinge kommun, kom. dir. Kurt Forsman från Kökar kommun, styr. ordf. Philip </w:t>
      </w:r>
      <w:proofErr w:type="spellStart"/>
      <w:r w:rsidR="001D2EDA">
        <w:t>Hällund</w:t>
      </w:r>
      <w:proofErr w:type="spellEnd"/>
      <w:r w:rsidR="001D2EDA">
        <w:t xml:space="preserve"> från Kökar kommun och </w:t>
      </w:r>
      <w:r>
        <w:t>styr. ordf. Torsten Sundblom från Föglö kom</w:t>
      </w:r>
      <w:r w:rsidR="001D2EDA">
        <w:t>mun.</w:t>
      </w:r>
      <w:r w:rsidR="0085118B">
        <w:rPr>
          <w:color w:val="000000"/>
        </w:rPr>
        <w:tab/>
      </w:r>
    </w:p>
    <w:p w:rsidR="004148C6" w:rsidRDefault="0085118B" w:rsidP="004148C6">
      <w:pPr>
        <w:pStyle w:val="ANormal"/>
        <w:rPr>
          <w:lang w:eastAsia="sv-FI"/>
        </w:rPr>
      </w:pPr>
      <w:r>
        <w:tab/>
      </w:r>
      <w:r w:rsidRPr="0085118B">
        <w:rPr>
          <w:color w:val="000000"/>
        </w:rPr>
        <w:t xml:space="preserve"> </w:t>
      </w:r>
      <w:r>
        <w:rPr>
          <w:color w:val="000000"/>
        </w:rPr>
        <w:t>I ärendets avgörande behandling har deltagit ordföranden Jörgen Pe</w:t>
      </w:r>
      <w:r>
        <w:rPr>
          <w:color w:val="000000"/>
        </w:rPr>
        <w:t>t</w:t>
      </w:r>
      <w:r>
        <w:rPr>
          <w:color w:val="000000"/>
        </w:rPr>
        <w:t xml:space="preserve">tersson, viceordföranden Mika Nordberg samt ledamöterna Tony </w:t>
      </w:r>
      <w:proofErr w:type="spellStart"/>
      <w:r>
        <w:rPr>
          <w:color w:val="000000"/>
        </w:rPr>
        <w:t>Asumaa</w:t>
      </w:r>
      <w:proofErr w:type="spellEnd"/>
      <w:r>
        <w:rPr>
          <w:color w:val="000000"/>
        </w:rPr>
        <w:t xml:space="preserve">, Brage Eklund, Karl-Johan Fogelström, Annette Holmberg-Jansson och Mats </w:t>
      </w:r>
      <w:proofErr w:type="spellStart"/>
      <w:r>
        <w:rPr>
          <w:color w:val="000000"/>
        </w:rPr>
        <w:t>Perämaa</w:t>
      </w:r>
      <w:proofErr w:type="spellEnd"/>
      <w:r>
        <w:rPr>
          <w:color w:val="000000"/>
        </w:rPr>
        <w:t>.</w:t>
      </w:r>
    </w:p>
    <w:p w:rsidR="002401D0" w:rsidRDefault="002401D0">
      <w:pPr>
        <w:pStyle w:val="ANormal"/>
        <w:rPr>
          <w:lang w:eastAsia="sv-FI"/>
        </w:rPr>
      </w:pPr>
    </w:p>
    <w:p w:rsidR="002401D0" w:rsidRDefault="002401D0">
      <w:pPr>
        <w:pStyle w:val="RubrikA"/>
      </w:pPr>
      <w:bookmarkStart w:id="17" w:name="_Toc529800937"/>
      <w:bookmarkStart w:id="18" w:name="_Toc413141472"/>
      <w:r>
        <w:t>Utskottets förslag</w:t>
      </w:r>
      <w:bookmarkEnd w:id="17"/>
      <w:bookmarkEnd w:id="18"/>
    </w:p>
    <w:p w:rsidR="002401D0" w:rsidRDefault="002401D0">
      <w:pPr>
        <w:pStyle w:val="Rubrikmellanrum"/>
      </w:pPr>
    </w:p>
    <w:p w:rsidR="002401D0" w:rsidRDefault="002401D0">
      <w:pPr>
        <w:pStyle w:val="ANormal"/>
      </w:pPr>
      <w:r>
        <w:t>Med hänvisning till det anförda föreslår utskottet</w:t>
      </w:r>
    </w:p>
    <w:p w:rsidR="002401D0" w:rsidRDefault="002401D0">
      <w:pPr>
        <w:pStyle w:val="ANormal"/>
      </w:pPr>
    </w:p>
    <w:p w:rsidR="00461E03" w:rsidRPr="00461E03" w:rsidRDefault="00461E03" w:rsidP="00461E03">
      <w:pPr>
        <w:pStyle w:val="Klam"/>
        <w:rPr>
          <w:szCs w:val="22"/>
          <w:lang w:eastAsia="sv-FI"/>
        </w:rPr>
      </w:pPr>
      <w:r w:rsidRPr="00461E03">
        <w:rPr>
          <w:szCs w:val="22"/>
          <w:lang w:eastAsia="sv-FI"/>
        </w:rPr>
        <w:t>att lagtinget antecknar sig landskapsregeringens med</w:t>
      </w:r>
      <w:r w:rsidR="0096766C">
        <w:rPr>
          <w:szCs w:val="22"/>
          <w:lang w:eastAsia="sv-FI"/>
        </w:rPr>
        <w:t>delande nr 6</w:t>
      </w:r>
      <w:r>
        <w:rPr>
          <w:szCs w:val="22"/>
          <w:lang w:eastAsia="sv-FI"/>
        </w:rPr>
        <w:t>/2013-2014</w:t>
      </w:r>
      <w:r w:rsidRPr="00461E03">
        <w:rPr>
          <w:szCs w:val="22"/>
          <w:lang w:eastAsia="sv-FI"/>
        </w:rPr>
        <w:t xml:space="preserve"> för kännedom och bringar betänkandets motivering till landskapsregeringens kännedom.</w:t>
      </w:r>
    </w:p>
    <w:p w:rsidR="002401D0" w:rsidRDefault="002401D0">
      <w:pPr>
        <w:pStyle w:val="Klam"/>
      </w:pPr>
    </w:p>
    <w:p w:rsidR="002401D0" w:rsidRDefault="00F22FEC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:rsidR="002401D0" w:rsidRDefault="002401D0">
      <w:pPr>
        <w:pStyle w:val="ANormal"/>
      </w:pPr>
    </w:p>
    <w:p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>
        <w:trPr>
          <w:cantSplit/>
        </w:trPr>
        <w:tc>
          <w:tcPr>
            <w:tcW w:w="7931" w:type="dxa"/>
            <w:gridSpan w:val="2"/>
          </w:tcPr>
          <w:p w:rsidR="002401D0" w:rsidRDefault="002401D0">
            <w:pPr>
              <w:pStyle w:val="ANormal"/>
              <w:keepNext/>
            </w:pPr>
            <w:r>
              <w:lastRenderedPageBreak/>
              <w:t xml:space="preserve">Mariehamn den </w:t>
            </w:r>
            <w:r w:rsidR="00D76A53">
              <w:t>3 mars 2015</w:t>
            </w:r>
          </w:p>
        </w:tc>
      </w:tr>
      <w:tr w:rsidR="002401D0">
        <w:tc>
          <w:tcPr>
            <w:tcW w:w="4454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D76A53">
            <w:pPr>
              <w:pStyle w:val="ANormal"/>
              <w:keepNext/>
            </w:pPr>
            <w:r>
              <w:t>Jörgen Pettersson</w:t>
            </w:r>
          </w:p>
        </w:tc>
      </w:tr>
      <w:tr w:rsidR="002401D0">
        <w:tc>
          <w:tcPr>
            <w:tcW w:w="4454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:rsidR="002401D0" w:rsidRDefault="002401D0">
            <w:pPr>
              <w:pStyle w:val="ANormal"/>
              <w:keepNext/>
            </w:pPr>
          </w:p>
          <w:p w:rsidR="002401D0" w:rsidRDefault="002401D0">
            <w:pPr>
              <w:pStyle w:val="ANormal"/>
              <w:keepNext/>
            </w:pPr>
          </w:p>
          <w:p w:rsidR="002401D0" w:rsidRDefault="00D76A53">
            <w:pPr>
              <w:pStyle w:val="ANormal"/>
              <w:keepNext/>
            </w:pPr>
            <w:r>
              <w:t xml:space="preserve">Niclas </w:t>
            </w:r>
            <w:proofErr w:type="spellStart"/>
            <w:r>
              <w:t>slotte</w:t>
            </w:r>
            <w:proofErr w:type="spellEnd"/>
          </w:p>
        </w:tc>
      </w:tr>
    </w:tbl>
    <w:p w:rsidR="002401D0" w:rsidRDefault="002401D0">
      <w:pPr>
        <w:pStyle w:val="ANormal"/>
      </w:pPr>
    </w:p>
    <w:sectPr w:rsidR="002401D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CF" w:rsidRDefault="00A92ACF">
      <w:r>
        <w:separator/>
      </w:r>
    </w:p>
  </w:endnote>
  <w:endnote w:type="continuationSeparator" w:id="0">
    <w:p w:rsidR="00A92ACF" w:rsidRDefault="00A9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CF" w:rsidRDefault="00A92ACF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CF" w:rsidRPr="00D76A53" w:rsidRDefault="00D76A53">
    <w:pPr>
      <w:pStyle w:val="Sidfot"/>
      <w:rPr>
        <w:lang w:val="sv-FI"/>
      </w:rPr>
    </w:pPr>
    <w:r>
      <w:rPr>
        <w:lang w:val="sv-FI"/>
      </w:rPr>
      <w:t>FNU0720142015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CF" w:rsidRDefault="00A92AC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CF" w:rsidRDefault="00A92ACF">
      <w:r>
        <w:separator/>
      </w:r>
    </w:p>
  </w:footnote>
  <w:footnote w:type="continuationSeparator" w:id="0">
    <w:p w:rsidR="00A92ACF" w:rsidRDefault="00A9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CF" w:rsidRDefault="00A92ACF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22FEC">
      <w:rPr>
        <w:rStyle w:val="Sidnummer"/>
        <w:noProof/>
      </w:rPr>
      <w:t>2</w:t>
    </w:r>
    <w:r>
      <w:rPr>
        <w:rStyle w:val="Sidnummer"/>
      </w:rPr>
      <w:fldChar w:fldCharType="end"/>
    </w:r>
  </w:p>
  <w:p w:rsidR="00A92ACF" w:rsidRDefault="00A92AC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CF" w:rsidRDefault="00A92ACF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22FEC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E03"/>
    <w:rsid w:val="00015E9C"/>
    <w:rsid w:val="0002420E"/>
    <w:rsid w:val="00051556"/>
    <w:rsid w:val="00052B22"/>
    <w:rsid w:val="0008125B"/>
    <w:rsid w:val="000874CF"/>
    <w:rsid w:val="000B2DC9"/>
    <w:rsid w:val="000F5624"/>
    <w:rsid w:val="000F7417"/>
    <w:rsid w:val="0015337C"/>
    <w:rsid w:val="001751A7"/>
    <w:rsid w:val="001C7713"/>
    <w:rsid w:val="001D2EDA"/>
    <w:rsid w:val="00203197"/>
    <w:rsid w:val="00212AF8"/>
    <w:rsid w:val="002401D0"/>
    <w:rsid w:val="0024076E"/>
    <w:rsid w:val="00245550"/>
    <w:rsid w:val="00260D48"/>
    <w:rsid w:val="002B4210"/>
    <w:rsid w:val="00312E00"/>
    <w:rsid w:val="00345023"/>
    <w:rsid w:val="0036359C"/>
    <w:rsid w:val="00363F9F"/>
    <w:rsid w:val="00373425"/>
    <w:rsid w:val="003E188B"/>
    <w:rsid w:val="004148C6"/>
    <w:rsid w:val="00461E03"/>
    <w:rsid w:val="0047189B"/>
    <w:rsid w:val="004A639F"/>
    <w:rsid w:val="004F40E4"/>
    <w:rsid w:val="004F4C1F"/>
    <w:rsid w:val="004F5437"/>
    <w:rsid w:val="00511085"/>
    <w:rsid w:val="005445F0"/>
    <w:rsid w:val="00557764"/>
    <w:rsid w:val="005636D7"/>
    <w:rsid w:val="005A7FA8"/>
    <w:rsid w:val="00654985"/>
    <w:rsid w:val="00686025"/>
    <w:rsid w:val="00687CE7"/>
    <w:rsid w:val="006B2E9E"/>
    <w:rsid w:val="006B45CF"/>
    <w:rsid w:val="006E6180"/>
    <w:rsid w:val="00723B93"/>
    <w:rsid w:val="007758B2"/>
    <w:rsid w:val="007C3E09"/>
    <w:rsid w:val="00811D50"/>
    <w:rsid w:val="0085118B"/>
    <w:rsid w:val="00857DBA"/>
    <w:rsid w:val="00864F6B"/>
    <w:rsid w:val="00873E26"/>
    <w:rsid w:val="00884362"/>
    <w:rsid w:val="008E1D2D"/>
    <w:rsid w:val="00917734"/>
    <w:rsid w:val="00957C36"/>
    <w:rsid w:val="0096766C"/>
    <w:rsid w:val="009930E5"/>
    <w:rsid w:val="009D73B2"/>
    <w:rsid w:val="009F7CE2"/>
    <w:rsid w:val="00A92ACF"/>
    <w:rsid w:val="00AC6DF5"/>
    <w:rsid w:val="00AD07A3"/>
    <w:rsid w:val="00AF6E7C"/>
    <w:rsid w:val="00AF7A81"/>
    <w:rsid w:val="00B32E91"/>
    <w:rsid w:val="00B33979"/>
    <w:rsid w:val="00B37B96"/>
    <w:rsid w:val="00B535FB"/>
    <w:rsid w:val="00B90DEC"/>
    <w:rsid w:val="00BA0A6C"/>
    <w:rsid w:val="00BF4999"/>
    <w:rsid w:val="00C61257"/>
    <w:rsid w:val="00C814A5"/>
    <w:rsid w:val="00C869DF"/>
    <w:rsid w:val="00CA7B07"/>
    <w:rsid w:val="00CB087E"/>
    <w:rsid w:val="00CB192A"/>
    <w:rsid w:val="00CF700E"/>
    <w:rsid w:val="00D03609"/>
    <w:rsid w:val="00D55134"/>
    <w:rsid w:val="00D63D6E"/>
    <w:rsid w:val="00D76A53"/>
    <w:rsid w:val="00DC45B2"/>
    <w:rsid w:val="00E034E7"/>
    <w:rsid w:val="00E2565D"/>
    <w:rsid w:val="00E455D2"/>
    <w:rsid w:val="00F22FEC"/>
    <w:rsid w:val="00F26E2A"/>
    <w:rsid w:val="00F27B03"/>
    <w:rsid w:val="00F57630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4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v-SE"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sv-SE"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sv-SE"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sv-SE"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sv-SE"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indrag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val="sv-SE" w:eastAsia="sv-SE"/>
    </w:rPr>
  </w:style>
  <w:style w:type="paragraph" w:styleId="Sidfot">
    <w:name w:val="footer"/>
    <w:basedOn w:val="Normal"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val="sv-SE"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3</Pages>
  <Words>816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FNU0720142015</vt:lpstr>
    </vt:vector>
  </TitlesOfParts>
  <Company>Ålands lagting</Company>
  <LinksUpToDate>false</LinksUpToDate>
  <CharactersWithSpaces>5131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7/2014-2015</dc:title>
  <dc:creator>LR</dc:creator>
  <cp:lastModifiedBy>Annette Gammals</cp:lastModifiedBy>
  <cp:revision>2</cp:revision>
  <cp:lastPrinted>2015-03-03T07:00:00Z</cp:lastPrinted>
  <dcterms:created xsi:type="dcterms:W3CDTF">2015-03-03T10:55:00Z</dcterms:created>
  <dcterms:modified xsi:type="dcterms:W3CDTF">2015-03-03T10:55:00Z</dcterms:modified>
</cp:coreProperties>
</file>