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3C45E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3C45E0">
            <w:pPr>
              <w:pStyle w:val="xMellanrum"/>
            </w:pPr>
            <w:r>
              <w:rPr>
                <w:noProof/>
              </w:rPr>
              <w:pict>
                <v:shape id="_x0000_i1034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C57836">
            <w:pPr>
              <w:pStyle w:val="xDokTypNr"/>
            </w:pPr>
            <w:r>
              <w:t>ÅTGÄRDS</w:t>
            </w:r>
            <w:r w:rsidR="00362E9B">
              <w:t>MOTION nr 1</w:t>
            </w:r>
            <w:r w:rsidR="00935A18">
              <w:t>/20</w:t>
            </w:r>
            <w:r w:rsidR="00A16986">
              <w:t>1</w:t>
            </w:r>
            <w:r w:rsidR="00C57836">
              <w:t>2</w:t>
            </w:r>
            <w:r w:rsidR="00935A18">
              <w:t>-20</w:t>
            </w:r>
            <w:r w:rsidR="00D3286C">
              <w:t>1</w:t>
            </w:r>
            <w:r w:rsidR="00C5783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362E9B" w:rsidP="00377141">
            <w:pPr>
              <w:pStyle w:val="xAvsandare2"/>
            </w:pPr>
            <w:r>
              <w:t>Gunnar Jansson m.fl.</w:t>
            </w:r>
          </w:p>
        </w:tc>
        <w:tc>
          <w:tcPr>
            <w:tcW w:w="1725" w:type="dxa"/>
            <w:vAlign w:val="center"/>
          </w:tcPr>
          <w:p w:rsidR="000B3F00" w:rsidRDefault="00362E9B" w:rsidP="000B45F3">
            <w:pPr>
              <w:pStyle w:val="xDatum1"/>
            </w:pPr>
            <w:r>
              <w:t>2012-12-</w:t>
            </w:r>
            <w:r w:rsidR="000B45F3">
              <w:t>10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  <w:bookmarkStart w:id="1" w:name="_GoBack"/>
    </w:p>
    <w:bookmarkEnd w:id="1"/>
    <w:p w:rsidR="000B3F00" w:rsidRDefault="00362E9B">
      <w:pPr>
        <w:pStyle w:val="ArendeRubrik"/>
      </w:pPr>
      <w:r>
        <w:lastRenderedPageBreak/>
        <w:t>Översyn av lagtingsordningen</w:t>
      </w:r>
    </w:p>
    <w:p w:rsidR="000B3F00" w:rsidRDefault="000B3F00">
      <w:pPr>
        <w:pStyle w:val="ANormal"/>
      </w:pPr>
    </w:p>
    <w:p w:rsidR="000B3F00" w:rsidRPr="00362E9B" w:rsidRDefault="000B3F00">
      <w:pPr>
        <w:pStyle w:val="ANormal"/>
      </w:pPr>
    </w:p>
    <w:p w:rsidR="00362E9B" w:rsidRPr="00362E9B" w:rsidRDefault="00362E9B" w:rsidP="00362E9B">
      <w:pPr>
        <w:rPr>
          <w:rFonts w:ascii="Times New Roman" w:hAnsi="Times New Roman"/>
        </w:rPr>
      </w:pPr>
      <w:r w:rsidRPr="00362E9B">
        <w:rPr>
          <w:rFonts w:ascii="Times New Roman" w:hAnsi="Times New Roman"/>
        </w:rPr>
        <w:t>Lagtingsordningen för Åland (2011:97) trädde i kraft 1.11.2011. Den har fungerat tillfredsställande. Reformer av denna storlek bör följas upp när b</w:t>
      </w:r>
      <w:r w:rsidRPr="00362E9B">
        <w:rPr>
          <w:rFonts w:ascii="Times New Roman" w:hAnsi="Times New Roman"/>
        </w:rPr>
        <w:t>e</w:t>
      </w:r>
      <w:r w:rsidRPr="00362E9B">
        <w:rPr>
          <w:rFonts w:ascii="Times New Roman" w:hAnsi="Times New Roman"/>
        </w:rPr>
        <w:t>hov för det uppdagas. Remissbehandlingen av budgetförslaget för 2013 v</w:t>
      </w:r>
      <w:r w:rsidRPr="00362E9B">
        <w:rPr>
          <w:rFonts w:ascii="Times New Roman" w:hAnsi="Times New Roman"/>
        </w:rPr>
        <w:t>i</w:t>
      </w:r>
      <w:r w:rsidRPr="00362E9B">
        <w:rPr>
          <w:rFonts w:ascii="Times New Roman" w:hAnsi="Times New Roman"/>
        </w:rPr>
        <w:t>sade att ett sådant behov finns. Erfarenheterna hittills i olika organ i la</w:t>
      </w:r>
      <w:r w:rsidRPr="00362E9B">
        <w:rPr>
          <w:rFonts w:ascii="Times New Roman" w:hAnsi="Times New Roman"/>
        </w:rPr>
        <w:t>g</w:t>
      </w:r>
      <w:r w:rsidRPr="00362E9B">
        <w:rPr>
          <w:rFonts w:ascii="Times New Roman" w:hAnsi="Times New Roman"/>
        </w:rPr>
        <w:t>tinget kan mycket väl visa på ytterligare behov för översyn av lagtingsor</w:t>
      </w:r>
      <w:r w:rsidRPr="00362E9B">
        <w:rPr>
          <w:rFonts w:ascii="Times New Roman" w:hAnsi="Times New Roman"/>
        </w:rPr>
        <w:t>d</w:t>
      </w:r>
      <w:r w:rsidRPr="00362E9B">
        <w:rPr>
          <w:rFonts w:ascii="Times New Roman" w:hAnsi="Times New Roman"/>
        </w:rPr>
        <w:t>ningen.</w:t>
      </w:r>
    </w:p>
    <w:p w:rsidR="00362E9B" w:rsidRPr="00362E9B" w:rsidRDefault="00362E9B" w:rsidP="00362E9B">
      <w:pPr>
        <w:rPr>
          <w:rFonts w:ascii="Times New Roman" w:hAnsi="Times New Roman"/>
        </w:rPr>
      </w:pPr>
      <w:r w:rsidRPr="00362E9B">
        <w:rPr>
          <w:rFonts w:ascii="Times New Roman" w:hAnsi="Times New Roman"/>
        </w:rPr>
        <w:t>Enligt 51 § 1 mom. lagtingsordningen anges i en landskapslag tidpunkten för när budgetförslag och s.k. budgetlagar ska överlämnas till lagtinget.  Föreskriften i 12 § 1 mom. landskapslagen om landskapets finansförval</w:t>
      </w:r>
      <w:r w:rsidRPr="00362E9B">
        <w:rPr>
          <w:rFonts w:ascii="Times New Roman" w:hAnsi="Times New Roman"/>
        </w:rPr>
        <w:t>t</w:t>
      </w:r>
      <w:r w:rsidRPr="00362E9B">
        <w:rPr>
          <w:rFonts w:ascii="Times New Roman" w:hAnsi="Times New Roman"/>
        </w:rPr>
        <w:t>ning, som beräknas träda i kraft 1.1.2013, anger att dessa ska överlämnas tillsammans eller, om det inte är möjligt, i så god tid att budgetlagarna kan slutbehandlas tillsammans med budgeten.</w:t>
      </w:r>
    </w:p>
    <w:p w:rsidR="00362E9B" w:rsidRPr="00362E9B" w:rsidRDefault="00362E9B" w:rsidP="00362E9B">
      <w:pPr>
        <w:rPr>
          <w:rFonts w:ascii="Times New Roman" w:hAnsi="Times New Roman"/>
        </w:rPr>
      </w:pPr>
      <w:r w:rsidRPr="00362E9B">
        <w:rPr>
          <w:rFonts w:ascii="Times New Roman" w:hAnsi="Times New Roman"/>
        </w:rPr>
        <w:t>Enlig vår mening bör lagtingsordningen skärpas så att samtidig behandling av budgetförslag och förslagen till budgetlagar alltid tryggas i sådana frågor som har framträdande politisk eller budgetekonomisk betydelse. Undant</w:t>
      </w:r>
      <w:r w:rsidRPr="00362E9B">
        <w:rPr>
          <w:rFonts w:ascii="Times New Roman" w:hAnsi="Times New Roman"/>
        </w:rPr>
        <w:t>a</w:t>
      </w:r>
      <w:r w:rsidRPr="00362E9B">
        <w:rPr>
          <w:rFonts w:ascii="Times New Roman" w:hAnsi="Times New Roman"/>
        </w:rPr>
        <w:t>gen bör inskränkas till tekniska och politiskt anspråkslösa angelägenheter. I detta sammanhang kan det vara skäl att överväga att tidigarelägga tidpun</w:t>
      </w:r>
      <w:r w:rsidRPr="00362E9B">
        <w:rPr>
          <w:rFonts w:ascii="Times New Roman" w:hAnsi="Times New Roman"/>
        </w:rPr>
        <w:t>k</w:t>
      </w:r>
      <w:r w:rsidRPr="00362E9B">
        <w:rPr>
          <w:rFonts w:ascii="Times New Roman" w:hAnsi="Times New Roman"/>
        </w:rPr>
        <w:t>ten för överlämnandet av dessa förslag.</w:t>
      </w:r>
    </w:p>
    <w:p w:rsidR="00377141" w:rsidRPr="00362E9B" w:rsidRDefault="00362E9B" w:rsidP="00362E9B">
      <w:pPr>
        <w:pStyle w:val="ANormal"/>
        <w:outlineLvl w:val="0"/>
      </w:pPr>
      <w:r w:rsidRPr="00362E9B">
        <w:t>Hänvisande till ovanstående föreslår vi med stöd av 28 § 5 mom. lagting</w:t>
      </w:r>
      <w:r w:rsidRPr="00362E9B">
        <w:t>s</w:t>
      </w:r>
      <w:r w:rsidRPr="00362E9B">
        <w:t>ordningen</w:t>
      </w:r>
    </w:p>
    <w:p w:rsidR="00377141" w:rsidRPr="00362E9B" w:rsidRDefault="00377141" w:rsidP="00377141">
      <w:pPr>
        <w:pStyle w:val="ANormal"/>
      </w:pPr>
    </w:p>
    <w:p w:rsidR="00377141" w:rsidRPr="00362E9B" w:rsidRDefault="00362E9B" w:rsidP="00377141">
      <w:pPr>
        <w:pStyle w:val="Klam"/>
      </w:pPr>
      <w:r w:rsidRPr="00362E9B">
        <w:t>att lagtinget uppdrar åt talmanskonferensen att inleda lagbere</w:t>
      </w:r>
      <w:r w:rsidRPr="00362E9B">
        <w:t>d</w:t>
      </w:r>
      <w:r w:rsidRPr="00362E9B">
        <w:t xml:space="preserve">ning om en sådan ändring av lagtingsordningen som tryggar en </w:t>
      </w:r>
      <w:proofErr w:type="gramStart"/>
      <w:r w:rsidRPr="00362E9B">
        <w:t>samtidig behandling av förslag till en budget och förslag til</w:t>
      </w:r>
      <w:r w:rsidR="00CE01A8">
        <w:t>l en landskapslag som ansluter s</w:t>
      </w:r>
      <w:r w:rsidRPr="00362E9B">
        <w:t>ig till budgeten i enlighet med vad som anförs i denna åtgärdsmotion.</w:t>
      </w:r>
      <w:proofErr w:type="gramEnd"/>
    </w:p>
    <w:p w:rsidR="000B3F00" w:rsidRPr="00362E9B" w:rsidRDefault="000B3F00">
      <w:pPr>
        <w:pStyle w:val="ANormal"/>
      </w:pPr>
    </w:p>
    <w:p w:rsidR="000B3F00" w:rsidRPr="00362E9B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377141" w:rsidP="000B45F3">
            <w:pPr>
              <w:pStyle w:val="ANormal"/>
              <w:keepNext/>
            </w:pPr>
            <w:r>
              <w:t xml:space="preserve">Mariehamn den </w:t>
            </w:r>
            <w:r w:rsidR="000B45F3">
              <w:t>10</w:t>
            </w:r>
            <w:r w:rsidR="00362E9B">
              <w:t xml:space="preserve"> december 2012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62E9B" w:rsidP="00BA74E7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62E9B" w:rsidP="00BA74E7">
            <w:pPr>
              <w:pStyle w:val="ANormal"/>
            </w:pPr>
            <w:r>
              <w:t>Katrin Sjögren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62E9B" w:rsidP="00BA74E7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62E9B" w:rsidP="00BA74E7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62E9B" w:rsidP="00BA74E7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  <w:tc>
          <w:tcPr>
            <w:tcW w:w="3477" w:type="dxa"/>
            <w:vAlign w:val="bottom"/>
          </w:tcPr>
          <w:p w:rsidR="00377141" w:rsidRDefault="00362E9B" w:rsidP="00BA74E7">
            <w:pPr>
              <w:pStyle w:val="ANormal"/>
            </w:pPr>
            <w:r>
              <w:t>Torsten Sundblom</w:t>
            </w:r>
          </w:p>
        </w:tc>
      </w:tr>
    </w:tbl>
    <w:p w:rsidR="000B3F00" w:rsidRDefault="000B3F00" w:rsidP="00C27CEF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6A" w:rsidRDefault="00AE5B6A">
      <w:r>
        <w:separator/>
      </w:r>
    </w:p>
  </w:endnote>
  <w:endnote w:type="continuationSeparator" w:id="0">
    <w:p w:rsidR="00AE5B6A" w:rsidRDefault="00AE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9469A">
      <w:rPr>
        <w:noProof/>
        <w:lang w:val="fi-FI"/>
      </w:rPr>
      <w:t>ÅM120122013.docx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6A" w:rsidRDefault="00AE5B6A">
      <w:r>
        <w:separator/>
      </w:r>
    </w:p>
  </w:footnote>
  <w:footnote w:type="continuationSeparator" w:id="0">
    <w:p w:rsidR="00AE5B6A" w:rsidRDefault="00AE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C45E0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C45E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6A"/>
    <w:rsid w:val="00030472"/>
    <w:rsid w:val="00045708"/>
    <w:rsid w:val="000B3F00"/>
    <w:rsid w:val="000B45F3"/>
    <w:rsid w:val="001120C3"/>
    <w:rsid w:val="0012085E"/>
    <w:rsid w:val="002F50E4"/>
    <w:rsid w:val="003011C1"/>
    <w:rsid w:val="00362E9B"/>
    <w:rsid w:val="00377141"/>
    <w:rsid w:val="0038300C"/>
    <w:rsid w:val="003C45E0"/>
    <w:rsid w:val="004C2660"/>
    <w:rsid w:val="00663FC5"/>
    <w:rsid w:val="0084359B"/>
    <w:rsid w:val="009044DF"/>
    <w:rsid w:val="00935A18"/>
    <w:rsid w:val="009D01AC"/>
    <w:rsid w:val="00A16986"/>
    <w:rsid w:val="00A716AD"/>
    <w:rsid w:val="00A861FF"/>
    <w:rsid w:val="00AB47CC"/>
    <w:rsid w:val="00AB7037"/>
    <w:rsid w:val="00AE5B6A"/>
    <w:rsid w:val="00AF314A"/>
    <w:rsid w:val="00B866AB"/>
    <w:rsid w:val="00BA74E7"/>
    <w:rsid w:val="00C27CEF"/>
    <w:rsid w:val="00C57836"/>
    <w:rsid w:val="00CE01A8"/>
    <w:rsid w:val="00D10E5F"/>
    <w:rsid w:val="00D3286C"/>
    <w:rsid w:val="00E100E9"/>
    <w:rsid w:val="00E131E0"/>
    <w:rsid w:val="00EB5F02"/>
    <w:rsid w:val="00F92A96"/>
    <w:rsid w:val="00F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62E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&#197;tg&#228;rds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Åtgärdsmotion(v1a).dot</Template>
  <TotalTime>0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x/2012-2013</vt:lpstr>
    </vt:vector>
  </TitlesOfParts>
  <Company>LR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1/2012-2013</dc:title>
  <dc:creator>LR</dc:creator>
  <cp:lastModifiedBy>Annette Gammals</cp:lastModifiedBy>
  <cp:revision>2</cp:revision>
  <cp:lastPrinted>2012-12-04T13:37:00Z</cp:lastPrinted>
  <dcterms:created xsi:type="dcterms:W3CDTF">2012-12-11T07:59:00Z</dcterms:created>
  <dcterms:modified xsi:type="dcterms:W3CDTF">2012-12-11T07:59:00Z</dcterms:modified>
</cp:coreProperties>
</file>