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251704">
        <w:trPr>
          <w:cantSplit/>
          <w:trHeight w:val="74"/>
        </w:trPr>
        <w:tc>
          <w:tcPr>
            <w:tcW w:w="858" w:type="dxa"/>
          </w:tcPr>
          <w:p w:rsidR="000E14E2" w:rsidRDefault="000E14E2">
            <w:pPr>
              <w:pStyle w:val="xLedtext"/>
              <w:keepNext/>
              <w:rPr>
                <w:noProof/>
              </w:rPr>
            </w:pPr>
            <w:bookmarkStart w:id="0" w:name="_GoBack"/>
            <w:bookmarkEnd w:id="0"/>
          </w:p>
        </w:tc>
        <w:tc>
          <w:tcPr>
            <w:tcW w:w="8723" w:type="dxa"/>
            <w:gridSpan w:val="3"/>
            <w:vAlign w:val="bottom"/>
          </w:tcPr>
          <w:p w:rsidR="000E14E2" w:rsidRDefault="00724FC2">
            <w:pPr>
              <w:pStyle w:val="xMellanrum"/>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4.1pt">
                  <v:imagedata r:id="rId9" o:title="5x5px"/>
                </v:shape>
              </w:pict>
            </w:r>
          </w:p>
        </w:tc>
      </w:tr>
      <w:tr w:rsidR="00864FA6" w:rsidTr="00251704">
        <w:trPr>
          <w:cantSplit/>
          <w:trHeight w:val="406"/>
        </w:trPr>
        <w:tc>
          <w:tcPr>
            <w:tcW w:w="5300" w:type="dxa"/>
            <w:gridSpan w:val="2"/>
            <w:vMerge w:val="restart"/>
          </w:tcPr>
          <w:p w:rsidR="00864FA6" w:rsidRDefault="00724FC2">
            <w:pPr>
              <w:pStyle w:val="xAvsandare1"/>
            </w:pPr>
            <w:r>
              <w:pict>
                <v:shape id="_x0000_i1026" type="#_x0000_t75" style="width:142.65pt;height:36.7pt">
                  <v:imagedata r:id="rId10" o:title="regeringen_svartvit"/>
                </v:shape>
              </w:pict>
            </w:r>
          </w:p>
        </w:tc>
        <w:tc>
          <w:tcPr>
            <w:tcW w:w="4288" w:type="dxa"/>
            <w:gridSpan w:val="2"/>
            <w:vAlign w:val="bottom"/>
          </w:tcPr>
          <w:p w:rsidR="00864FA6" w:rsidRPr="00251704" w:rsidRDefault="00004841" w:rsidP="00004841">
            <w:pPr>
              <w:pStyle w:val="xDokTypNr"/>
              <w:rPr>
                <w:sz w:val="22"/>
              </w:rPr>
            </w:pPr>
            <w:r w:rsidRPr="00251704">
              <w:t>BERÄTTELS</w:t>
            </w:r>
            <w:r w:rsidR="00864FA6" w:rsidRPr="00251704">
              <w:t xml:space="preserve">E nr </w:t>
            </w:r>
            <w:r w:rsidRPr="00251704">
              <w:t>1</w:t>
            </w:r>
            <w:r w:rsidR="00864FA6" w:rsidRPr="00251704">
              <w:t>/201</w:t>
            </w:r>
            <w:r w:rsidRPr="00251704">
              <w:t>1</w:t>
            </w:r>
            <w:r w:rsidR="00864FA6" w:rsidRPr="00251704">
              <w:t>-201</w:t>
            </w:r>
            <w:r w:rsidRPr="00251704">
              <w:t>2</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pPr>
              <w:pStyle w:val="xLedtext"/>
            </w:pPr>
            <w:r>
              <w:t>Diarienummer</w:t>
            </w: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864FA6" w:rsidP="00004841">
            <w:pPr>
              <w:pStyle w:val="xDatum1"/>
            </w:pPr>
            <w:r>
              <w:t>201</w:t>
            </w:r>
            <w:r w:rsidR="00004841">
              <w:t>2</w:t>
            </w:r>
            <w:r>
              <w:t>-</w:t>
            </w:r>
            <w:r w:rsidR="00004841">
              <w:t>05</w:t>
            </w:r>
            <w:r w:rsidR="00323D54">
              <w:t>-24</w:t>
            </w:r>
          </w:p>
        </w:tc>
        <w:tc>
          <w:tcPr>
            <w:tcW w:w="2564" w:type="dxa"/>
            <w:vAlign w:val="center"/>
          </w:tcPr>
          <w:p w:rsidR="00864FA6" w:rsidRDefault="00004841">
            <w:pPr>
              <w:pStyle w:val="xBeteckning1"/>
            </w:pPr>
            <w:r>
              <w:t>ÅLR 2011/7193</w:t>
            </w: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rsidR="000E14E2" w:rsidRDefault="00004841">
      <w:pPr>
        <w:pStyle w:val="ArendeRubrik"/>
      </w:pPr>
      <w:r>
        <w:lastRenderedPageBreak/>
        <w:t>Berättelse över redovisningen av valfinansieringen för lagtings- och kommunalvalen 2011</w:t>
      </w:r>
    </w:p>
    <w:p w:rsidR="000E14E2" w:rsidRDefault="000E14E2">
      <w:pPr>
        <w:pStyle w:val="ANormal"/>
      </w:pPr>
    </w:p>
    <w:p w:rsidR="00251704" w:rsidRDefault="00251704">
      <w:pPr>
        <w:pStyle w:val="ANormal"/>
      </w:pPr>
      <w:r>
        <w:t>Berättelsen innehåller revisionsbyråns tillsyn över</w:t>
      </w:r>
      <w:r w:rsidR="00DF44EA">
        <w:t xml:space="preserve"> redovisningen av </w:t>
      </w:r>
      <w:r>
        <w:t>valf</w:t>
      </w:r>
      <w:r>
        <w:t>i</w:t>
      </w:r>
      <w:r>
        <w:t>na</w:t>
      </w:r>
      <w:r w:rsidR="00DF44EA">
        <w:t>n</w:t>
      </w:r>
      <w:r>
        <w:t>sieringen vid lagtings- och kommunalvalen 2011. Tillsynen utförs med stöd av landskapslagen (2011:17) om valfinansiering och berättelsen ska enligt lagens 9 § överlämnas till lagtinget.</w:t>
      </w:r>
    </w:p>
    <w:p w:rsidR="005047CF" w:rsidRDefault="005047C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047CF" w:rsidTr="007A0368">
        <w:trPr>
          <w:cantSplit/>
        </w:trPr>
        <w:tc>
          <w:tcPr>
            <w:tcW w:w="7931" w:type="dxa"/>
            <w:gridSpan w:val="2"/>
          </w:tcPr>
          <w:p w:rsidR="005047CF" w:rsidRDefault="005047CF" w:rsidP="007A0368">
            <w:pPr>
              <w:pStyle w:val="ANormal"/>
              <w:keepNext/>
            </w:pPr>
            <w:r>
              <w:t xml:space="preserve">Mariehamn den </w:t>
            </w:r>
            <w:r w:rsidR="00323D54">
              <w:t>24</w:t>
            </w:r>
            <w:r w:rsidR="00DF44EA">
              <w:t xml:space="preserve"> maj 2012</w:t>
            </w:r>
          </w:p>
        </w:tc>
      </w:tr>
      <w:tr w:rsidR="005047CF" w:rsidTr="007A0368">
        <w:tc>
          <w:tcPr>
            <w:tcW w:w="4454" w:type="dxa"/>
            <w:vAlign w:val="bottom"/>
          </w:tcPr>
          <w:p w:rsidR="005047CF" w:rsidRDefault="005047CF" w:rsidP="007A0368">
            <w:pPr>
              <w:pStyle w:val="ANormal"/>
              <w:keepNext/>
            </w:pPr>
          </w:p>
          <w:p w:rsidR="005047CF" w:rsidRDefault="005047CF" w:rsidP="007A0368">
            <w:pPr>
              <w:pStyle w:val="ANormal"/>
              <w:keepNext/>
            </w:pPr>
          </w:p>
          <w:p w:rsidR="005047CF" w:rsidRDefault="005047CF" w:rsidP="007A0368">
            <w:pPr>
              <w:pStyle w:val="ANormal"/>
              <w:keepNext/>
            </w:pPr>
            <w:proofErr w:type="spellStart"/>
            <w:r>
              <w:t>Lantråd</w:t>
            </w:r>
            <w:proofErr w:type="spellEnd"/>
          </w:p>
        </w:tc>
        <w:tc>
          <w:tcPr>
            <w:tcW w:w="3477" w:type="dxa"/>
            <w:vAlign w:val="bottom"/>
          </w:tcPr>
          <w:p w:rsidR="005047CF" w:rsidRDefault="005047CF" w:rsidP="007A0368">
            <w:pPr>
              <w:pStyle w:val="ANormal"/>
              <w:keepNext/>
            </w:pPr>
          </w:p>
          <w:p w:rsidR="005047CF" w:rsidRDefault="005047CF" w:rsidP="007A0368">
            <w:pPr>
              <w:pStyle w:val="ANormal"/>
              <w:keepNext/>
            </w:pPr>
          </w:p>
          <w:p w:rsidR="005047CF" w:rsidRDefault="005047CF" w:rsidP="007A0368">
            <w:pPr>
              <w:pStyle w:val="ANormal"/>
              <w:keepNext/>
            </w:pPr>
            <w:r>
              <w:t>Camilla Gunell</w:t>
            </w:r>
          </w:p>
        </w:tc>
      </w:tr>
      <w:tr w:rsidR="005047CF" w:rsidTr="007A0368">
        <w:tc>
          <w:tcPr>
            <w:tcW w:w="4454" w:type="dxa"/>
            <w:vAlign w:val="bottom"/>
          </w:tcPr>
          <w:p w:rsidR="005047CF" w:rsidRDefault="005047CF" w:rsidP="007A0368">
            <w:pPr>
              <w:pStyle w:val="ANormal"/>
              <w:keepNext/>
            </w:pPr>
          </w:p>
          <w:p w:rsidR="005047CF" w:rsidRDefault="005047CF" w:rsidP="007A0368">
            <w:pPr>
              <w:pStyle w:val="ANormal"/>
              <w:keepNext/>
            </w:pPr>
          </w:p>
          <w:p w:rsidR="005047CF" w:rsidRDefault="005047CF" w:rsidP="007A0368">
            <w:pPr>
              <w:pStyle w:val="ANormal"/>
              <w:keepNext/>
            </w:pPr>
            <w:r>
              <w:t>Minister</w:t>
            </w:r>
          </w:p>
        </w:tc>
        <w:tc>
          <w:tcPr>
            <w:tcW w:w="3477" w:type="dxa"/>
            <w:vAlign w:val="bottom"/>
          </w:tcPr>
          <w:p w:rsidR="005047CF" w:rsidRDefault="005047CF" w:rsidP="007A0368">
            <w:pPr>
              <w:pStyle w:val="ANormal"/>
              <w:keepNext/>
            </w:pPr>
          </w:p>
          <w:p w:rsidR="005047CF" w:rsidRDefault="005047CF" w:rsidP="007A0368">
            <w:pPr>
              <w:pStyle w:val="ANormal"/>
              <w:keepNext/>
            </w:pPr>
          </w:p>
          <w:p w:rsidR="005047CF" w:rsidRDefault="005047CF" w:rsidP="007A0368">
            <w:pPr>
              <w:pStyle w:val="ANormal"/>
              <w:keepNext/>
            </w:pPr>
            <w:r>
              <w:t>Gun-Mari Lindholm</w:t>
            </w:r>
          </w:p>
        </w:tc>
      </w:tr>
    </w:tbl>
    <w:p w:rsidR="005047CF" w:rsidRDefault="005047CF">
      <w:pPr>
        <w:pStyle w:val="ANormal"/>
      </w:pPr>
    </w:p>
    <w:p w:rsidR="005047CF" w:rsidRDefault="005047CF">
      <w:pPr>
        <w:pStyle w:val="ANormal"/>
      </w:pPr>
    </w:p>
    <w:p w:rsidR="00251704" w:rsidRDefault="00251704">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0E14E2" w:rsidRDefault="000E14E2">
      <w:pPr>
        <w:pStyle w:val="Innehll1"/>
      </w:pPr>
      <w:r>
        <w:t>INNEHÅLL</w:t>
      </w:r>
    </w:p>
    <w:p w:rsidR="00693168" w:rsidRDefault="000E14E2">
      <w:pPr>
        <w:pStyle w:val="Innehll1"/>
        <w:rPr>
          <w:rFonts w:asciiTheme="minorHAnsi" w:eastAsiaTheme="minorEastAsia" w:hAnsiTheme="minorHAnsi" w:cstheme="minorBidi"/>
          <w:sz w:val="22"/>
          <w:szCs w:val="22"/>
        </w:rPr>
      </w:pPr>
      <w:r>
        <w:fldChar w:fldCharType="begin"/>
      </w:r>
      <w:r>
        <w:instrText xml:space="preserve"> TOC \o "1-3" \h \z </w:instrText>
      </w:r>
      <w:r>
        <w:fldChar w:fldCharType="separate"/>
      </w:r>
      <w:hyperlink w:anchor="_Toc324159238" w:history="1">
        <w:r w:rsidR="00693168" w:rsidRPr="004E0D9D">
          <w:rPr>
            <w:rStyle w:val="Hyperlnk"/>
          </w:rPr>
          <w:t>Lagtingsvalet</w:t>
        </w:r>
        <w:r w:rsidR="00693168">
          <w:rPr>
            <w:webHidden/>
          </w:rPr>
          <w:tab/>
        </w:r>
        <w:r w:rsidR="00693168">
          <w:rPr>
            <w:webHidden/>
          </w:rPr>
          <w:fldChar w:fldCharType="begin"/>
        </w:r>
        <w:r w:rsidR="00693168">
          <w:rPr>
            <w:webHidden/>
          </w:rPr>
          <w:instrText xml:space="preserve"> PAGEREF _Toc324159238 \h </w:instrText>
        </w:r>
        <w:r w:rsidR="00693168">
          <w:rPr>
            <w:webHidden/>
          </w:rPr>
        </w:r>
        <w:r w:rsidR="00693168">
          <w:rPr>
            <w:webHidden/>
          </w:rPr>
          <w:fldChar w:fldCharType="separate"/>
        </w:r>
        <w:r w:rsidR="00D12A5A">
          <w:rPr>
            <w:webHidden/>
          </w:rPr>
          <w:t>1</w:t>
        </w:r>
        <w:r w:rsidR="00693168">
          <w:rPr>
            <w:webHidden/>
          </w:rPr>
          <w:fldChar w:fldCharType="end"/>
        </w:r>
      </w:hyperlink>
    </w:p>
    <w:p w:rsidR="00693168" w:rsidRDefault="00724FC2">
      <w:pPr>
        <w:pStyle w:val="Innehll1"/>
        <w:rPr>
          <w:rFonts w:asciiTheme="minorHAnsi" w:eastAsiaTheme="minorEastAsia" w:hAnsiTheme="minorHAnsi" w:cstheme="minorBidi"/>
          <w:sz w:val="22"/>
          <w:szCs w:val="22"/>
        </w:rPr>
      </w:pPr>
      <w:hyperlink w:anchor="_Toc324159239" w:history="1">
        <w:r w:rsidR="00693168" w:rsidRPr="004E0D9D">
          <w:rPr>
            <w:rStyle w:val="Hyperlnk"/>
          </w:rPr>
          <w:t>Kommunalvalet</w:t>
        </w:r>
        <w:r w:rsidR="00693168">
          <w:rPr>
            <w:webHidden/>
          </w:rPr>
          <w:tab/>
        </w:r>
        <w:r w:rsidR="00693168">
          <w:rPr>
            <w:webHidden/>
          </w:rPr>
          <w:fldChar w:fldCharType="begin"/>
        </w:r>
        <w:r w:rsidR="00693168">
          <w:rPr>
            <w:webHidden/>
          </w:rPr>
          <w:instrText xml:space="preserve"> PAGEREF _Toc324159239 \h </w:instrText>
        </w:r>
        <w:r w:rsidR="00693168">
          <w:rPr>
            <w:webHidden/>
          </w:rPr>
        </w:r>
        <w:r w:rsidR="00693168">
          <w:rPr>
            <w:webHidden/>
          </w:rPr>
          <w:fldChar w:fldCharType="separate"/>
        </w:r>
        <w:r w:rsidR="00D12A5A">
          <w:rPr>
            <w:webHidden/>
          </w:rPr>
          <w:t>2</w:t>
        </w:r>
        <w:r w:rsidR="00693168">
          <w:rPr>
            <w:webHidden/>
          </w:rPr>
          <w:fldChar w:fldCharType="end"/>
        </w:r>
      </w:hyperlink>
    </w:p>
    <w:p w:rsidR="00693168" w:rsidRDefault="00724FC2">
      <w:pPr>
        <w:pStyle w:val="Innehll1"/>
        <w:rPr>
          <w:rFonts w:asciiTheme="minorHAnsi" w:eastAsiaTheme="minorEastAsia" w:hAnsiTheme="minorHAnsi" w:cstheme="minorBidi"/>
          <w:sz w:val="22"/>
          <w:szCs w:val="22"/>
        </w:rPr>
      </w:pPr>
      <w:hyperlink w:anchor="_Toc324159240" w:history="1">
        <w:r w:rsidR="00693168" w:rsidRPr="004E0D9D">
          <w:rPr>
            <w:rStyle w:val="Hyperlnk"/>
          </w:rPr>
          <w:t>Innehållet i landskapslagen om valfinansiering</w:t>
        </w:r>
        <w:r w:rsidR="00693168">
          <w:rPr>
            <w:webHidden/>
          </w:rPr>
          <w:tab/>
        </w:r>
        <w:r w:rsidR="00693168">
          <w:rPr>
            <w:webHidden/>
          </w:rPr>
          <w:fldChar w:fldCharType="begin"/>
        </w:r>
        <w:r w:rsidR="00693168">
          <w:rPr>
            <w:webHidden/>
          </w:rPr>
          <w:instrText xml:space="preserve"> PAGEREF _Toc324159240 \h </w:instrText>
        </w:r>
        <w:r w:rsidR="00693168">
          <w:rPr>
            <w:webHidden/>
          </w:rPr>
        </w:r>
        <w:r w:rsidR="00693168">
          <w:rPr>
            <w:webHidden/>
          </w:rPr>
          <w:fldChar w:fldCharType="separate"/>
        </w:r>
        <w:r w:rsidR="00D12A5A">
          <w:rPr>
            <w:webHidden/>
          </w:rPr>
          <w:t>2</w:t>
        </w:r>
        <w:r w:rsidR="00693168">
          <w:rPr>
            <w:webHidden/>
          </w:rPr>
          <w:fldChar w:fldCharType="end"/>
        </w:r>
      </w:hyperlink>
    </w:p>
    <w:p w:rsidR="00693168" w:rsidRDefault="00724FC2">
      <w:pPr>
        <w:pStyle w:val="Innehll1"/>
        <w:rPr>
          <w:rFonts w:asciiTheme="minorHAnsi" w:eastAsiaTheme="minorEastAsia" w:hAnsiTheme="minorHAnsi" w:cstheme="minorBidi"/>
          <w:sz w:val="22"/>
          <w:szCs w:val="22"/>
        </w:rPr>
      </w:pPr>
      <w:hyperlink w:anchor="_Toc324159241" w:history="1">
        <w:r w:rsidR="00693168" w:rsidRPr="004E0D9D">
          <w:rPr>
            <w:rStyle w:val="Hyperlnk"/>
          </w:rPr>
          <w:t>Uppgifter som skulle lämnas i valfinansieringsredovisningen</w:t>
        </w:r>
        <w:r w:rsidR="00693168">
          <w:rPr>
            <w:webHidden/>
          </w:rPr>
          <w:tab/>
        </w:r>
        <w:r w:rsidR="00693168">
          <w:rPr>
            <w:webHidden/>
          </w:rPr>
          <w:fldChar w:fldCharType="begin"/>
        </w:r>
        <w:r w:rsidR="00693168">
          <w:rPr>
            <w:webHidden/>
          </w:rPr>
          <w:instrText xml:space="preserve"> PAGEREF _Toc324159241 \h </w:instrText>
        </w:r>
        <w:r w:rsidR="00693168">
          <w:rPr>
            <w:webHidden/>
          </w:rPr>
        </w:r>
        <w:r w:rsidR="00693168">
          <w:rPr>
            <w:webHidden/>
          </w:rPr>
          <w:fldChar w:fldCharType="separate"/>
        </w:r>
        <w:r w:rsidR="00D12A5A">
          <w:rPr>
            <w:webHidden/>
          </w:rPr>
          <w:t>3</w:t>
        </w:r>
        <w:r w:rsidR="00693168">
          <w:rPr>
            <w:webHidden/>
          </w:rPr>
          <w:fldChar w:fldCharType="end"/>
        </w:r>
      </w:hyperlink>
    </w:p>
    <w:p w:rsidR="00693168" w:rsidRDefault="00724FC2">
      <w:pPr>
        <w:pStyle w:val="Innehll1"/>
        <w:rPr>
          <w:rFonts w:asciiTheme="minorHAnsi" w:eastAsiaTheme="minorEastAsia" w:hAnsiTheme="minorHAnsi" w:cstheme="minorBidi"/>
          <w:sz w:val="22"/>
          <w:szCs w:val="22"/>
        </w:rPr>
      </w:pPr>
      <w:hyperlink w:anchor="_Toc324159242" w:history="1">
        <w:r w:rsidR="00693168" w:rsidRPr="004E0D9D">
          <w:rPr>
            <w:rStyle w:val="Hyperlnk"/>
          </w:rPr>
          <w:t>Övrigt</w:t>
        </w:r>
        <w:r w:rsidR="00693168">
          <w:rPr>
            <w:webHidden/>
          </w:rPr>
          <w:tab/>
        </w:r>
        <w:r w:rsidR="00693168">
          <w:rPr>
            <w:webHidden/>
          </w:rPr>
          <w:fldChar w:fldCharType="begin"/>
        </w:r>
        <w:r w:rsidR="00693168">
          <w:rPr>
            <w:webHidden/>
          </w:rPr>
          <w:instrText xml:space="preserve"> PAGEREF _Toc324159242 \h </w:instrText>
        </w:r>
        <w:r w:rsidR="00693168">
          <w:rPr>
            <w:webHidden/>
          </w:rPr>
        </w:r>
        <w:r w:rsidR="00693168">
          <w:rPr>
            <w:webHidden/>
          </w:rPr>
          <w:fldChar w:fldCharType="separate"/>
        </w:r>
        <w:r w:rsidR="00D12A5A">
          <w:rPr>
            <w:webHidden/>
          </w:rPr>
          <w:t>3</w:t>
        </w:r>
        <w:r w:rsidR="00693168">
          <w:rPr>
            <w:webHidden/>
          </w:rPr>
          <w:fldChar w:fldCharType="end"/>
        </w:r>
      </w:hyperlink>
    </w:p>
    <w:p w:rsidR="000E14E2" w:rsidRDefault="000E14E2">
      <w:pPr>
        <w:pStyle w:val="ANormal"/>
        <w:rPr>
          <w:noProof/>
        </w:rPr>
      </w:pPr>
      <w:r>
        <w:rPr>
          <w:noProof/>
        </w:rPr>
        <w:fldChar w:fldCharType="end"/>
      </w:r>
    </w:p>
    <w:p w:rsidR="000E14E2" w:rsidRDefault="000E14E2">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546307" w:rsidRDefault="00546307">
      <w:pPr>
        <w:pStyle w:val="ANormal"/>
      </w:pPr>
    </w:p>
    <w:p w:rsidR="00693168" w:rsidRPr="00D06DE1" w:rsidRDefault="00693168" w:rsidP="00693168">
      <w:pPr>
        <w:pStyle w:val="RubrikA"/>
      </w:pPr>
      <w:bookmarkStart w:id="1" w:name="_Toc324159238"/>
      <w:r w:rsidRPr="00D06DE1">
        <w:lastRenderedPageBreak/>
        <w:t>Lagtingsvalet</w:t>
      </w:r>
      <w:bookmarkEnd w:id="1"/>
    </w:p>
    <w:p w:rsidR="00693168" w:rsidRPr="00693168" w:rsidRDefault="00693168" w:rsidP="00693168">
      <w:pPr>
        <w:pStyle w:val="RubrikA"/>
        <w:rPr>
          <w:sz w:val="10"/>
          <w:szCs w:val="10"/>
        </w:rPr>
      </w:pPr>
    </w:p>
    <w:p w:rsidR="00693168" w:rsidRDefault="00693168" w:rsidP="00693168">
      <w:pPr>
        <w:pStyle w:val="ANormal"/>
      </w:pPr>
      <w:r>
        <w:t>Alla de som var redovisningsskyldiga vid lagtingsvalet år 2011, dvs. de som, då valresultatet fastställts, valts till lagtingsledamöter och de som til</w:t>
      </w:r>
      <w:r>
        <w:t>l</w:t>
      </w:r>
      <w:r>
        <w:t>trätt som lagtingsledamöter i samband med att ny landskapsregering har bildats, har lämnat den i landskapslagen om valfinansiering föreskrivna r</w:t>
      </w:r>
      <w:r>
        <w:t>e</w:t>
      </w:r>
      <w:r>
        <w:t xml:space="preserve">dovisningen av valfinansieringen. </w:t>
      </w:r>
    </w:p>
    <w:p w:rsidR="00693168" w:rsidRDefault="00693168" w:rsidP="00693168">
      <w:pPr>
        <w:pStyle w:val="ANormal"/>
      </w:pPr>
      <w:r>
        <w:tab/>
        <w:t>I samband med handläggningen och kontrollen av redovisningarna har inte till landskapsregeringens revisionsbyrås kännedom framkommit up</w:t>
      </w:r>
      <w:r>
        <w:t>p</w:t>
      </w:r>
      <w:r>
        <w:t>gifter som skulle visat att landskapsregeringens revisionsbyrå skulle haft skäl att närmare utreda redovisningarnas riktighet. Redovisningarna har gjorts upp med den noggrannhet som förutsätts i landskapslagen om valf</w:t>
      </w:r>
      <w:r>
        <w:t>i</w:t>
      </w:r>
      <w:r>
        <w:t>nansiering. Redovisningarna innehöll de redovisningsskyldigas redogöre</w:t>
      </w:r>
      <w:r>
        <w:t>l</w:t>
      </w:r>
      <w:r>
        <w:t>ser över de väsentligaste uppgifterna med tanke på iakttagandet av valf</w:t>
      </w:r>
      <w:r>
        <w:t>i</w:t>
      </w:r>
      <w:r>
        <w:t>nansieringslagen. Redovisningarna av valfinansieringen hålls tillgängliga för allmänheten till 21.10.2016.</w:t>
      </w:r>
    </w:p>
    <w:p w:rsidR="00693168" w:rsidRDefault="00693168" w:rsidP="00693168">
      <w:pPr>
        <w:pStyle w:val="ANormal"/>
      </w:pPr>
      <w:r>
        <w:tab/>
        <w:t>Som kontrollåtgärder uppmanade revisionsbyrån genom e-post till de i lagtinget företrädda partigrupperna och till respektive kommuns kommu</w:t>
      </w:r>
      <w:r>
        <w:t>n</w:t>
      </w:r>
      <w:r>
        <w:t>kansli att de redovisningsskyldiga skulle redovisa finansieringen av sina valkostnader. Partierna och kommunkanslierna uppmanades i sin tur ha kontakt med de invalda.</w:t>
      </w:r>
    </w:p>
    <w:p w:rsidR="00693168" w:rsidRDefault="00693168" w:rsidP="00693168">
      <w:pPr>
        <w:pStyle w:val="ANormal"/>
      </w:pPr>
      <w:r>
        <w:t>Till landskapsregeringens revisionsbyrå har inte anförts klagomål i ankny</w:t>
      </w:r>
      <w:r>
        <w:t>t</w:t>
      </w:r>
      <w:r>
        <w:t>ning till redovisningarna av valfinansieringen vid lagtingsvalet 2011. Pu</w:t>
      </w:r>
      <w:r>
        <w:t>b</w:t>
      </w:r>
      <w:r>
        <w:t xml:space="preserve">liceringen av redovisningarna har skett på fliken ”Valfinansiering” under webbadressen </w:t>
      </w:r>
      <w:hyperlink r:id="rId17" w:history="1">
        <w:r w:rsidRPr="00693168">
          <w:rPr>
            <w:rStyle w:val="Hyperlnk"/>
            <w:u w:val="single"/>
          </w:rPr>
          <w:t>www.val.ax</w:t>
        </w:r>
      </w:hyperlink>
      <w:r>
        <w:rPr>
          <w:rStyle w:val="Hyperlnk"/>
        </w:rPr>
        <w:t>.</w:t>
      </w:r>
      <w:r>
        <w:t xml:space="preserve"> </w:t>
      </w:r>
    </w:p>
    <w:p w:rsidR="00693168" w:rsidRDefault="00693168" w:rsidP="00693168">
      <w:pPr>
        <w:pStyle w:val="ANormal"/>
      </w:pPr>
    </w:p>
    <w:p w:rsidR="00693168" w:rsidRPr="00D06DE1" w:rsidRDefault="00693168" w:rsidP="00693168">
      <w:pPr>
        <w:pStyle w:val="RubrikA"/>
      </w:pPr>
      <w:bookmarkStart w:id="2" w:name="_Toc324159239"/>
      <w:r w:rsidRPr="00D06DE1">
        <w:t>Kommunalvalet</w:t>
      </w:r>
      <w:bookmarkEnd w:id="2"/>
    </w:p>
    <w:p w:rsidR="00693168" w:rsidRPr="00693168" w:rsidRDefault="00693168" w:rsidP="00693168">
      <w:pPr>
        <w:pStyle w:val="ANormal"/>
        <w:rPr>
          <w:sz w:val="10"/>
          <w:szCs w:val="10"/>
        </w:rPr>
      </w:pPr>
    </w:p>
    <w:p w:rsidR="00693168" w:rsidRDefault="00693168" w:rsidP="00693168">
      <w:pPr>
        <w:pStyle w:val="ANormal"/>
      </w:pPr>
      <w:r>
        <w:t>Majoriteten av de som var redovisningsskyldiga vid kommunalvalet år 2011, dvs. de som, då valresultatet fastställts, valts till kommunfullmäktig</w:t>
      </w:r>
      <w:r>
        <w:t>e</w:t>
      </w:r>
      <w:r>
        <w:t>ledamöter eller som första och andra ersättare för respektive invald pa</w:t>
      </w:r>
      <w:r>
        <w:t>r</w:t>
      </w:r>
      <w:r>
        <w:t>tigrupp, har lämnat den i landskapslagen om valfinansiering föreskrivna r</w:t>
      </w:r>
      <w:r>
        <w:t>e</w:t>
      </w:r>
      <w:r>
        <w:t xml:space="preserve">dovisningen av valfinansieringen. </w:t>
      </w:r>
    </w:p>
    <w:p w:rsidR="00693168" w:rsidRDefault="007A0368" w:rsidP="00693168">
      <w:pPr>
        <w:pStyle w:val="ANormal"/>
      </w:pPr>
      <w:r>
        <w:tab/>
      </w:r>
      <w:r w:rsidR="00693168">
        <w:t>För de invalda kommunfullmäktigeledamöter eller första och andra e</w:t>
      </w:r>
      <w:r w:rsidR="00693168">
        <w:t>r</w:t>
      </w:r>
      <w:r w:rsidR="00693168">
        <w:t>sättare för respektive parti som även valts till lagtingsledamöter, har red</w:t>
      </w:r>
      <w:r w:rsidR="00693168">
        <w:t>o</w:t>
      </w:r>
      <w:r w:rsidR="00693168">
        <w:t>visningar i sin helhet redovisats i samband med lagtingsvalet.</w:t>
      </w:r>
    </w:p>
    <w:p w:rsidR="00693168" w:rsidRDefault="007A0368" w:rsidP="00A67416">
      <w:pPr>
        <w:pStyle w:val="ANormal"/>
      </w:pPr>
      <w:r>
        <w:tab/>
      </w:r>
      <w:r w:rsidR="00693168">
        <w:t>Till skillnad från de redovisningsskyldigas förfarande vid redovisningar för finansiering av kostnader för lagtingsvalet, har invalda kommunful</w:t>
      </w:r>
      <w:r w:rsidR="00693168">
        <w:t>l</w:t>
      </w:r>
      <w:r w:rsidR="00693168">
        <w:t>mäktigeledamöter och ersättare i begränsad utsträckning redovisat för sina valkostnader vid kommunalvalet. Förklaringen till detta torde vara att en stor andel av de som kandiderat i kommunalval och invalts till ledamöter eller ersättare i kommunfullmäktige inte haft personliga kostnader för kommunalvalet. I många fall har det enbart varit partiorganisationerna som haft kostnader för kommunalvalet. Trots revisionsbyråns påminnelser till partierna och kommunkanslierna har ett relativt stort antal redovisning</w:t>
      </w:r>
      <w:r w:rsidR="00693168">
        <w:t>s</w:t>
      </w:r>
      <w:r w:rsidR="00693168">
        <w:t>skyldiga låtit bli att redovisa kommunala valkostnader. Revisionsbyrån har också efter redovisningstidens utgång meddelat kommunkanslierna med namngivna kommunfullmäktigeledamöter och ersättare som ännu inte r</w:t>
      </w:r>
      <w:r w:rsidR="00693168">
        <w:t>e</w:t>
      </w:r>
      <w:r w:rsidR="00693168">
        <w:t>dovisat, varvid efteråt inkommit ett antal nya redovisningar.</w:t>
      </w:r>
    </w:p>
    <w:p w:rsidR="00A67416" w:rsidRPr="00A67416" w:rsidRDefault="00A67416" w:rsidP="00A67416">
      <w:pPr>
        <w:pStyle w:val="ANormal"/>
      </w:pPr>
      <w:r>
        <w:tab/>
      </w:r>
      <w:r w:rsidR="00693168" w:rsidRPr="00A67416">
        <w:t>Revisionsbyrån har inte uppmanat enskilda kommunfullmäktigeledam</w:t>
      </w:r>
      <w:r w:rsidR="00693168" w:rsidRPr="00A67416">
        <w:t>ö</w:t>
      </w:r>
      <w:r w:rsidR="00693168" w:rsidRPr="00A67416">
        <w:t>ter eller ersättare med mottagningsbevis.</w:t>
      </w:r>
      <w:r>
        <w:t xml:space="preserve"> </w:t>
      </w:r>
      <w:r w:rsidRPr="00A67416">
        <w:t>I den händelse landskapsregerin</w:t>
      </w:r>
      <w:r w:rsidRPr="00A67416">
        <w:t>g</w:t>
      </w:r>
      <w:r w:rsidRPr="00A67416">
        <w:t>en i enlighet med landskapslagen om valfinansiering avser vid vite förpli</w:t>
      </w:r>
      <w:r w:rsidRPr="00A67416">
        <w:t>k</w:t>
      </w:r>
      <w:r w:rsidRPr="00A67416">
        <w:t xml:space="preserve">tiga de redovisningsskyldiga att lämna in valredovisningar, måste framgå vilken förvaltningsenhet som </w:t>
      </w:r>
      <w:proofErr w:type="gramStart"/>
      <w:r w:rsidRPr="00A67416">
        <w:t>handhar</w:t>
      </w:r>
      <w:proofErr w:type="gramEnd"/>
      <w:r w:rsidRPr="00A67416">
        <w:t xml:space="preserve"> uppgiften. Det måste även finnas </w:t>
      </w:r>
      <w:proofErr w:type="gramStart"/>
      <w:r w:rsidRPr="00A67416">
        <w:t>e</w:t>
      </w:r>
      <w:r w:rsidRPr="00A67416">
        <w:t>r</w:t>
      </w:r>
      <w:r w:rsidRPr="00A67416">
        <w:t>forderlig</w:t>
      </w:r>
      <w:proofErr w:type="gramEnd"/>
      <w:r w:rsidRPr="00A67416">
        <w:t xml:space="preserve"> tidshänsyn i förhållande till det arbete uppdraget förutsätter.</w:t>
      </w:r>
    </w:p>
    <w:p w:rsidR="00693168" w:rsidRDefault="00E203B7" w:rsidP="00693168">
      <w:pPr>
        <w:pStyle w:val="ANormal"/>
      </w:pPr>
      <w:r>
        <w:tab/>
      </w:r>
      <w:r w:rsidR="00693168">
        <w:t>De redovisningar som har inkommit har gjorts upp med den noggran</w:t>
      </w:r>
      <w:r w:rsidR="00693168">
        <w:t>n</w:t>
      </w:r>
      <w:r w:rsidR="00693168">
        <w:t xml:space="preserve">het som förutsätts i landskapslagen om valfinansiering. Redovisningarna </w:t>
      </w:r>
      <w:r w:rsidR="00693168">
        <w:lastRenderedPageBreak/>
        <w:t>innehöll de redovisningsskyldigas</w:t>
      </w:r>
      <w:r w:rsidR="007A0368">
        <w:t xml:space="preserve"> </w:t>
      </w:r>
      <w:r w:rsidR="00693168">
        <w:t>mest väsentliga uppgifter med tanke på iakttagandet av valfinansieringslagen.</w:t>
      </w:r>
      <w:r w:rsidR="007A0368">
        <w:t xml:space="preserve"> </w:t>
      </w:r>
      <w:r w:rsidR="00693168">
        <w:t>Redovisningarna av valfinansierin</w:t>
      </w:r>
      <w:r w:rsidR="00693168">
        <w:t>g</w:t>
      </w:r>
      <w:r w:rsidR="00693168">
        <w:t>en hålls också för kommunalvalet tillgängliga för allmänheten till 21.10.2016.</w:t>
      </w:r>
      <w:r w:rsidR="003328B3">
        <w:t xml:space="preserve"> </w:t>
      </w:r>
      <w:r w:rsidR="00693168">
        <w:t>Publiceringen av redovisningarna har skett på fliken ”Valf</w:t>
      </w:r>
      <w:r w:rsidR="00693168">
        <w:t>i</w:t>
      </w:r>
      <w:r w:rsidR="00693168">
        <w:t xml:space="preserve">nansiering” under webbadressen </w:t>
      </w:r>
      <w:hyperlink r:id="rId18" w:history="1">
        <w:r w:rsidR="00693168" w:rsidRPr="003328B3">
          <w:rPr>
            <w:rStyle w:val="Hyperlnk"/>
            <w:u w:val="single"/>
          </w:rPr>
          <w:t>www.val.</w:t>
        </w:r>
        <w:proofErr w:type="gramStart"/>
        <w:r w:rsidR="00693168" w:rsidRPr="003328B3">
          <w:rPr>
            <w:rStyle w:val="Hyperlnk"/>
            <w:u w:val="single"/>
          </w:rPr>
          <w:t>ax</w:t>
        </w:r>
      </w:hyperlink>
      <w:r w:rsidR="003328B3">
        <w:t xml:space="preserve"> .</w:t>
      </w:r>
      <w:proofErr w:type="gramEnd"/>
      <w:r w:rsidR="00693168">
        <w:t xml:space="preserve"> </w:t>
      </w:r>
    </w:p>
    <w:p w:rsidR="00693168" w:rsidRDefault="00693168" w:rsidP="00693168">
      <w:pPr>
        <w:pStyle w:val="ANormal"/>
      </w:pPr>
    </w:p>
    <w:p w:rsidR="00693168" w:rsidRPr="00D06DE1" w:rsidRDefault="00693168" w:rsidP="00693168">
      <w:pPr>
        <w:pStyle w:val="RubrikA"/>
      </w:pPr>
      <w:bookmarkStart w:id="3" w:name="_Toc324159240"/>
      <w:r w:rsidRPr="00D06DE1">
        <w:t>Innehållet i landskapslagen om valfinansiering</w:t>
      </w:r>
      <w:bookmarkEnd w:id="3"/>
    </w:p>
    <w:p w:rsidR="00693168" w:rsidRPr="00693168" w:rsidRDefault="00693168" w:rsidP="00693168">
      <w:pPr>
        <w:pStyle w:val="RubrikA"/>
        <w:jc w:val="both"/>
        <w:rPr>
          <w:sz w:val="10"/>
          <w:szCs w:val="10"/>
        </w:rPr>
      </w:pPr>
    </w:p>
    <w:p w:rsidR="00693168" w:rsidRDefault="00693168" w:rsidP="00693168">
      <w:pPr>
        <w:pStyle w:val="ANormal"/>
      </w:pPr>
      <w:r>
        <w:t xml:space="preserve">Landskapslagen om valfinansiering trädde ikraft </w:t>
      </w:r>
      <w:r w:rsidR="003328B3">
        <w:t>den första</w:t>
      </w:r>
      <w:r>
        <w:t xml:space="preserve"> april 2011. L</w:t>
      </w:r>
      <w:r>
        <w:t>a</w:t>
      </w:r>
      <w:r>
        <w:t>gen tillämpades för första gången i samband med lagtings- och kommuna</w:t>
      </w:r>
      <w:r>
        <w:t>l</w:t>
      </w:r>
      <w:r>
        <w:t>valet 2011.</w:t>
      </w:r>
      <w:r w:rsidR="003328B3">
        <w:t xml:space="preserve"> </w:t>
      </w:r>
      <w:r>
        <w:t>Syftet med lagen är att öka öppenheten kring valfinansieringen och informationen om kandidaternas eventuella bindningar. Genom större öppenhet främjas demokratin och det allmänna förtroendet för det politiska systemet. Med hänsyn till den politiska verksamhetens karaktär har det inte varit möjligt att i lagen förutse alla situationer som kan uppstå vid tilläm</w:t>
      </w:r>
      <w:r>
        <w:t>p</w:t>
      </w:r>
      <w:r>
        <w:t>ningen. Meningen har varit att upprätta ett redovisningssystem som är mö</w:t>
      </w:r>
      <w:r>
        <w:t>j</w:t>
      </w:r>
      <w:r>
        <w:t>ligt för kandidaterna att tillämpa utan oskäligt besvär. För att tillgodose kandidaternas rättssäkerhet och sinsemellan jämförbara redovisningar har lagstiftaren eftersträvat ett så tydligt redovisningssystem som möjligt.</w:t>
      </w:r>
    </w:p>
    <w:p w:rsidR="00693168" w:rsidRDefault="003328B3" w:rsidP="00693168">
      <w:pPr>
        <w:pStyle w:val="ANormal"/>
      </w:pPr>
      <w:r>
        <w:tab/>
      </w:r>
      <w:r w:rsidR="00693168">
        <w:t xml:space="preserve">Redovisning av valfinansiering </w:t>
      </w:r>
      <w:r w:rsidR="00F93FB1">
        <w:t>ska</w:t>
      </w:r>
      <w:r w:rsidR="00693168">
        <w:t xml:space="preserve"> lämnas till landskapsregeringens r</w:t>
      </w:r>
      <w:r w:rsidR="00693168">
        <w:t>e</w:t>
      </w:r>
      <w:r w:rsidR="00693168">
        <w:t>visionsbyrå inom tre månader efter det att valresultatet har fastställts. För lagtings- och kommunalvalet år 2011 innebär detta att redovisningar skulle vara landskapsregeringens revisionsbyrå tillhanda senast den 20 januari 2012. Redovisningsskyldiga i lagtingsvalet är de som valts till lagtingsl</w:t>
      </w:r>
      <w:r w:rsidR="00693168">
        <w:t>e</w:t>
      </w:r>
      <w:r w:rsidR="00693168">
        <w:t>damöter och de som har uppdrag som lagtingsledamöter.</w:t>
      </w:r>
      <w:r>
        <w:t xml:space="preserve"> </w:t>
      </w:r>
      <w:r w:rsidR="00693168">
        <w:t>Redovisning</w:t>
      </w:r>
      <w:r w:rsidR="00693168">
        <w:t>s</w:t>
      </w:r>
      <w:r w:rsidR="00693168">
        <w:t>skyldiga i kommunalvalet är de som valts till kommunfullmäktigeledam</w:t>
      </w:r>
      <w:r w:rsidR="00693168">
        <w:t>ö</w:t>
      </w:r>
      <w:r w:rsidR="00693168">
        <w:t>ter och de som valts till första eller andra ersättare i kommunfullmäktige.</w:t>
      </w:r>
      <w:r>
        <w:t xml:space="preserve"> </w:t>
      </w:r>
      <w:r w:rsidR="00693168">
        <w:t>Därtill är partierna, etablerade politiska och etablerade kommunala pol</w:t>
      </w:r>
      <w:r w:rsidR="00693168">
        <w:t>i</w:t>
      </w:r>
      <w:r w:rsidR="00693168">
        <w:t>tiska föreningar</w:t>
      </w:r>
      <w:r>
        <w:t>,</w:t>
      </w:r>
      <w:r w:rsidR="00693168">
        <w:t xml:space="preserve"> som ställt upp kandidater i ett lagtingsval eller kommuna</w:t>
      </w:r>
      <w:r w:rsidR="00693168">
        <w:t>l</w:t>
      </w:r>
      <w:r w:rsidR="00693168">
        <w:t>val, redovisningsskyldiga.</w:t>
      </w:r>
    </w:p>
    <w:p w:rsidR="00693168" w:rsidRDefault="003328B3" w:rsidP="00693168">
      <w:pPr>
        <w:pStyle w:val="ANormal"/>
      </w:pPr>
      <w:r>
        <w:tab/>
      </w:r>
      <w:r w:rsidR="00693168">
        <w:t>Antalet personer som var skyldiga att redovisa för sin valfi</w:t>
      </w:r>
      <w:r>
        <w:t xml:space="preserve">nansiering vid lagtingsvalet uppgick till </w:t>
      </w:r>
      <w:r w:rsidR="00693168">
        <w:t>37 personer. Samtliga (100 %) har redovisat.</w:t>
      </w:r>
    </w:p>
    <w:p w:rsidR="00693168" w:rsidRDefault="00693168" w:rsidP="00693168">
      <w:pPr>
        <w:pStyle w:val="ANormal"/>
      </w:pPr>
      <w:r>
        <w:t>Antalet personer som var skyldiga att redovisa för sin valfinansiering vid kommunalvalet (exklusive de som redovisat för lagtingsvalet) var 272 pe</w:t>
      </w:r>
      <w:r>
        <w:t>r</w:t>
      </w:r>
      <w:r>
        <w:t>soner. Av dem har 48 personer (18 %) underlåtit att redovisa. Revisionsb</w:t>
      </w:r>
      <w:r>
        <w:t>y</w:t>
      </w:r>
      <w:r>
        <w:t>rån påminde även efter redovisningstidens utgång partierna och kommu</w:t>
      </w:r>
      <w:r>
        <w:t>n</w:t>
      </w:r>
      <w:r>
        <w:t>kanslierna att kontakta namngivna personer för att få dem att redovisa men resultatet blev alltjämt bristfälligt. Sett ur ett kommunperspektiv är det en</w:t>
      </w:r>
      <w:r>
        <w:t>d</w:t>
      </w:r>
      <w:r>
        <w:t>ast de redovisningsskyldiga i Lumparland och Sottunga som var och en har fullgjort sin redovisningsskyldighet. I samtliga övriga kommuner för</w:t>
      </w:r>
      <w:r>
        <w:t>e</w:t>
      </w:r>
      <w:r>
        <w:t>kommer redovisningsskyldiga som inte fullgjort sin skyldighet. Minst hö</w:t>
      </w:r>
      <w:r>
        <w:t>r</w:t>
      </w:r>
      <w:r>
        <w:t xml:space="preserve">samma till de gällande redovisningskraven har </w:t>
      </w:r>
      <w:r w:rsidR="003328B3">
        <w:t xml:space="preserve">de </w:t>
      </w:r>
      <w:r>
        <w:t>redovisningsskyldiga v</w:t>
      </w:r>
      <w:r>
        <w:t>a</w:t>
      </w:r>
      <w:r>
        <w:t>rit i Eckerö, där åtta personer underlåtit att redovisa.</w:t>
      </w:r>
    </w:p>
    <w:p w:rsidR="003328B3" w:rsidRDefault="003328B3" w:rsidP="003328B3">
      <w:pPr>
        <w:pStyle w:val="ANormal"/>
      </w:pPr>
      <w:r>
        <w:tab/>
      </w:r>
      <w:r w:rsidR="00693168">
        <w:t>Landskapsregeringen har möjlighet att förelägga vite, om den redovi</w:t>
      </w:r>
      <w:r w:rsidR="00693168">
        <w:t>s</w:t>
      </w:r>
      <w:r w:rsidR="00693168">
        <w:t>ningsskyldige inte alls gör någon i lagen definierad redovisning eller om det konstateras att redovisningen är uppenbart oriktig eller bristfällig på v</w:t>
      </w:r>
      <w:r w:rsidR="00693168">
        <w:t>ä</w:t>
      </w:r>
      <w:r w:rsidR="00693168">
        <w:t>sentliga punkter.</w:t>
      </w:r>
      <w:r>
        <w:t xml:space="preserve"> </w:t>
      </w:r>
    </w:p>
    <w:p w:rsidR="00693168" w:rsidRDefault="003328B3" w:rsidP="00693168">
      <w:pPr>
        <w:pStyle w:val="ANormal"/>
      </w:pPr>
      <w:r>
        <w:tab/>
      </w:r>
      <w:r w:rsidR="00693168">
        <w:t xml:space="preserve">Enligt landskapslagen om valfinansiering omfattar landskapsregeringens revisionsbyrås övervakning i praktiken den helhet som utgörs av </w:t>
      </w:r>
      <w:proofErr w:type="gramStart"/>
      <w:r w:rsidR="00693168">
        <w:t>§§</w:t>
      </w:r>
      <w:proofErr w:type="gramEnd"/>
      <w:r w:rsidR="00693168">
        <w:t xml:space="preserve"> 8-10. Revisionsbyrån har inte på lag grundad rätt att få annan information för övervakningen av valfinansieringen än vad som nämns i landskapslagen om valfinansiering. Kandidaternas valfinansiering i dess skilda former och de utgifter som täcks med den hör inte till det verksamhetsområde för lan</w:t>
      </w:r>
      <w:r w:rsidR="00693168">
        <w:t>d</w:t>
      </w:r>
      <w:r w:rsidR="00693168">
        <w:t>skapsregeringens revisionsbyrå som föreskrivs i landskapslagen</w:t>
      </w:r>
      <w:r w:rsidR="008B67EC">
        <w:t xml:space="preserve"> (1996:8)</w:t>
      </w:r>
      <w:r w:rsidR="00693168">
        <w:t xml:space="preserve"> om landskapsregeringens revisionsbyrå.</w:t>
      </w:r>
    </w:p>
    <w:p w:rsidR="00693168" w:rsidRDefault="00693168" w:rsidP="00693168">
      <w:pPr>
        <w:pStyle w:val="ANormal"/>
      </w:pPr>
    </w:p>
    <w:p w:rsidR="00693168" w:rsidRPr="00D06DE1" w:rsidRDefault="00693168" w:rsidP="00693168">
      <w:pPr>
        <w:pStyle w:val="RubrikA"/>
      </w:pPr>
      <w:bookmarkStart w:id="4" w:name="_Toc324159241"/>
      <w:r w:rsidRPr="00D06DE1">
        <w:lastRenderedPageBreak/>
        <w:t>Uppgifter som skulle lämnas i valfinansieringsredovisningen</w:t>
      </w:r>
      <w:bookmarkEnd w:id="4"/>
    </w:p>
    <w:p w:rsidR="00693168" w:rsidRPr="00693168" w:rsidRDefault="00693168" w:rsidP="00693168">
      <w:pPr>
        <w:pStyle w:val="RubrikA"/>
        <w:jc w:val="both"/>
        <w:rPr>
          <w:sz w:val="10"/>
          <w:szCs w:val="10"/>
        </w:rPr>
      </w:pPr>
    </w:p>
    <w:p w:rsidR="00693168" w:rsidRDefault="00693168" w:rsidP="00693168">
      <w:pPr>
        <w:pStyle w:val="ANormal"/>
      </w:pPr>
      <w:r>
        <w:t>Finansiering av valkostnader avser kostnader för kandidaternas och partie</w:t>
      </w:r>
      <w:r>
        <w:t>r</w:t>
      </w:r>
      <w:r>
        <w:t>nas valkampanjer som uppkommit de sex månader som föregick valen och tiden fr</w:t>
      </w:r>
      <w:r w:rsidR="003328B3">
        <w:t xml:space="preserve">am till två veckor efter valen. </w:t>
      </w:r>
      <w:r>
        <w:t>En kandidat ska redovisa vilket val som varit ifråga, de totala kostnaderna för valkampanjen samt specificera olika typer av valreklam och övriga kostnader.</w:t>
      </w:r>
    </w:p>
    <w:p w:rsidR="00693168" w:rsidRDefault="003A76CD" w:rsidP="00693168">
      <w:pPr>
        <w:pStyle w:val="ANormal"/>
      </w:pPr>
      <w:r>
        <w:tab/>
      </w:r>
      <w:r w:rsidR="00693168">
        <w:t>Finansieringen kunde bestå av egna medel eller lån som tagits upp, b</w:t>
      </w:r>
      <w:r w:rsidR="00693168">
        <w:t>i</w:t>
      </w:r>
      <w:r w:rsidR="00693168">
        <w:t>drag som kandidaten har fått eller bidrag som partierna har fått. Som bidrag räknas prestationer i pengar, varor och tjänster.</w:t>
      </w:r>
    </w:p>
    <w:p w:rsidR="00693168" w:rsidRDefault="003A76CD" w:rsidP="00693168">
      <w:pPr>
        <w:pStyle w:val="ANormal"/>
      </w:pPr>
      <w:r>
        <w:tab/>
      </w:r>
      <w:r w:rsidR="00693168">
        <w:t xml:space="preserve">En kandidat får inte av en enskild givare ta emot bidrag som överstiger 3 000 euro. Ett parti får inte ta emot bidrag till ett värde som överstiger 30 000 euro per kalenderår. Det </w:t>
      </w:r>
      <w:r w:rsidR="00F93FB1">
        <w:t>ska</w:t>
      </w:r>
      <w:r w:rsidR="00693168">
        <w:t xml:space="preserve"> framgå vem som betalar avgiftsbelagd reklam. Om bidraget utgör 500 euro eller mer ska dess givare redovisas. För ett partis del ska givare redovisas om bidraget är 1 000 euro eller mer.</w:t>
      </w:r>
      <w:r>
        <w:t xml:space="preserve"> </w:t>
      </w:r>
      <w:r w:rsidR="00693168">
        <w:t>Om lån tagits upp ska redovisningen innehålla en plan för återbetalning av lånet.</w:t>
      </w:r>
    </w:p>
    <w:p w:rsidR="00693168" w:rsidRDefault="00693168" w:rsidP="00693168">
      <w:pPr>
        <w:pStyle w:val="ANormal"/>
      </w:pPr>
    </w:p>
    <w:p w:rsidR="00693168" w:rsidRPr="003D67BD" w:rsidRDefault="00693168" w:rsidP="00693168">
      <w:pPr>
        <w:pStyle w:val="RubrikA"/>
      </w:pPr>
      <w:bookmarkStart w:id="5" w:name="_Toc324159242"/>
      <w:r w:rsidRPr="003D67BD">
        <w:t>Övrigt</w:t>
      </w:r>
      <w:bookmarkEnd w:id="5"/>
    </w:p>
    <w:p w:rsidR="00693168" w:rsidRPr="00693168" w:rsidRDefault="00693168" w:rsidP="00693168">
      <w:pPr>
        <w:pStyle w:val="RubrikA"/>
        <w:jc w:val="both"/>
        <w:rPr>
          <w:sz w:val="10"/>
          <w:szCs w:val="10"/>
        </w:rPr>
      </w:pPr>
    </w:p>
    <w:p w:rsidR="00693168" w:rsidRDefault="00693168" w:rsidP="00693168">
      <w:pPr>
        <w:pStyle w:val="ANormal"/>
      </w:pPr>
      <w:r>
        <w:t xml:space="preserve">Senast </w:t>
      </w:r>
      <w:r w:rsidR="00342D8E">
        <w:t>inför kommande val överväger</w:t>
      </w:r>
      <w:r>
        <w:t xml:space="preserve"> landskapsregeringen att ta ställning till i vilken utsträckning vitesförförfarandet ska tillämpas för dem som u</w:t>
      </w:r>
      <w:r>
        <w:t>n</w:t>
      </w:r>
      <w:r>
        <w:t>derlåter att lämna valfinansieringsredovisningar och på vilket sätt vitesfö</w:t>
      </w:r>
      <w:r>
        <w:t>r</w:t>
      </w:r>
      <w:r>
        <w:t>farandet då ska förverkligas i praktiken.</w:t>
      </w:r>
      <w:r w:rsidR="00F93FB1">
        <w:t xml:space="preserve"> </w:t>
      </w:r>
      <w:r w:rsidR="00E6185E">
        <w:t>Likaså överväger</w:t>
      </w:r>
      <w:r>
        <w:t xml:space="preserve"> landskapsreg</w:t>
      </w:r>
      <w:r>
        <w:t>e</w:t>
      </w:r>
      <w:r>
        <w:t>ring</w:t>
      </w:r>
      <w:r w:rsidR="00C50B68">
        <w:t>en</w:t>
      </w:r>
      <w:r>
        <w:t xml:space="preserve"> att uppdra åt de kommunala kanslierna att elektroniskt översända kompletta redovisningar för de redovisningsskyldiga i de respektive ko</w:t>
      </w:r>
      <w:r>
        <w:t>m</w:t>
      </w:r>
      <w:r>
        <w:t>munerna.</w:t>
      </w:r>
    </w:p>
    <w:p w:rsidR="00693168" w:rsidRDefault="00F93FB1" w:rsidP="00693168">
      <w:pPr>
        <w:pStyle w:val="ANormal"/>
      </w:pPr>
      <w:r>
        <w:tab/>
      </w:r>
      <w:r w:rsidR="00693168">
        <w:t>Vid landskapsregeringens kansliavdelning har bostadslåneinspektör Sten Eriksson varit förordnad att ansvara för myndighetens valadministra</w:t>
      </w:r>
      <w:r w:rsidR="00693168">
        <w:t>t</w:t>
      </w:r>
      <w:r w:rsidR="00693168">
        <w:t>ion och han har även utarbetat anvisningar om redovisning av valfinansi</w:t>
      </w:r>
      <w:r w:rsidR="00693168">
        <w:t>e</w:t>
      </w:r>
      <w:r w:rsidR="00693168">
        <w:t>ring.</w:t>
      </w:r>
      <w:r>
        <w:t xml:space="preserve"> </w:t>
      </w:r>
      <w:r w:rsidR="00693168">
        <w:t xml:space="preserve">IT-chef Ronny Lundström, vid landskapsregeringens finansavdelning, har </w:t>
      </w:r>
      <w:proofErr w:type="gramStart"/>
      <w:r w:rsidR="00693168">
        <w:t>ombesörjt</w:t>
      </w:r>
      <w:proofErr w:type="gramEnd"/>
      <w:r w:rsidR="00693168">
        <w:t xml:space="preserve"> att uppgifter i olika skeden har publicerats på webbadressen</w:t>
      </w:r>
      <w:r w:rsidR="00693168" w:rsidRPr="003A76CD">
        <w:rPr>
          <w:u w:val="single"/>
        </w:rPr>
        <w:t xml:space="preserve"> </w:t>
      </w:r>
      <w:hyperlink r:id="rId19" w:history="1">
        <w:r w:rsidR="00693168" w:rsidRPr="003A76CD">
          <w:rPr>
            <w:rStyle w:val="Hyperlnk"/>
            <w:u w:val="single"/>
          </w:rPr>
          <w:t>www.val.ax</w:t>
        </w:r>
      </w:hyperlink>
      <w:r w:rsidR="003A76CD">
        <w:rPr>
          <w:rStyle w:val="Hyperlnk"/>
        </w:rPr>
        <w:t>.</w:t>
      </w:r>
      <w:r w:rsidR="00693168">
        <w:t xml:space="preserve"> </w:t>
      </w:r>
    </w:p>
    <w:p w:rsidR="000E14E2" w:rsidRDefault="000E14E2" w:rsidP="00693168">
      <w:pPr>
        <w:pStyle w:val="ANormal"/>
      </w:pPr>
    </w:p>
    <w:p w:rsidR="000E14E2" w:rsidRDefault="000E14E2" w:rsidP="00693168">
      <w:pPr>
        <w:pStyle w:val="ANormal"/>
      </w:pPr>
    </w:p>
    <w:p w:rsidR="000E14E2" w:rsidRDefault="000E14E2" w:rsidP="00693168">
      <w:pPr>
        <w:pStyle w:val="ANormal"/>
      </w:pPr>
    </w:p>
    <w:p w:rsidR="00850D2A" w:rsidRDefault="00850D2A">
      <w:pPr>
        <w:pStyle w:val="ANormal"/>
      </w:pPr>
    </w:p>
    <w:sectPr w:rsidR="00850D2A">
      <w:headerReference w:type="even" r:id="rId20"/>
      <w:headerReference w:type="default" r:id="rId21"/>
      <w:footerReference w:type="default" r:id="rId22"/>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5">
      <wne:acd wne:acdName="acd2"/>
    </wne:keymap>
    <wne:keymap wne:kcmPrimary="0451">
      <wne:acd wne:acdName="acd0"/>
    </wne:keymap>
    <wne:keymap wne:kcmPrimary="0452">
      <wne:acd wne:acdName="acd3"/>
    </wne:keymap>
    <wne:keymap wne:kcmPrimary="0457">
      <wne:acd wne:acdName="acd1"/>
    </wne:keymap>
    <wne:keymap wne:kcmPrimary="045A">
      <wne:acd wne:acdName="acd4"/>
    </wne:keymap>
  </wne:keymaps>
  <wne:toolbars>
    <wne:acdManifest>
      <wne:acdEntry wne:acdName="acd0"/>
      <wne:acdEntry wne:acdName="acd1"/>
      <wne:acdEntry wne:acdName="acd2"/>
      <wne:acdEntry wne:acdName="acd3"/>
      <wne:acdEntry wne:acdName="acd4"/>
    </wne:acdManifest>
  </wne:toolbars>
  <wne:acds>
    <wne:acd wne:argValue="AgBSAHUAYgByAGkAawBBAA==" wne:acdName="acd0" wne:fciIndexBasedOn="0065"/>
    <wne:acd wne:argValue="AgBSAHUAYgByAGkAawBCAA==" wne:acdName="acd1" wne:fciIndexBasedOn="0065"/>
    <wne:acd wne:argValue="AgBSAHUAYgByAGkAawBDAA==" wne:acdName="acd2" wne:fciIndexBasedOn="0065"/>
    <wne:acd wne:argValue="AgBSAHUAYgByAGkAawBEAA==" wne:acdName="acd3" wne:fciIndexBasedOn="0065"/>
    <wne:acd wne:argValue="AgBBAE4AbwByAG0AYQBs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6D" w:rsidRDefault="0055496D">
      <w:r>
        <w:separator/>
      </w:r>
    </w:p>
  </w:endnote>
  <w:endnote w:type="continuationSeparator" w:id="0">
    <w:p w:rsidR="0055496D" w:rsidRDefault="005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6D" w:rsidRDefault="0055496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6D" w:rsidRDefault="00F4430F">
    <w:pPr>
      <w:pStyle w:val="Sidfot"/>
      <w:rPr>
        <w:lang w:val="fi-FI"/>
      </w:rPr>
    </w:pPr>
    <w:r>
      <w:t>LB0120112012</w:t>
    </w:r>
    <w:r>
      <w:rPr>
        <w:lang w:val="fi-F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0F" w:rsidRDefault="00F4430F">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6D" w:rsidRDefault="005549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6D" w:rsidRDefault="0055496D">
      <w:r>
        <w:separator/>
      </w:r>
    </w:p>
  </w:footnote>
  <w:footnote w:type="continuationSeparator" w:id="0">
    <w:p w:rsidR="0055496D" w:rsidRDefault="0055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0F" w:rsidRDefault="00F443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0F" w:rsidRDefault="00F4430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0F" w:rsidRDefault="00F4430F">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6D" w:rsidRDefault="0055496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24FC2">
      <w:rPr>
        <w:rStyle w:val="Sidnummer"/>
        <w:noProof/>
      </w:rPr>
      <w:t>4</w:t>
    </w:r>
    <w:r>
      <w:rPr>
        <w:rStyle w:val="Sidnummer"/>
      </w:rPr>
      <w:fldChar w:fldCharType="end"/>
    </w:r>
  </w:p>
  <w:p w:rsidR="0055496D" w:rsidRDefault="0055496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6D" w:rsidRDefault="0055496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24FC2">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D2A"/>
    <w:rsid w:val="00004841"/>
    <w:rsid w:val="00037B1E"/>
    <w:rsid w:val="000E14E2"/>
    <w:rsid w:val="00106F79"/>
    <w:rsid w:val="00251704"/>
    <w:rsid w:val="00304390"/>
    <w:rsid w:val="00323D54"/>
    <w:rsid w:val="003328B3"/>
    <w:rsid w:val="00342D8E"/>
    <w:rsid w:val="003A3B8B"/>
    <w:rsid w:val="003A76CD"/>
    <w:rsid w:val="004615FB"/>
    <w:rsid w:val="004925F4"/>
    <w:rsid w:val="005047CF"/>
    <w:rsid w:val="00546307"/>
    <w:rsid w:val="0055496D"/>
    <w:rsid w:val="005D1647"/>
    <w:rsid w:val="00693168"/>
    <w:rsid w:val="006F4626"/>
    <w:rsid w:val="00724FC2"/>
    <w:rsid w:val="007737ED"/>
    <w:rsid w:val="007A0368"/>
    <w:rsid w:val="007B7D36"/>
    <w:rsid w:val="00850D2A"/>
    <w:rsid w:val="00864FA6"/>
    <w:rsid w:val="008B67EC"/>
    <w:rsid w:val="009069E2"/>
    <w:rsid w:val="00A67416"/>
    <w:rsid w:val="00BA17A9"/>
    <w:rsid w:val="00C50B68"/>
    <w:rsid w:val="00C9093B"/>
    <w:rsid w:val="00CB6FBA"/>
    <w:rsid w:val="00D12A5A"/>
    <w:rsid w:val="00D45699"/>
    <w:rsid w:val="00DE6CB7"/>
    <w:rsid w:val="00DF44EA"/>
    <w:rsid w:val="00E203B7"/>
    <w:rsid w:val="00E6185E"/>
    <w:rsid w:val="00EB544A"/>
    <w:rsid w:val="00F305D6"/>
    <w:rsid w:val="00F4430F"/>
    <w:rsid w:val="00F93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3A76CD"/>
    <w:rPr>
      <w:rFonts w:ascii="Tahoma" w:hAnsi="Tahoma" w:cs="Tahoma"/>
      <w:sz w:val="16"/>
      <w:szCs w:val="16"/>
    </w:rPr>
  </w:style>
  <w:style w:type="character" w:customStyle="1" w:styleId="BallongtextChar">
    <w:name w:val="Ballongtext Char"/>
    <w:basedOn w:val="Standardstycketeckensnitt"/>
    <w:link w:val="Ballongtext"/>
    <w:uiPriority w:val="99"/>
    <w:semiHidden/>
    <w:rsid w:val="003A7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val.ax"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val.a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val.a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8718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Landskapsregeringens berättelse 1/2011-2012</vt:lpstr>
    </vt:vector>
  </TitlesOfParts>
  <Company>LR</Company>
  <LinksUpToDate>false</LinksUpToDate>
  <CharactersWithSpaces>10342</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berättelse 1/2011-2012</dc:title>
  <dc:creator>LR</dc:creator>
  <cp:lastModifiedBy>Annette Gammals</cp:lastModifiedBy>
  <cp:revision>2</cp:revision>
  <cp:lastPrinted>2012-05-24T08:12:00Z</cp:lastPrinted>
  <dcterms:created xsi:type="dcterms:W3CDTF">2012-05-25T07:32:00Z</dcterms:created>
  <dcterms:modified xsi:type="dcterms:W3CDTF">2012-05-25T07:32:00Z</dcterms:modified>
</cp:coreProperties>
</file>