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2401D0">
        <w:trPr>
          <w:cantSplit/>
          <w:trHeight w:val="20"/>
        </w:trPr>
        <w:tc>
          <w:tcPr>
            <w:tcW w:w="861" w:type="dxa"/>
            <w:vMerge w:val="restart"/>
          </w:tcPr>
          <w:p w:rsidR="002401D0" w:rsidRDefault="002401D0">
            <w:pPr>
              <w:pStyle w:val="xLedtext"/>
              <w:rPr>
                <w:noProof/>
              </w:rPr>
            </w:pPr>
            <w:bookmarkStart w:id="0" w:name="_top"/>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5pt;height:53.9pt;mso-wrap-edited:f" wrapcoords="-408 0 -408 21316 21600 21316 21600 0 -408 0" o:allowoverlap="f">
                  <v:imagedata r:id="rId7" o:title="LSvapen"/>
                </v:shape>
              </w:pict>
            </w:r>
          </w:p>
        </w:tc>
        <w:tc>
          <w:tcPr>
            <w:tcW w:w="8736" w:type="dxa"/>
            <w:gridSpan w:val="3"/>
            <w:vAlign w:val="bottom"/>
          </w:tcPr>
          <w:p w:rsidR="002401D0" w:rsidRDefault="002401D0">
            <w:pPr>
              <w:pStyle w:val="xMellanrum"/>
            </w:pPr>
            <w:r>
              <w:pict>
                <v:shape id="_x0000_i1026" type="#_x0000_t75" style="width:3.55pt;height:3.55pt">
                  <v:imagedata r:id="rId8" o:title="5x5px"/>
                </v:shape>
              </w:pict>
            </w:r>
          </w:p>
        </w:tc>
      </w:tr>
      <w:tr w:rsidR="002401D0">
        <w:trPr>
          <w:cantSplit/>
          <w:trHeight w:val="299"/>
        </w:trPr>
        <w:tc>
          <w:tcPr>
            <w:tcW w:w="861" w:type="dxa"/>
            <w:vMerge/>
          </w:tcPr>
          <w:p w:rsidR="002401D0" w:rsidRDefault="002401D0">
            <w:pPr>
              <w:pStyle w:val="xLedtext"/>
            </w:pPr>
          </w:p>
        </w:tc>
        <w:tc>
          <w:tcPr>
            <w:tcW w:w="4448" w:type="dxa"/>
            <w:vAlign w:val="bottom"/>
          </w:tcPr>
          <w:p w:rsidR="002401D0" w:rsidRDefault="002401D0">
            <w:pPr>
              <w:pStyle w:val="xAvsandare1"/>
            </w:pPr>
            <w:r>
              <w:t>Ålands lagting</w:t>
            </w:r>
          </w:p>
        </w:tc>
        <w:tc>
          <w:tcPr>
            <w:tcW w:w="4288" w:type="dxa"/>
            <w:gridSpan w:val="2"/>
            <w:vAlign w:val="bottom"/>
          </w:tcPr>
          <w:p w:rsidR="002401D0" w:rsidRDefault="00712DAB">
            <w:pPr>
              <w:pStyle w:val="xDokTypNr"/>
            </w:pPr>
            <w:r>
              <w:t>BETÄNKANDE nr 5</w:t>
            </w:r>
            <w:r w:rsidR="002401D0">
              <w:t>/20</w:t>
            </w:r>
            <w:r w:rsidR="00723B93">
              <w:t>10</w:t>
            </w:r>
            <w:r w:rsidR="0015337C">
              <w:t>-20</w:t>
            </w:r>
            <w:r w:rsidR="009F7CE2">
              <w:t>1</w:t>
            </w:r>
            <w:r w:rsidR="00723B93">
              <w:t>1</w:t>
            </w:r>
          </w:p>
        </w:tc>
      </w:tr>
      <w:tr w:rsidR="002401D0">
        <w:trPr>
          <w:cantSplit/>
          <w:trHeight w:val="238"/>
        </w:trPr>
        <w:tc>
          <w:tcPr>
            <w:tcW w:w="861" w:type="dxa"/>
            <w:vMerge/>
          </w:tcPr>
          <w:p w:rsidR="002401D0" w:rsidRDefault="002401D0">
            <w:pPr>
              <w:pStyle w:val="xLedtext"/>
            </w:pPr>
          </w:p>
        </w:tc>
        <w:tc>
          <w:tcPr>
            <w:tcW w:w="4448" w:type="dxa"/>
            <w:vAlign w:val="bottom"/>
          </w:tcPr>
          <w:p w:rsidR="002401D0" w:rsidRDefault="002401D0">
            <w:pPr>
              <w:pStyle w:val="xLedtext"/>
            </w:pPr>
          </w:p>
        </w:tc>
        <w:tc>
          <w:tcPr>
            <w:tcW w:w="1725" w:type="dxa"/>
            <w:vAlign w:val="bottom"/>
          </w:tcPr>
          <w:p w:rsidR="002401D0" w:rsidRDefault="002401D0">
            <w:pPr>
              <w:pStyle w:val="xLedtext"/>
            </w:pPr>
            <w:r>
              <w:t>Datum</w:t>
            </w:r>
          </w:p>
        </w:tc>
        <w:tc>
          <w:tcPr>
            <w:tcW w:w="2563" w:type="dxa"/>
            <w:vAlign w:val="bottom"/>
          </w:tcPr>
          <w:p w:rsidR="002401D0" w:rsidRDefault="002401D0">
            <w:pPr>
              <w:pStyle w:val="xLedtext"/>
            </w:pPr>
          </w:p>
        </w:tc>
      </w:tr>
      <w:tr w:rsidR="002401D0">
        <w:trPr>
          <w:cantSplit/>
          <w:trHeight w:val="238"/>
        </w:trPr>
        <w:tc>
          <w:tcPr>
            <w:tcW w:w="861" w:type="dxa"/>
            <w:vMerge/>
          </w:tcPr>
          <w:p w:rsidR="002401D0" w:rsidRDefault="002401D0">
            <w:pPr>
              <w:pStyle w:val="xAvsandare2"/>
            </w:pPr>
          </w:p>
        </w:tc>
        <w:tc>
          <w:tcPr>
            <w:tcW w:w="4448" w:type="dxa"/>
            <w:vAlign w:val="center"/>
          </w:tcPr>
          <w:p w:rsidR="002401D0" w:rsidRDefault="00290D4E">
            <w:pPr>
              <w:pStyle w:val="xAvsandare2"/>
            </w:pPr>
            <w:r>
              <w:t>Kultur</w:t>
            </w:r>
            <w:r w:rsidR="002401D0">
              <w:t>utskottet</w:t>
            </w:r>
          </w:p>
        </w:tc>
        <w:tc>
          <w:tcPr>
            <w:tcW w:w="1725" w:type="dxa"/>
            <w:vAlign w:val="center"/>
          </w:tcPr>
          <w:p w:rsidR="002401D0" w:rsidRDefault="002401D0" w:rsidP="00712DAB">
            <w:pPr>
              <w:pStyle w:val="xDatum1"/>
            </w:pPr>
            <w:r>
              <w:t>20</w:t>
            </w:r>
            <w:r w:rsidR="00290D4E">
              <w:t>11</w:t>
            </w:r>
            <w:r>
              <w:t>-</w:t>
            </w:r>
            <w:r w:rsidR="00712DAB">
              <w:t>06</w:t>
            </w:r>
            <w:r>
              <w:t>-</w:t>
            </w:r>
            <w:r w:rsidR="00712DAB">
              <w:t>01</w:t>
            </w:r>
          </w:p>
        </w:tc>
        <w:tc>
          <w:tcPr>
            <w:tcW w:w="2563" w:type="dxa"/>
            <w:vAlign w:val="center"/>
          </w:tcPr>
          <w:p w:rsidR="002401D0" w:rsidRDefault="002401D0">
            <w:pPr>
              <w:pStyle w:val="xBeteckning1"/>
            </w:pPr>
          </w:p>
        </w:tc>
      </w:tr>
      <w:tr w:rsidR="002401D0">
        <w:trPr>
          <w:cantSplit/>
          <w:trHeight w:val="238"/>
        </w:trPr>
        <w:tc>
          <w:tcPr>
            <w:tcW w:w="861" w:type="dxa"/>
            <w:vMerge/>
          </w:tcPr>
          <w:p w:rsidR="002401D0" w:rsidRDefault="002401D0">
            <w:pPr>
              <w:pStyle w:val="xLedtext"/>
            </w:pPr>
          </w:p>
        </w:tc>
        <w:tc>
          <w:tcPr>
            <w:tcW w:w="4448" w:type="dxa"/>
            <w:vAlign w:val="bottom"/>
          </w:tcPr>
          <w:p w:rsidR="002401D0" w:rsidRDefault="002401D0">
            <w:pPr>
              <w:pStyle w:val="xLedtext"/>
            </w:pPr>
          </w:p>
        </w:tc>
        <w:tc>
          <w:tcPr>
            <w:tcW w:w="1725" w:type="dxa"/>
            <w:vAlign w:val="bottom"/>
          </w:tcPr>
          <w:p w:rsidR="002401D0" w:rsidRDefault="002401D0">
            <w:pPr>
              <w:pStyle w:val="xLedtext"/>
            </w:pPr>
          </w:p>
        </w:tc>
        <w:tc>
          <w:tcPr>
            <w:tcW w:w="2563" w:type="dxa"/>
            <w:vAlign w:val="bottom"/>
          </w:tcPr>
          <w:p w:rsidR="002401D0" w:rsidRDefault="002401D0">
            <w:pPr>
              <w:pStyle w:val="xLedtext"/>
            </w:pPr>
          </w:p>
        </w:tc>
      </w:tr>
      <w:tr w:rsidR="002401D0">
        <w:trPr>
          <w:cantSplit/>
          <w:trHeight w:val="238"/>
        </w:trPr>
        <w:tc>
          <w:tcPr>
            <w:tcW w:w="861" w:type="dxa"/>
            <w:vMerge/>
            <w:tcBorders>
              <w:bottom w:val="single" w:sz="4" w:space="0" w:color="auto"/>
            </w:tcBorders>
          </w:tcPr>
          <w:p w:rsidR="002401D0" w:rsidRDefault="002401D0">
            <w:pPr>
              <w:pStyle w:val="xAvsandare3"/>
            </w:pPr>
          </w:p>
        </w:tc>
        <w:tc>
          <w:tcPr>
            <w:tcW w:w="4448" w:type="dxa"/>
            <w:tcBorders>
              <w:bottom w:val="single" w:sz="4" w:space="0" w:color="auto"/>
            </w:tcBorders>
            <w:vAlign w:val="center"/>
          </w:tcPr>
          <w:p w:rsidR="002401D0" w:rsidRDefault="002401D0">
            <w:pPr>
              <w:pStyle w:val="xAvsandare3"/>
            </w:pPr>
          </w:p>
        </w:tc>
        <w:tc>
          <w:tcPr>
            <w:tcW w:w="1725" w:type="dxa"/>
            <w:tcBorders>
              <w:bottom w:val="single" w:sz="4" w:space="0" w:color="auto"/>
            </w:tcBorders>
            <w:vAlign w:val="center"/>
          </w:tcPr>
          <w:p w:rsidR="002401D0" w:rsidRDefault="002401D0">
            <w:pPr>
              <w:pStyle w:val="xDatum2"/>
            </w:pPr>
          </w:p>
        </w:tc>
        <w:tc>
          <w:tcPr>
            <w:tcW w:w="2563" w:type="dxa"/>
            <w:tcBorders>
              <w:bottom w:val="single" w:sz="4" w:space="0" w:color="auto"/>
            </w:tcBorders>
            <w:vAlign w:val="center"/>
          </w:tcPr>
          <w:p w:rsidR="002401D0" w:rsidRDefault="002401D0">
            <w:pPr>
              <w:pStyle w:val="xBeteckning2"/>
            </w:pPr>
          </w:p>
        </w:tc>
      </w:tr>
      <w:tr w:rsidR="002401D0">
        <w:trPr>
          <w:cantSplit/>
          <w:trHeight w:val="238"/>
        </w:trPr>
        <w:tc>
          <w:tcPr>
            <w:tcW w:w="861" w:type="dxa"/>
            <w:tcBorders>
              <w:top w:val="single" w:sz="4" w:space="0" w:color="auto"/>
            </w:tcBorders>
            <w:vAlign w:val="bottom"/>
          </w:tcPr>
          <w:p w:rsidR="002401D0" w:rsidRDefault="002401D0">
            <w:pPr>
              <w:pStyle w:val="xLedtext"/>
            </w:pPr>
          </w:p>
        </w:tc>
        <w:tc>
          <w:tcPr>
            <w:tcW w:w="4448" w:type="dxa"/>
            <w:tcBorders>
              <w:top w:val="single" w:sz="4" w:space="0" w:color="auto"/>
            </w:tcBorders>
            <w:vAlign w:val="bottom"/>
          </w:tcPr>
          <w:p w:rsidR="002401D0" w:rsidRDefault="002401D0">
            <w:pPr>
              <w:pStyle w:val="xLedtext"/>
            </w:pPr>
          </w:p>
        </w:tc>
        <w:tc>
          <w:tcPr>
            <w:tcW w:w="4288" w:type="dxa"/>
            <w:gridSpan w:val="2"/>
            <w:tcBorders>
              <w:top w:val="single" w:sz="4" w:space="0" w:color="auto"/>
            </w:tcBorders>
            <w:vAlign w:val="bottom"/>
          </w:tcPr>
          <w:p w:rsidR="002401D0" w:rsidRDefault="002401D0">
            <w:pPr>
              <w:pStyle w:val="xLedtext"/>
            </w:pPr>
          </w:p>
        </w:tc>
      </w:tr>
      <w:tr w:rsidR="002401D0">
        <w:trPr>
          <w:cantSplit/>
          <w:trHeight w:val="238"/>
        </w:trPr>
        <w:tc>
          <w:tcPr>
            <w:tcW w:w="861" w:type="dxa"/>
          </w:tcPr>
          <w:p w:rsidR="002401D0" w:rsidRDefault="002401D0">
            <w:pPr>
              <w:pStyle w:val="xCelltext"/>
            </w:pPr>
          </w:p>
        </w:tc>
        <w:tc>
          <w:tcPr>
            <w:tcW w:w="4448" w:type="dxa"/>
            <w:vMerge w:val="restart"/>
          </w:tcPr>
          <w:p w:rsidR="002401D0" w:rsidRDefault="002401D0">
            <w:pPr>
              <w:pStyle w:val="xMottagare1"/>
            </w:pPr>
            <w:r>
              <w:t>Till Ålands lagting</w:t>
            </w:r>
          </w:p>
        </w:tc>
        <w:tc>
          <w:tcPr>
            <w:tcW w:w="4288" w:type="dxa"/>
            <w:gridSpan w:val="2"/>
            <w:vMerge w:val="restart"/>
          </w:tcPr>
          <w:p w:rsidR="002401D0" w:rsidRDefault="002401D0">
            <w:pPr>
              <w:pStyle w:val="xMottagare1"/>
              <w:tabs>
                <w:tab w:val="left" w:pos="2349"/>
              </w:tabs>
            </w:pPr>
          </w:p>
        </w:tc>
      </w:tr>
      <w:tr w:rsidR="002401D0">
        <w:trPr>
          <w:cantSplit/>
          <w:trHeight w:val="238"/>
        </w:trPr>
        <w:tc>
          <w:tcPr>
            <w:tcW w:w="861" w:type="dxa"/>
          </w:tcPr>
          <w:p w:rsidR="002401D0" w:rsidRDefault="002401D0">
            <w:pPr>
              <w:pStyle w:val="xCelltext"/>
            </w:pPr>
          </w:p>
        </w:tc>
        <w:tc>
          <w:tcPr>
            <w:tcW w:w="4448" w:type="dxa"/>
            <w:vMerge/>
            <w:vAlign w:val="center"/>
          </w:tcPr>
          <w:p w:rsidR="002401D0" w:rsidRDefault="002401D0">
            <w:pPr>
              <w:pStyle w:val="xCelltext"/>
            </w:pPr>
          </w:p>
        </w:tc>
        <w:tc>
          <w:tcPr>
            <w:tcW w:w="4288" w:type="dxa"/>
            <w:gridSpan w:val="2"/>
            <w:vMerge/>
            <w:vAlign w:val="center"/>
          </w:tcPr>
          <w:p w:rsidR="002401D0" w:rsidRDefault="002401D0">
            <w:pPr>
              <w:pStyle w:val="xCelltext"/>
            </w:pPr>
          </w:p>
        </w:tc>
      </w:tr>
      <w:tr w:rsidR="002401D0">
        <w:trPr>
          <w:cantSplit/>
          <w:trHeight w:val="238"/>
        </w:trPr>
        <w:tc>
          <w:tcPr>
            <w:tcW w:w="861" w:type="dxa"/>
          </w:tcPr>
          <w:p w:rsidR="002401D0" w:rsidRDefault="002401D0">
            <w:pPr>
              <w:pStyle w:val="xCelltext"/>
            </w:pPr>
          </w:p>
        </w:tc>
        <w:tc>
          <w:tcPr>
            <w:tcW w:w="4448" w:type="dxa"/>
            <w:vMerge/>
            <w:vAlign w:val="center"/>
          </w:tcPr>
          <w:p w:rsidR="002401D0" w:rsidRDefault="002401D0">
            <w:pPr>
              <w:pStyle w:val="xCelltext"/>
            </w:pPr>
          </w:p>
        </w:tc>
        <w:tc>
          <w:tcPr>
            <w:tcW w:w="4288" w:type="dxa"/>
            <w:gridSpan w:val="2"/>
            <w:vMerge/>
            <w:vAlign w:val="center"/>
          </w:tcPr>
          <w:p w:rsidR="002401D0" w:rsidRDefault="002401D0">
            <w:pPr>
              <w:pStyle w:val="xCelltext"/>
            </w:pPr>
          </w:p>
        </w:tc>
      </w:tr>
      <w:tr w:rsidR="002401D0">
        <w:trPr>
          <w:cantSplit/>
          <w:trHeight w:val="238"/>
        </w:trPr>
        <w:tc>
          <w:tcPr>
            <w:tcW w:w="861" w:type="dxa"/>
          </w:tcPr>
          <w:p w:rsidR="002401D0" w:rsidRDefault="002401D0">
            <w:pPr>
              <w:pStyle w:val="xCelltext"/>
            </w:pPr>
          </w:p>
        </w:tc>
        <w:tc>
          <w:tcPr>
            <w:tcW w:w="4448" w:type="dxa"/>
            <w:vMerge/>
            <w:vAlign w:val="center"/>
          </w:tcPr>
          <w:p w:rsidR="002401D0" w:rsidRDefault="002401D0">
            <w:pPr>
              <w:pStyle w:val="xCelltext"/>
            </w:pPr>
          </w:p>
        </w:tc>
        <w:tc>
          <w:tcPr>
            <w:tcW w:w="4288" w:type="dxa"/>
            <w:gridSpan w:val="2"/>
            <w:vMerge/>
            <w:vAlign w:val="center"/>
          </w:tcPr>
          <w:p w:rsidR="002401D0" w:rsidRDefault="002401D0">
            <w:pPr>
              <w:pStyle w:val="xCelltext"/>
            </w:pPr>
          </w:p>
        </w:tc>
      </w:tr>
      <w:tr w:rsidR="002401D0">
        <w:trPr>
          <w:cantSplit/>
          <w:trHeight w:val="238"/>
        </w:trPr>
        <w:tc>
          <w:tcPr>
            <w:tcW w:w="861" w:type="dxa"/>
          </w:tcPr>
          <w:p w:rsidR="002401D0" w:rsidRDefault="002401D0">
            <w:pPr>
              <w:pStyle w:val="xCelltext"/>
            </w:pPr>
          </w:p>
        </w:tc>
        <w:tc>
          <w:tcPr>
            <w:tcW w:w="4448" w:type="dxa"/>
            <w:vMerge/>
            <w:vAlign w:val="center"/>
          </w:tcPr>
          <w:p w:rsidR="002401D0" w:rsidRDefault="002401D0">
            <w:pPr>
              <w:pStyle w:val="xCelltext"/>
            </w:pPr>
          </w:p>
        </w:tc>
        <w:tc>
          <w:tcPr>
            <w:tcW w:w="4288" w:type="dxa"/>
            <w:gridSpan w:val="2"/>
            <w:vMerge/>
            <w:vAlign w:val="center"/>
          </w:tcPr>
          <w:p w:rsidR="002401D0" w:rsidRDefault="002401D0">
            <w:pPr>
              <w:pStyle w:val="xCelltext"/>
            </w:pPr>
          </w:p>
        </w:tc>
      </w:tr>
    </w:tbl>
    <w:p w:rsidR="002401D0" w:rsidRDefault="002401D0">
      <w:pPr>
        <w:rPr>
          <w:b/>
          <w:bCs/>
        </w:rPr>
        <w:sectPr w:rsidR="002401D0">
          <w:footerReference w:type="even" r:id="rId9"/>
          <w:footerReference w:type="default" r:id="rId10"/>
          <w:pgSz w:w="11906" w:h="16838" w:code="9"/>
          <w:pgMar w:top="567" w:right="1134" w:bottom="1134" w:left="1191" w:header="624" w:footer="737" w:gutter="0"/>
          <w:cols w:space="708"/>
          <w:docGrid w:linePitch="360"/>
        </w:sectPr>
      </w:pPr>
    </w:p>
    <w:p w:rsidR="002401D0" w:rsidRDefault="00290D4E">
      <w:pPr>
        <w:pStyle w:val="ArendeOverRubrik"/>
      </w:pPr>
      <w:r>
        <w:lastRenderedPageBreak/>
        <w:t>Kultur</w:t>
      </w:r>
      <w:r w:rsidR="002401D0">
        <w:t>utskottets betänkande</w:t>
      </w:r>
    </w:p>
    <w:p w:rsidR="002401D0" w:rsidRDefault="00290D4E">
      <w:pPr>
        <w:pStyle w:val="ArendeRubrik"/>
      </w:pPr>
      <w:r>
        <w:t>Ny lag om radio- och televisionsverksamhet</w:t>
      </w:r>
    </w:p>
    <w:p w:rsidR="002401D0" w:rsidRDefault="00BF6D96">
      <w:pPr>
        <w:pStyle w:val="ArendeUnderRubrik"/>
      </w:pPr>
      <w:hyperlink r:id="rId11" w:history="1">
        <w:r w:rsidR="00290D4E" w:rsidRPr="00BF6D96">
          <w:rPr>
            <w:rStyle w:val="Hyperlnk"/>
          </w:rPr>
          <w:t>Landskapsregeringens framställning nr 17/2010-2011</w:t>
        </w:r>
      </w:hyperlink>
      <w:bookmarkStart w:id="1" w:name="_GoBack"/>
      <w:bookmarkEnd w:id="1"/>
    </w:p>
    <w:p w:rsidR="002401D0" w:rsidRDefault="002401D0">
      <w:pPr>
        <w:pStyle w:val="ANormal"/>
      </w:pPr>
    </w:p>
    <w:p w:rsidR="002401D0" w:rsidRDefault="002401D0">
      <w:pPr>
        <w:pStyle w:val="Innehll1"/>
      </w:pPr>
      <w:r>
        <w:t>INNEHÅLL</w:t>
      </w:r>
    </w:p>
    <w:p w:rsidR="003D5899" w:rsidRPr="00F03E18" w:rsidRDefault="002401D0">
      <w:pPr>
        <w:pStyle w:val="Innehll1"/>
        <w:rPr>
          <w:rFonts w:ascii="Calibri" w:hAnsi="Calibri"/>
          <w:sz w:val="22"/>
          <w:szCs w:val="22"/>
        </w:rPr>
      </w:pPr>
      <w:r>
        <w:fldChar w:fldCharType="begin"/>
      </w:r>
      <w:r>
        <w:instrText xml:space="preserve"> TOC \o "1-1" \h \z \t "Rubrik 2;2;Rubrik 3;3;RubrikB;2;RubrikC;3" </w:instrText>
      </w:r>
      <w:r>
        <w:fldChar w:fldCharType="separate"/>
      </w:r>
      <w:hyperlink w:anchor="_Toc295072176" w:history="1">
        <w:r w:rsidR="003D5899" w:rsidRPr="006D7569">
          <w:rPr>
            <w:rStyle w:val="Hyperlnk"/>
          </w:rPr>
          <w:t>Sammanfattning</w:t>
        </w:r>
        <w:r w:rsidR="003D5899">
          <w:rPr>
            <w:webHidden/>
          </w:rPr>
          <w:tab/>
        </w:r>
        <w:r w:rsidR="003D5899">
          <w:rPr>
            <w:webHidden/>
          </w:rPr>
          <w:fldChar w:fldCharType="begin"/>
        </w:r>
        <w:r w:rsidR="003D5899">
          <w:rPr>
            <w:webHidden/>
          </w:rPr>
          <w:instrText xml:space="preserve"> PAGEREF _Toc295072176 \h </w:instrText>
        </w:r>
        <w:r w:rsidR="003D5899">
          <w:rPr>
            <w:webHidden/>
          </w:rPr>
        </w:r>
        <w:r w:rsidR="003D5899">
          <w:rPr>
            <w:webHidden/>
          </w:rPr>
          <w:fldChar w:fldCharType="separate"/>
        </w:r>
        <w:r w:rsidR="0086451B">
          <w:rPr>
            <w:webHidden/>
          </w:rPr>
          <w:t>1</w:t>
        </w:r>
        <w:r w:rsidR="003D5899">
          <w:rPr>
            <w:webHidden/>
          </w:rPr>
          <w:fldChar w:fldCharType="end"/>
        </w:r>
      </w:hyperlink>
    </w:p>
    <w:p w:rsidR="003D5899" w:rsidRPr="00F03E18" w:rsidRDefault="003D5899">
      <w:pPr>
        <w:pStyle w:val="Innehll2"/>
        <w:rPr>
          <w:rFonts w:ascii="Calibri" w:hAnsi="Calibri"/>
          <w:sz w:val="22"/>
          <w:szCs w:val="22"/>
        </w:rPr>
      </w:pPr>
      <w:hyperlink w:anchor="_Toc295072177" w:history="1">
        <w:r w:rsidRPr="006D7569">
          <w:rPr>
            <w:rStyle w:val="Hyperlnk"/>
          </w:rPr>
          <w:t>Landskapsregeringens förslag</w:t>
        </w:r>
        <w:r>
          <w:rPr>
            <w:webHidden/>
          </w:rPr>
          <w:tab/>
        </w:r>
        <w:r>
          <w:rPr>
            <w:webHidden/>
          </w:rPr>
          <w:fldChar w:fldCharType="begin"/>
        </w:r>
        <w:r>
          <w:rPr>
            <w:webHidden/>
          </w:rPr>
          <w:instrText xml:space="preserve"> PAGEREF _Toc295072177 \h </w:instrText>
        </w:r>
        <w:r>
          <w:rPr>
            <w:webHidden/>
          </w:rPr>
        </w:r>
        <w:r>
          <w:rPr>
            <w:webHidden/>
          </w:rPr>
          <w:fldChar w:fldCharType="separate"/>
        </w:r>
        <w:r w:rsidR="0086451B">
          <w:rPr>
            <w:webHidden/>
          </w:rPr>
          <w:t>1</w:t>
        </w:r>
        <w:r>
          <w:rPr>
            <w:webHidden/>
          </w:rPr>
          <w:fldChar w:fldCharType="end"/>
        </w:r>
      </w:hyperlink>
    </w:p>
    <w:p w:rsidR="003D5899" w:rsidRPr="00F03E18" w:rsidRDefault="003D5899">
      <w:pPr>
        <w:pStyle w:val="Innehll2"/>
        <w:rPr>
          <w:rFonts w:ascii="Calibri" w:hAnsi="Calibri"/>
          <w:sz w:val="22"/>
          <w:szCs w:val="22"/>
        </w:rPr>
      </w:pPr>
      <w:hyperlink w:anchor="_Toc295072178" w:history="1">
        <w:r w:rsidRPr="006D7569">
          <w:rPr>
            <w:rStyle w:val="Hyperlnk"/>
          </w:rPr>
          <w:t>Utskottets förslag</w:t>
        </w:r>
        <w:r>
          <w:rPr>
            <w:webHidden/>
          </w:rPr>
          <w:tab/>
        </w:r>
        <w:r>
          <w:rPr>
            <w:webHidden/>
          </w:rPr>
          <w:fldChar w:fldCharType="begin"/>
        </w:r>
        <w:r>
          <w:rPr>
            <w:webHidden/>
          </w:rPr>
          <w:instrText xml:space="preserve"> PAGEREF _Toc295072178 \h </w:instrText>
        </w:r>
        <w:r>
          <w:rPr>
            <w:webHidden/>
          </w:rPr>
        </w:r>
        <w:r>
          <w:rPr>
            <w:webHidden/>
          </w:rPr>
          <w:fldChar w:fldCharType="separate"/>
        </w:r>
        <w:r w:rsidR="0086451B">
          <w:rPr>
            <w:webHidden/>
          </w:rPr>
          <w:t>1</w:t>
        </w:r>
        <w:r>
          <w:rPr>
            <w:webHidden/>
          </w:rPr>
          <w:fldChar w:fldCharType="end"/>
        </w:r>
      </w:hyperlink>
    </w:p>
    <w:p w:rsidR="003D5899" w:rsidRPr="00F03E18" w:rsidRDefault="003D5899">
      <w:pPr>
        <w:pStyle w:val="Innehll1"/>
        <w:rPr>
          <w:rFonts w:ascii="Calibri" w:hAnsi="Calibri"/>
          <w:sz w:val="22"/>
          <w:szCs w:val="22"/>
        </w:rPr>
      </w:pPr>
      <w:hyperlink w:anchor="_Toc295072179" w:history="1">
        <w:r w:rsidRPr="006D7569">
          <w:rPr>
            <w:rStyle w:val="Hyperlnk"/>
          </w:rPr>
          <w:t>Utskottets synpunkter</w:t>
        </w:r>
        <w:r>
          <w:rPr>
            <w:webHidden/>
          </w:rPr>
          <w:tab/>
        </w:r>
        <w:r>
          <w:rPr>
            <w:webHidden/>
          </w:rPr>
          <w:fldChar w:fldCharType="begin"/>
        </w:r>
        <w:r>
          <w:rPr>
            <w:webHidden/>
          </w:rPr>
          <w:instrText xml:space="preserve"> PAGEREF _Toc295072179 \h </w:instrText>
        </w:r>
        <w:r>
          <w:rPr>
            <w:webHidden/>
          </w:rPr>
        </w:r>
        <w:r>
          <w:rPr>
            <w:webHidden/>
          </w:rPr>
          <w:fldChar w:fldCharType="separate"/>
        </w:r>
        <w:r w:rsidR="0086451B">
          <w:rPr>
            <w:webHidden/>
          </w:rPr>
          <w:t>1</w:t>
        </w:r>
        <w:r>
          <w:rPr>
            <w:webHidden/>
          </w:rPr>
          <w:fldChar w:fldCharType="end"/>
        </w:r>
      </w:hyperlink>
    </w:p>
    <w:p w:rsidR="003D5899" w:rsidRPr="00F03E18" w:rsidRDefault="003D5899">
      <w:pPr>
        <w:pStyle w:val="Innehll1"/>
        <w:rPr>
          <w:rFonts w:ascii="Calibri" w:hAnsi="Calibri"/>
          <w:sz w:val="22"/>
          <w:szCs w:val="22"/>
        </w:rPr>
      </w:pPr>
      <w:hyperlink w:anchor="_Toc295072180" w:history="1">
        <w:r w:rsidRPr="006D7569">
          <w:rPr>
            <w:rStyle w:val="Hyperlnk"/>
          </w:rPr>
          <w:t>Ärendets behandling</w:t>
        </w:r>
        <w:r>
          <w:rPr>
            <w:webHidden/>
          </w:rPr>
          <w:tab/>
        </w:r>
        <w:r>
          <w:rPr>
            <w:webHidden/>
          </w:rPr>
          <w:fldChar w:fldCharType="begin"/>
        </w:r>
        <w:r>
          <w:rPr>
            <w:webHidden/>
          </w:rPr>
          <w:instrText xml:space="preserve"> PAGEREF _Toc295072180 \h </w:instrText>
        </w:r>
        <w:r>
          <w:rPr>
            <w:webHidden/>
          </w:rPr>
        </w:r>
        <w:r>
          <w:rPr>
            <w:webHidden/>
          </w:rPr>
          <w:fldChar w:fldCharType="separate"/>
        </w:r>
        <w:r w:rsidR="0086451B">
          <w:rPr>
            <w:webHidden/>
          </w:rPr>
          <w:t>2</w:t>
        </w:r>
        <w:r>
          <w:rPr>
            <w:webHidden/>
          </w:rPr>
          <w:fldChar w:fldCharType="end"/>
        </w:r>
      </w:hyperlink>
    </w:p>
    <w:p w:rsidR="003D5899" w:rsidRPr="00F03E18" w:rsidRDefault="003D5899">
      <w:pPr>
        <w:pStyle w:val="Innehll1"/>
        <w:rPr>
          <w:rFonts w:ascii="Calibri" w:hAnsi="Calibri"/>
          <w:sz w:val="22"/>
          <w:szCs w:val="22"/>
        </w:rPr>
      </w:pPr>
      <w:hyperlink w:anchor="_Toc295072181" w:history="1">
        <w:r w:rsidRPr="006D7569">
          <w:rPr>
            <w:rStyle w:val="Hyperlnk"/>
          </w:rPr>
          <w:t>Utskottets förslag</w:t>
        </w:r>
        <w:r>
          <w:rPr>
            <w:webHidden/>
          </w:rPr>
          <w:tab/>
        </w:r>
        <w:r>
          <w:rPr>
            <w:webHidden/>
          </w:rPr>
          <w:fldChar w:fldCharType="begin"/>
        </w:r>
        <w:r>
          <w:rPr>
            <w:webHidden/>
          </w:rPr>
          <w:instrText xml:space="preserve"> PAGEREF _Toc295072181 \h </w:instrText>
        </w:r>
        <w:r>
          <w:rPr>
            <w:webHidden/>
          </w:rPr>
        </w:r>
        <w:r>
          <w:rPr>
            <w:webHidden/>
          </w:rPr>
          <w:fldChar w:fldCharType="separate"/>
        </w:r>
        <w:r w:rsidR="0086451B">
          <w:rPr>
            <w:webHidden/>
          </w:rPr>
          <w:t>2</w:t>
        </w:r>
        <w:r>
          <w:rPr>
            <w:webHidden/>
          </w:rPr>
          <w:fldChar w:fldCharType="end"/>
        </w:r>
      </w:hyperlink>
    </w:p>
    <w:p w:rsidR="002401D0" w:rsidRDefault="002401D0">
      <w:pPr>
        <w:pStyle w:val="ANormal"/>
        <w:rPr>
          <w:noProof/>
        </w:rPr>
      </w:pPr>
      <w:r>
        <w:rPr>
          <w:rFonts w:ascii="Verdana" w:hAnsi="Verdana"/>
          <w:noProof/>
          <w:sz w:val="16"/>
          <w:szCs w:val="36"/>
        </w:rPr>
        <w:fldChar w:fldCharType="end"/>
      </w:r>
    </w:p>
    <w:p w:rsidR="002401D0" w:rsidRDefault="002401D0">
      <w:pPr>
        <w:pStyle w:val="ANormal"/>
      </w:pPr>
    </w:p>
    <w:p w:rsidR="002401D0" w:rsidRDefault="002401D0">
      <w:pPr>
        <w:pStyle w:val="RubrikA"/>
      </w:pPr>
      <w:bookmarkStart w:id="2" w:name="_Toc529800932"/>
      <w:bookmarkStart w:id="3" w:name="_Toc295072176"/>
      <w:r>
        <w:t>Sammanfattning</w:t>
      </w:r>
      <w:bookmarkEnd w:id="2"/>
      <w:bookmarkEnd w:id="3"/>
    </w:p>
    <w:p w:rsidR="002401D0" w:rsidRDefault="002401D0">
      <w:pPr>
        <w:pStyle w:val="Rubrikmellanrum"/>
      </w:pPr>
    </w:p>
    <w:p w:rsidR="002401D0" w:rsidRDefault="00290D4E">
      <w:pPr>
        <w:pStyle w:val="RubrikB"/>
      </w:pPr>
      <w:bookmarkStart w:id="4" w:name="_Toc529800933"/>
      <w:bookmarkStart w:id="5" w:name="_Toc295072177"/>
      <w:r>
        <w:t xml:space="preserve">Landskapsregeringens </w:t>
      </w:r>
      <w:r w:rsidR="002401D0">
        <w:t>förslag</w:t>
      </w:r>
      <w:bookmarkEnd w:id="4"/>
      <w:bookmarkEnd w:id="5"/>
    </w:p>
    <w:p w:rsidR="002401D0" w:rsidRDefault="002401D0">
      <w:pPr>
        <w:pStyle w:val="Rubrikmellanrum"/>
      </w:pPr>
    </w:p>
    <w:p w:rsidR="00383F05" w:rsidRDefault="00383F05" w:rsidP="00383F05">
      <w:pPr>
        <w:pStyle w:val="ANormal"/>
        <w:rPr>
          <w:szCs w:val="22"/>
        </w:rPr>
      </w:pPr>
      <w:r>
        <w:rPr>
          <w:szCs w:val="22"/>
        </w:rPr>
        <w:t xml:space="preserve">Landskapsregeringen föreslår att lagtinget antar en landskapslag om radio- och televisionsverksamhet och en landskapslag om ändring av tobakslagen för landskapet Åland. </w:t>
      </w:r>
      <w:r>
        <w:t xml:space="preserve">Genom förslaget upphävs </w:t>
      </w:r>
      <w:r>
        <w:rPr>
          <w:szCs w:val="22"/>
        </w:rPr>
        <w:t>landskapslagen om rundr</w:t>
      </w:r>
      <w:r>
        <w:rPr>
          <w:szCs w:val="22"/>
        </w:rPr>
        <w:t>a</w:t>
      </w:r>
      <w:r>
        <w:rPr>
          <w:szCs w:val="22"/>
        </w:rPr>
        <w:t>di</w:t>
      </w:r>
      <w:r>
        <w:rPr>
          <w:szCs w:val="22"/>
        </w:rPr>
        <w:t>o</w:t>
      </w:r>
      <w:r>
        <w:rPr>
          <w:szCs w:val="22"/>
        </w:rPr>
        <w:t>verksamhet och landskapslagen om kabelsändningar till allmänheten.</w:t>
      </w:r>
    </w:p>
    <w:p w:rsidR="00383F05" w:rsidRDefault="00383F05" w:rsidP="00383F05">
      <w:pPr>
        <w:pStyle w:val="ANormal"/>
      </w:pPr>
      <w:r>
        <w:rPr>
          <w:szCs w:val="22"/>
        </w:rPr>
        <w:tab/>
        <w:t xml:space="preserve">De föreslagna landskapslagarna innebär att </w:t>
      </w:r>
      <w:r>
        <w:t>Europaparlamentets och Europeiska unionens råds direktiv 2007/65/EG om ändring av rådets dire</w:t>
      </w:r>
      <w:r>
        <w:t>k</w:t>
      </w:r>
      <w:r>
        <w:t>tiv 89/552/EEG om samordning av vissa bestämmel</w:t>
      </w:r>
      <w:r>
        <w:softHyphen/>
        <w:t>ser som fastställts i medlemsstaternas lagar och andra författningar om tillhandahållande av audiovisuella medietjänster (direktiv om audiovisuella medietjänster)</w:t>
      </w:r>
      <w:r>
        <w:rPr>
          <w:szCs w:val="22"/>
        </w:rPr>
        <w:t xml:space="preserve"> g</w:t>
      </w:r>
      <w:r>
        <w:rPr>
          <w:szCs w:val="22"/>
        </w:rPr>
        <w:t>e</w:t>
      </w:r>
      <w:r>
        <w:rPr>
          <w:szCs w:val="22"/>
        </w:rPr>
        <w:t>nomförs i åländsk lagstiftning. Direktivet skulle ha varit genomfört i me</w:t>
      </w:r>
      <w:r>
        <w:rPr>
          <w:szCs w:val="22"/>
        </w:rPr>
        <w:t>d</w:t>
      </w:r>
      <w:r>
        <w:rPr>
          <w:szCs w:val="22"/>
        </w:rPr>
        <w:t>lemsstate</w:t>
      </w:r>
      <w:r>
        <w:rPr>
          <w:szCs w:val="22"/>
        </w:rPr>
        <w:t>r</w:t>
      </w:r>
      <w:r>
        <w:rPr>
          <w:szCs w:val="22"/>
        </w:rPr>
        <w:t>na senast den 19 december 2009. De föreslagna landskapslagarna bör dä</w:t>
      </w:r>
      <w:r>
        <w:rPr>
          <w:szCs w:val="22"/>
        </w:rPr>
        <w:t>r</w:t>
      </w:r>
      <w:r>
        <w:rPr>
          <w:szCs w:val="22"/>
        </w:rPr>
        <w:t>för träda i kraft så snart som möjligt.</w:t>
      </w:r>
    </w:p>
    <w:p w:rsidR="002401D0" w:rsidRDefault="002401D0">
      <w:pPr>
        <w:pStyle w:val="ANormal"/>
      </w:pPr>
    </w:p>
    <w:p w:rsidR="002401D0" w:rsidRDefault="002401D0">
      <w:pPr>
        <w:pStyle w:val="RubrikB"/>
      </w:pPr>
      <w:bookmarkStart w:id="6" w:name="_Toc529800934"/>
      <w:bookmarkStart w:id="7" w:name="_Toc295072178"/>
      <w:r>
        <w:t>Utskottets förslag</w:t>
      </w:r>
      <w:bookmarkEnd w:id="6"/>
      <w:bookmarkEnd w:id="7"/>
    </w:p>
    <w:p w:rsidR="002401D0" w:rsidRDefault="002401D0">
      <w:pPr>
        <w:pStyle w:val="Rubrikmellanrum"/>
      </w:pPr>
    </w:p>
    <w:p w:rsidR="007648ED" w:rsidRDefault="007648ED" w:rsidP="007648ED">
      <w:pPr>
        <w:pStyle w:val="ANormal"/>
      </w:pPr>
      <w:r>
        <w:t>Utskottet föreslår att lagförslage</w:t>
      </w:r>
      <w:r w:rsidR="00080CDD">
        <w:t>n</w:t>
      </w:r>
      <w:r>
        <w:t xml:space="preserve"> antas </w:t>
      </w:r>
      <w:r w:rsidR="00092471">
        <w:t>med</w:t>
      </w:r>
      <w:r>
        <w:t xml:space="preserve"> </w:t>
      </w:r>
      <w:r w:rsidR="00092471">
        <w:t xml:space="preserve">de </w:t>
      </w:r>
      <w:r>
        <w:t>ändringar</w:t>
      </w:r>
      <w:r w:rsidR="00092471">
        <w:t xml:space="preserve"> som framgår av betänkandet</w:t>
      </w:r>
      <w:r>
        <w:t>.</w:t>
      </w:r>
    </w:p>
    <w:p w:rsidR="002401D0" w:rsidRDefault="002401D0">
      <w:pPr>
        <w:pStyle w:val="ANormal"/>
      </w:pPr>
    </w:p>
    <w:p w:rsidR="002401D0" w:rsidRDefault="002401D0">
      <w:pPr>
        <w:pStyle w:val="RubrikA"/>
      </w:pPr>
      <w:bookmarkStart w:id="8" w:name="_Toc529800935"/>
      <w:bookmarkStart w:id="9" w:name="_Toc295072179"/>
      <w:r>
        <w:t>Utskottets synpunkter</w:t>
      </w:r>
      <w:bookmarkEnd w:id="8"/>
      <w:bookmarkEnd w:id="9"/>
    </w:p>
    <w:p w:rsidR="000B1E66" w:rsidRDefault="000B1E66" w:rsidP="000B1E66">
      <w:pPr>
        <w:pStyle w:val="Rubrikmellanrum"/>
      </w:pPr>
    </w:p>
    <w:p w:rsidR="000B1E66" w:rsidRPr="000B1E66" w:rsidRDefault="000B1E66" w:rsidP="000B1E66">
      <w:pPr>
        <w:pStyle w:val="ANormal"/>
        <w:rPr>
          <w:sz w:val="26"/>
          <w:szCs w:val="26"/>
        </w:rPr>
      </w:pPr>
      <w:r>
        <w:rPr>
          <w:sz w:val="26"/>
          <w:szCs w:val="26"/>
        </w:rPr>
        <w:t>Allmän motivering</w:t>
      </w:r>
      <w:r w:rsidRPr="000B1E66">
        <w:rPr>
          <w:sz w:val="26"/>
          <w:szCs w:val="26"/>
        </w:rPr>
        <w:t xml:space="preserve"> </w:t>
      </w:r>
    </w:p>
    <w:p w:rsidR="002401D0" w:rsidRDefault="002401D0">
      <w:pPr>
        <w:pStyle w:val="Rubrikmellanrum"/>
      </w:pPr>
    </w:p>
    <w:p w:rsidR="002401D0" w:rsidRDefault="00092471">
      <w:pPr>
        <w:pStyle w:val="ANormal"/>
      </w:pPr>
      <w:r>
        <w:t xml:space="preserve">Utskottet konstaterar att denna framställning </w:t>
      </w:r>
      <w:r w:rsidR="008E4F7B">
        <w:t>följts av ett</w:t>
      </w:r>
      <w:r>
        <w:t xml:space="preserve"> meddelande om </w:t>
      </w:r>
      <w:r w:rsidR="008E4F7B">
        <w:t xml:space="preserve">ett </w:t>
      </w:r>
      <w:r>
        <w:t>medi</w:t>
      </w:r>
      <w:r w:rsidR="008E4F7B">
        <w:t>e</w:t>
      </w:r>
      <w:r>
        <w:t>politi</w:t>
      </w:r>
      <w:r w:rsidR="008E4F7B">
        <w:t>s</w:t>
      </w:r>
      <w:r>
        <w:t>k</w:t>
      </w:r>
      <w:r w:rsidR="008E4F7B">
        <w:t>t program</w:t>
      </w:r>
      <w:r>
        <w:t xml:space="preserve"> från landskapsregeringen.</w:t>
      </w:r>
    </w:p>
    <w:p w:rsidR="000B1E66" w:rsidRDefault="00092471">
      <w:pPr>
        <w:pStyle w:val="ANormal"/>
      </w:pPr>
      <w:r>
        <w:tab/>
        <w:t>Meddelandet med det medi</w:t>
      </w:r>
      <w:r w:rsidR="008E4F7B">
        <w:t>e</w:t>
      </w:r>
      <w:r>
        <w:t>politiska programmet aviserar en annan typ av finansieringsmodell för public service-media än de</w:t>
      </w:r>
      <w:r w:rsidR="008E4F7B">
        <w:t xml:space="preserve">t som föreligger i </w:t>
      </w:r>
      <w:r>
        <w:t>framställningen. Utskottet konstaterar</w:t>
      </w:r>
      <w:r w:rsidR="008E4F7B">
        <w:t xml:space="preserve"> att</w:t>
      </w:r>
      <w:r>
        <w:t xml:space="preserve"> förslaget i framställningen bygger på att det nuvarande avgiftssystemet fortsätter i oförändrad form. </w:t>
      </w:r>
      <w:r w:rsidR="000B1E66">
        <w:t>Trots att systemet för avgifter i framställningen uppenbart avviker från det nya a</w:t>
      </w:r>
      <w:r w:rsidR="000B1E66">
        <w:t>v</w:t>
      </w:r>
      <w:r w:rsidR="000B1E66">
        <w:t>gift</w:t>
      </w:r>
      <w:r w:rsidR="000B1E66">
        <w:t>s</w:t>
      </w:r>
      <w:r w:rsidR="000B1E66">
        <w:t>system som aviseras i det medi</w:t>
      </w:r>
      <w:r w:rsidR="008E4F7B">
        <w:t>e</w:t>
      </w:r>
      <w:r w:rsidR="000B1E66">
        <w:t>politiska programmet har utskottet gått in för att omfatta framställningen med motiveringen att landskapet riskerar böter om implementeringen av AV-direktivet försenas ytte</w:t>
      </w:r>
      <w:r w:rsidR="000B1E66">
        <w:t>r</w:t>
      </w:r>
      <w:r w:rsidR="000B1E66">
        <w:t>ligare.</w:t>
      </w:r>
    </w:p>
    <w:p w:rsidR="00092471" w:rsidRDefault="000B1E66">
      <w:pPr>
        <w:pStyle w:val="ANormal"/>
      </w:pPr>
      <w:r>
        <w:tab/>
        <w:t>Utskottet uppmanar dock landskapsregeri</w:t>
      </w:r>
      <w:r w:rsidR="00995587">
        <w:t>n</w:t>
      </w:r>
      <w:r>
        <w:t>gen i en kläm att i bråd</w:t>
      </w:r>
      <w:r>
        <w:t>s</w:t>
      </w:r>
      <w:r>
        <w:t xml:space="preserve">kande ordning återkomma till lagtinget med ett lagförslag om en modernare och rättvisare finansieringsmodell för public service-media.  </w:t>
      </w:r>
      <w:r w:rsidR="00092471">
        <w:t xml:space="preserve"> </w:t>
      </w:r>
    </w:p>
    <w:p w:rsidR="000B1E66" w:rsidRDefault="000B1E66">
      <w:pPr>
        <w:pStyle w:val="ANormal"/>
      </w:pPr>
    </w:p>
    <w:p w:rsidR="000B1E66" w:rsidRDefault="000B1E66">
      <w:pPr>
        <w:pStyle w:val="ANormal"/>
        <w:rPr>
          <w:sz w:val="26"/>
          <w:szCs w:val="26"/>
        </w:rPr>
      </w:pPr>
      <w:r w:rsidRPr="000B1E66">
        <w:rPr>
          <w:sz w:val="26"/>
          <w:szCs w:val="26"/>
        </w:rPr>
        <w:t>Detaljmotivering</w:t>
      </w:r>
    </w:p>
    <w:p w:rsidR="006F4535" w:rsidRPr="006F4535" w:rsidRDefault="006F4535">
      <w:pPr>
        <w:pStyle w:val="ANormal"/>
        <w:rPr>
          <w:sz w:val="10"/>
          <w:szCs w:val="10"/>
        </w:rPr>
      </w:pPr>
    </w:p>
    <w:p w:rsidR="003D5899" w:rsidRPr="003D5899" w:rsidRDefault="003D5899">
      <w:pPr>
        <w:pStyle w:val="ANormal"/>
        <w:rPr>
          <w:szCs w:val="22"/>
        </w:rPr>
      </w:pPr>
      <w:r>
        <w:rPr>
          <w:szCs w:val="22"/>
        </w:rPr>
        <w:t>Detaljmotiveringar ti</w:t>
      </w:r>
      <w:r w:rsidR="006F4535">
        <w:rPr>
          <w:szCs w:val="22"/>
        </w:rPr>
        <w:t>ll det i framställningen ingående första lag</w:t>
      </w:r>
      <w:r>
        <w:rPr>
          <w:szCs w:val="22"/>
        </w:rPr>
        <w:t>försl</w:t>
      </w:r>
      <w:r>
        <w:rPr>
          <w:szCs w:val="22"/>
        </w:rPr>
        <w:t>a</w:t>
      </w:r>
      <w:r>
        <w:rPr>
          <w:szCs w:val="22"/>
        </w:rPr>
        <w:t>get:</w:t>
      </w:r>
    </w:p>
    <w:p w:rsidR="000B1E66" w:rsidRPr="000B1E66" w:rsidRDefault="000B1E66">
      <w:pPr>
        <w:pStyle w:val="ANormal"/>
        <w:rPr>
          <w:sz w:val="10"/>
          <w:szCs w:val="10"/>
        </w:rPr>
      </w:pPr>
    </w:p>
    <w:p w:rsidR="00E476C0" w:rsidRDefault="00E476C0">
      <w:pPr>
        <w:pStyle w:val="ANormal"/>
      </w:pPr>
      <w:r w:rsidRPr="005951EE">
        <w:rPr>
          <w:b/>
        </w:rPr>
        <w:t>27 §</w:t>
      </w:r>
      <w:r w:rsidR="005833EA">
        <w:t xml:space="preserve"> 4 pt.</w:t>
      </w:r>
      <w:r w:rsidR="005951EE">
        <w:t xml:space="preserve"> </w:t>
      </w:r>
      <w:r w:rsidR="008E4F7B">
        <w:t>ä</w:t>
      </w:r>
      <w:r w:rsidR="005951EE">
        <w:t>ndras.</w:t>
      </w:r>
      <w:r>
        <w:t xml:space="preserve"> Utskottet anser att </w:t>
      </w:r>
      <w:r w:rsidR="00080CDD">
        <w:t>uppgifter om a</w:t>
      </w:r>
      <w:r>
        <w:t>ntalet televisionsmott</w:t>
      </w:r>
      <w:r>
        <w:t>a</w:t>
      </w:r>
      <w:r>
        <w:t>gare enbart har relevans i samband med avgiftsdebitering av inkvartering</w:t>
      </w:r>
      <w:r>
        <w:t>s</w:t>
      </w:r>
      <w:r>
        <w:t xml:space="preserve">rörelser </w:t>
      </w:r>
      <w:r w:rsidR="00080CDD">
        <w:t>och att</w:t>
      </w:r>
      <w:r>
        <w:t xml:space="preserve"> kravet på lämnande av uppgift enbart </w:t>
      </w:r>
      <w:r w:rsidR="00080CDD">
        <w:t xml:space="preserve">ska </w:t>
      </w:r>
      <w:r>
        <w:t>gälla denna typ av verksamhe</w:t>
      </w:r>
      <w:r>
        <w:t>t</w:t>
      </w:r>
      <w:r>
        <w:t>er.</w:t>
      </w:r>
    </w:p>
    <w:p w:rsidR="00E476C0" w:rsidRDefault="00E476C0">
      <w:pPr>
        <w:pStyle w:val="ANormal"/>
      </w:pPr>
      <w:r>
        <w:t xml:space="preserve"> </w:t>
      </w:r>
    </w:p>
    <w:p w:rsidR="000B1E66" w:rsidRDefault="000B1E66">
      <w:pPr>
        <w:pStyle w:val="ANormal"/>
      </w:pPr>
      <w:r w:rsidRPr="005951EE">
        <w:rPr>
          <w:b/>
        </w:rPr>
        <w:t>28 §</w:t>
      </w:r>
      <w:r>
        <w:t xml:space="preserve"> Med </w:t>
      </w:r>
      <w:r w:rsidR="003D5899">
        <w:t xml:space="preserve">hänvisning till </w:t>
      </w:r>
      <w:r>
        <w:t>den snabba tekniska utvecklingen</w:t>
      </w:r>
      <w:r w:rsidR="00995587">
        <w:t xml:space="preserve"> anser</w:t>
      </w:r>
      <w:r>
        <w:t xml:space="preserve"> utskottet att </w:t>
      </w:r>
      <w:r w:rsidR="00995587">
        <w:t xml:space="preserve">det finns anledning att förtydliga </w:t>
      </w:r>
      <w:r w:rsidR="00E476C0">
        <w:t>för vilka typer av möjliga television</w:t>
      </w:r>
      <w:r w:rsidR="00E476C0">
        <w:t>s</w:t>
      </w:r>
      <w:r w:rsidR="00E476C0">
        <w:t>mottagare en avgift kan uppbäras. Utskottet har gått in för att definiera en avgiftspliktig televisionsmottagare som ”en anordning som huvu</w:t>
      </w:r>
      <w:r w:rsidR="00C63082">
        <w:t>d</w:t>
      </w:r>
      <w:r w:rsidR="00E476C0">
        <w:t>sakl</w:t>
      </w:r>
      <w:r w:rsidR="00E476C0">
        <w:t>i</w:t>
      </w:r>
      <w:r w:rsidR="00E476C0">
        <w:t>gen används som televisionsmottagare”.</w:t>
      </w:r>
    </w:p>
    <w:p w:rsidR="005833EA" w:rsidRDefault="005833EA">
      <w:pPr>
        <w:pStyle w:val="ANormal"/>
      </w:pPr>
    </w:p>
    <w:p w:rsidR="00D55673" w:rsidRDefault="00D55673">
      <w:pPr>
        <w:pStyle w:val="ANormal"/>
      </w:pPr>
      <w:r w:rsidRPr="00D55673">
        <w:rPr>
          <w:b/>
        </w:rPr>
        <w:t>31 §</w:t>
      </w:r>
      <w:r>
        <w:t xml:space="preserve"> Utskottet anser att förteckningen över de uppgifter kontrollanten kan begära är överflödig då uppgifterna är identiska med grundkraven för a</w:t>
      </w:r>
      <w:r>
        <w:t>n</w:t>
      </w:r>
      <w:r>
        <w:t xml:space="preserve">mälan enligt 27 §.  </w:t>
      </w:r>
    </w:p>
    <w:p w:rsidR="005951EE" w:rsidRDefault="005951EE">
      <w:pPr>
        <w:pStyle w:val="ANormal"/>
      </w:pPr>
    </w:p>
    <w:p w:rsidR="005833EA" w:rsidRDefault="005833EA">
      <w:pPr>
        <w:pStyle w:val="ANormal"/>
      </w:pPr>
      <w:r w:rsidRPr="005951EE">
        <w:rPr>
          <w:b/>
        </w:rPr>
        <w:t>35 §</w:t>
      </w:r>
      <w:r>
        <w:t xml:space="preserve"> 5 pt </w:t>
      </w:r>
      <w:r w:rsidR="005951EE">
        <w:t>ä</w:t>
      </w:r>
      <w:r>
        <w:t xml:space="preserve">ndras med samma motivering som </w:t>
      </w:r>
      <w:r w:rsidR="005951EE">
        <w:t>ändringen i</w:t>
      </w:r>
      <w:r>
        <w:t xml:space="preserve"> 27 §. </w:t>
      </w:r>
    </w:p>
    <w:p w:rsidR="002401D0" w:rsidRDefault="002401D0">
      <w:pPr>
        <w:pStyle w:val="ANormal"/>
      </w:pPr>
    </w:p>
    <w:p w:rsidR="002401D0" w:rsidRDefault="002401D0">
      <w:pPr>
        <w:pStyle w:val="RubrikA"/>
      </w:pPr>
      <w:bookmarkStart w:id="10" w:name="_Toc529800936"/>
      <w:bookmarkStart w:id="11" w:name="_Toc295072180"/>
      <w:r>
        <w:t>Ärendets behandling</w:t>
      </w:r>
      <w:bookmarkEnd w:id="10"/>
      <w:bookmarkEnd w:id="11"/>
    </w:p>
    <w:p w:rsidR="002401D0" w:rsidRDefault="002401D0">
      <w:pPr>
        <w:pStyle w:val="Rubrikmellanrum"/>
      </w:pPr>
    </w:p>
    <w:p w:rsidR="002401D0" w:rsidRDefault="00392EC8">
      <w:pPr>
        <w:pStyle w:val="ANormal"/>
      </w:pPr>
      <w:r>
        <w:t xml:space="preserve">Lagtinget har den </w:t>
      </w:r>
      <w:r w:rsidR="004328DC">
        <w:t>29</w:t>
      </w:r>
      <w:r>
        <w:t xml:space="preserve"> april 2011 inbegärt kulturutskottets yttrande över framsällningen.</w:t>
      </w:r>
    </w:p>
    <w:p w:rsidR="004328DC" w:rsidRDefault="00392EC8">
      <w:pPr>
        <w:pStyle w:val="ANormal"/>
      </w:pPr>
      <w:r>
        <w:tab/>
        <w:t xml:space="preserve">Utskottet har i ärendet hört </w:t>
      </w:r>
      <w:r w:rsidR="004328DC">
        <w:t xml:space="preserve">ministern Roger Eriksson, lagberedaren Hans Selander, läraren Christian Stormbom, </w:t>
      </w:r>
      <w:r w:rsidR="00F90287">
        <w:t>verkställande direktören Pia</w:t>
      </w:r>
      <w:r w:rsidR="00AB5272">
        <w:t xml:space="preserve"> Rothberg-Olofsson från Ålands r</w:t>
      </w:r>
      <w:r w:rsidR="00F90287">
        <w:t xml:space="preserve">adio och </w:t>
      </w:r>
      <w:r w:rsidR="00AB5272">
        <w:t>t</w:t>
      </w:r>
      <w:r w:rsidR="00F90287">
        <w:t xml:space="preserve">v ab, </w:t>
      </w:r>
      <w:r w:rsidR="004328DC">
        <w:t>affärsutvecklaren Hans Holmström från Ål</w:t>
      </w:r>
      <w:r w:rsidR="00F90287">
        <w:t>ands datakommunikation</w:t>
      </w:r>
      <w:r w:rsidR="004328DC">
        <w:t xml:space="preserve"> ab</w:t>
      </w:r>
      <w:r w:rsidR="00F90287">
        <w:t xml:space="preserve"> och</w:t>
      </w:r>
      <w:r w:rsidR="004328DC">
        <w:t xml:space="preserve"> verkställande direkt</w:t>
      </w:r>
      <w:r w:rsidR="004328DC">
        <w:t>ö</w:t>
      </w:r>
      <w:r w:rsidR="004328DC">
        <w:t>ren Richard Johansson från Mari</w:t>
      </w:r>
      <w:r w:rsidR="004328DC">
        <w:t>e</w:t>
      </w:r>
      <w:r w:rsidR="004328DC">
        <w:t>hamns centralantenn ab.</w:t>
      </w:r>
    </w:p>
    <w:p w:rsidR="00C93EDE" w:rsidRDefault="00C93EDE">
      <w:pPr>
        <w:pStyle w:val="ANormal"/>
      </w:pPr>
      <w:r>
        <w:tab/>
        <w:t>Ledamoten Fredrik Karlström har fogat en reservation till betänka</w:t>
      </w:r>
      <w:r>
        <w:t>n</w:t>
      </w:r>
      <w:r>
        <w:t>det.</w:t>
      </w:r>
    </w:p>
    <w:p w:rsidR="00392EC8" w:rsidRDefault="00392EC8">
      <w:pPr>
        <w:pStyle w:val="ANormal"/>
      </w:pPr>
      <w:r>
        <w:tab/>
        <w:t>I ärendets avgörande behandling deltog ordföranden Johan Ehn, vic</w:t>
      </w:r>
      <w:r>
        <w:t>e</w:t>
      </w:r>
      <w:r>
        <w:t>ordföranden Ulla-Britt Dahl samt ledamöterna Margaret Lundberg, Runar Karlsson och Fre</w:t>
      </w:r>
      <w:r>
        <w:t>d</w:t>
      </w:r>
      <w:r>
        <w:t>rik Karlström.</w:t>
      </w:r>
    </w:p>
    <w:p w:rsidR="002401D0" w:rsidRDefault="002401D0">
      <w:pPr>
        <w:pStyle w:val="ANormal"/>
      </w:pPr>
    </w:p>
    <w:p w:rsidR="002401D0" w:rsidRDefault="002401D0">
      <w:pPr>
        <w:pStyle w:val="RubrikA"/>
      </w:pPr>
      <w:bookmarkStart w:id="12" w:name="_Toc529800937"/>
      <w:bookmarkStart w:id="13" w:name="_Toc295072181"/>
      <w:r>
        <w:t>Utskottets förslag</w:t>
      </w:r>
      <w:bookmarkEnd w:id="12"/>
      <w:bookmarkEnd w:id="13"/>
    </w:p>
    <w:p w:rsidR="002401D0" w:rsidRDefault="002401D0">
      <w:pPr>
        <w:pStyle w:val="Rubrikmellanrum"/>
      </w:pPr>
    </w:p>
    <w:p w:rsidR="002401D0" w:rsidRDefault="002401D0">
      <w:pPr>
        <w:pStyle w:val="ANormal"/>
      </w:pPr>
      <w:r>
        <w:t>Med hänvisning till det anförda föreslår utskottet</w:t>
      </w:r>
    </w:p>
    <w:p w:rsidR="002401D0" w:rsidRDefault="002401D0">
      <w:pPr>
        <w:pStyle w:val="ANormal"/>
      </w:pPr>
    </w:p>
    <w:p w:rsidR="002401D0" w:rsidRPr="005951EE" w:rsidRDefault="002401D0">
      <w:pPr>
        <w:pStyle w:val="Klam"/>
      </w:pPr>
      <w:r w:rsidRPr="005951EE">
        <w:t>att lagtinget</w:t>
      </w:r>
      <w:r w:rsidR="00392EC8" w:rsidRPr="005951EE">
        <w:t xml:space="preserve"> antar det i framställningen ingående andra lagförsl</w:t>
      </w:r>
      <w:r w:rsidR="00392EC8" w:rsidRPr="005951EE">
        <w:t>a</w:t>
      </w:r>
      <w:r w:rsidR="00392EC8" w:rsidRPr="005951EE">
        <w:t>get oförändrat samt</w:t>
      </w:r>
    </w:p>
    <w:p w:rsidR="00392EC8" w:rsidRPr="005951EE" w:rsidRDefault="00392EC8" w:rsidP="00392EC8">
      <w:pPr>
        <w:pStyle w:val="ANormal"/>
      </w:pPr>
    </w:p>
    <w:p w:rsidR="00392EC8" w:rsidRPr="005951EE" w:rsidRDefault="00392EC8" w:rsidP="00392EC8">
      <w:pPr>
        <w:pStyle w:val="Klam"/>
      </w:pPr>
      <w:r w:rsidRPr="005951EE">
        <w:t>att lagtinget antar det i framställningen ingående första lagförsl</w:t>
      </w:r>
      <w:r w:rsidRPr="005951EE">
        <w:t>a</w:t>
      </w:r>
      <w:r w:rsidRPr="005951EE">
        <w:t>get i följande lydelse:</w:t>
      </w:r>
    </w:p>
    <w:p w:rsidR="00392EC8" w:rsidRDefault="00392EC8" w:rsidP="00392EC8">
      <w:pPr>
        <w:pStyle w:val="ANormal"/>
      </w:pPr>
    </w:p>
    <w:p w:rsidR="00383F05" w:rsidRDefault="00383F05" w:rsidP="00383F05">
      <w:pPr>
        <w:pStyle w:val="ANormal"/>
      </w:pPr>
    </w:p>
    <w:p w:rsidR="00383F05" w:rsidRDefault="00383F05" w:rsidP="00383F05">
      <w:pPr>
        <w:pStyle w:val="ANormal"/>
      </w:pPr>
      <w:r>
        <w:t>1.</w:t>
      </w:r>
    </w:p>
    <w:p w:rsidR="00383F05" w:rsidRDefault="00383F05" w:rsidP="00383F05">
      <w:pPr>
        <w:pStyle w:val="LagHuvRubr"/>
      </w:pPr>
      <w:bookmarkStart w:id="14" w:name="_Toc290464140"/>
      <w:r>
        <w:t>L A N D S K A P S L A G</w:t>
      </w:r>
      <w:r>
        <w:br/>
        <w:t>om radio- och televisionsverksamhet</w:t>
      </w:r>
      <w:bookmarkEnd w:id="14"/>
    </w:p>
    <w:p w:rsidR="00383F05" w:rsidRDefault="00383F05" w:rsidP="00383F05">
      <w:pPr>
        <w:pStyle w:val="ANormal"/>
      </w:pPr>
    </w:p>
    <w:p w:rsidR="00383F05" w:rsidRDefault="00383F05" w:rsidP="00383F05">
      <w:pPr>
        <w:pStyle w:val="LagKapitel"/>
      </w:pPr>
      <w:r>
        <w:t>1 kap.</w:t>
      </w:r>
      <w:r>
        <w:br/>
        <w:t>Inledande bestämmelser</w:t>
      </w:r>
    </w:p>
    <w:p w:rsidR="00383F05" w:rsidRDefault="00383F05" w:rsidP="00383F05">
      <w:pPr>
        <w:pStyle w:val="ANormal"/>
      </w:pPr>
    </w:p>
    <w:p w:rsidR="00383F05" w:rsidRDefault="00383F05" w:rsidP="00383F05">
      <w:pPr>
        <w:pStyle w:val="LagParagraf"/>
      </w:pPr>
      <w:r>
        <w:t>1</w:t>
      </w:r>
      <w:r w:rsidR="00A37B23">
        <w:t>-26</w:t>
      </w:r>
      <w:r>
        <w:t> </w:t>
      </w:r>
      <w:proofErr w:type="gramStart"/>
      <w:r w:rsidR="00A37B23">
        <w:t>§</w:t>
      </w:r>
      <w:r>
        <w:t>§</w:t>
      </w:r>
      <w:proofErr w:type="gramEnd"/>
    </w:p>
    <w:p w:rsidR="00A37B23" w:rsidRDefault="00A37B23" w:rsidP="00A37B23">
      <w:pPr>
        <w:pStyle w:val="ANormal"/>
        <w:rPr>
          <w:szCs w:val="22"/>
        </w:rPr>
      </w:pPr>
      <w:r>
        <w:rPr>
          <w:szCs w:val="22"/>
        </w:rPr>
        <w:t>(Lika som i framställningen).</w:t>
      </w:r>
    </w:p>
    <w:p w:rsidR="00383F05" w:rsidRDefault="00383F05" w:rsidP="00383F05">
      <w:pPr>
        <w:pStyle w:val="ANormal"/>
      </w:pPr>
    </w:p>
    <w:p w:rsidR="00383F05" w:rsidRDefault="00383F05" w:rsidP="00383F05">
      <w:pPr>
        <w:pStyle w:val="ANormal"/>
      </w:pPr>
    </w:p>
    <w:p w:rsidR="00401C67" w:rsidRDefault="00401C67" w:rsidP="00383F05">
      <w:pPr>
        <w:pStyle w:val="ANormal"/>
      </w:pPr>
    </w:p>
    <w:p w:rsidR="00401C67" w:rsidRDefault="00401C67" w:rsidP="00383F05">
      <w:pPr>
        <w:pStyle w:val="ANormal"/>
      </w:pPr>
    </w:p>
    <w:p w:rsidR="00383F05" w:rsidRDefault="00383F05" w:rsidP="00383F05">
      <w:pPr>
        <w:pStyle w:val="LagParagraf"/>
      </w:pPr>
      <w:r>
        <w:t>27 §</w:t>
      </w:r>
    </w:p>
    <w:p w:rsidR="00383F05" w:rsidRDefault="00383F05" w:rsidP="00383F05">
      <w:pPr>
        <w:pStyle w:val="LagPararubrik"/>
      </w:pPr>
      <w:r>
        <w:t>Anmälan av innehav av televisionsmottagare</w:t>
      </w:r>
    </w:p>
    <w:p w:rsidR="00401C67" w:rsidRDefault="004A0913" w:rsidP="00401C67">
      <w:pPr>
        <w:pStyle w:val="ANormal"/>
      </w:pPr>
      <w:r>
        <w:tab/>
      </w:r>
      <w:r w:rsidR="00401C67">
        <w:t>(1 mom. lika som framställningen).</w:t>
      </w:r>
    </w:p>
    <w:p w:rsidR="00383F05" w:rsidRDefault="00383F05" w:rsidP="00383F05">
      <w:pPr>
        <w:pStyle w:val="ANormal"/>
      </w:pPr>
      <w:r>
        <w:tab/>
        <w:t xml:space="preserve">Innehavare av </w:t>
      </w:r>
      <w:r w:rsidR="00080CDD">
        <w:t xml:space="preserve">en </w:t>
      </w:r>
      <w:r>
        <w:t>televisionsmottagare som är avgiftsskyldig för inneh</w:t>
      </w:r>
      <w:r>
        <w:t>a</w:t>
      </w:r>
      <w:r>
        <w:t>vet ska anmäla sitt innehav till landskapsregeringen. En anmälan ska göras innan en telev</w:t>
      </w:r>
      <w:r>
        <w:t>i</w:t>
      </w:r>
      <w:r>
        <w:t>sionsmottagare börjar användas. Anmälan om ibruktagandet av en televisionsmottagare träder i kraft den dag som betraktas som a</w:t>
      </w:r>
      <w:r>
        <w:t>n</w:t>
      </w:r>
      <w:r>
        <w:t xml:space="preserve">komstdag för </w:t>
      </w:r>
      <w:r w:rsidR="00080CDD">
        <w:t xml:space="preserve">en </w:t>
      </w:r>
      <w:r>
        <w:t>handling enligt förvaltningslagen (2008:9) för landskapet Åland e</w:t>
      </w:r>
      <w:r>
        <w:t>l</w:t>
      </w:r>
      <w:r>
        <w:t>ler vid en annan senare tidpunkt som användaren uppger. Anmälan ska göras skriftl</w:t>
      </w:r>
      <w:r>
        <w:t>i</w:t>
      </w:r>
      <w:r>
        <w:t>gen eller på annat av landskapsregeringen godkänt sätt.</w:t>
      </w:r>
    </w:p>
    <w:p w:rsidR="00383F05" w:rsidRDefault="00383F05" w:rsidP="00383F05">
      <w:pPr>
        <w:pStyle w:val="ANormal"/>
      </w:pPr>
      <w:r>
        <w:tab/>
        <w:t>I anmälan enligt 2 mom. ska anges</w:t>
      </w:r>
    </w:p>
    <w:p w:rsidR="00383F05" w:rsidRDefault="00383F05" w:rsidP="00383F05">
      <w:pPr>
        <w:pStyle w:val="ANormal"/>
      </w:pPr>
      <w:r>
        <w:tab/>
        <w:t>1) innehavarens namn och personbeteckning,</w:t>
      </w:r>
    </w:p>
    <w:p w:rsidR="00383F05" w:rsidRDefault="00383F05" w:rsidP="00383F05">
      <w:pPr>
        <w:pStyle w:val="ANormal"/>
      </w:pPr>
      <w:r>
        <w:tab/>
        <w:t>2) juridiska pers</w:t>
      </w:r>
      <w:r>
        <w:t>o</w:t>
      </w:r>
      <w:r>
        <w:t>ners affärs- och samfundssignum,</w:t>
      </w:r>
    </w:p>
    <w:p w:rsidR="00383F05" w:rsidRDefault="00383F05" w:rsidP="00383F05">
      <w:pPr>
        <w:pStyle w:val="ANormal"/>
      </w:pPr>
      <w:r>
        <w:tab/>
        <w:t>3) adress,</w:t>
      </w:r>
    </w:p>
    <w:p w:rsidR="00383F05" w:rsidRDefault="00383F05" w:rsidP="00383F05">
      <w:pPr>
        <w:pStyle w:val="ANormal"/>
      </w:pPr>
      <w:r>
        <w:tab/>
        <w:t xml:space="preserve">4) antalet televisionsmottagare som innehas </w:t>
      </w:r>
      <w:r w:rsidR="00A34228">
        <w:t xml:space="preserve">av </w:t>
      </w:r>
      <w:r w:rsidR="00A34228" w:rsidRPr="00401C67">
        <w:rPr>
          <w:i/>
        </w:rPr>
        <w:t>fysiska och juridiska personer som bedriver inkvarteringsrörelse</w:t>
      </w:r>
      <w:r w:rsidR="00A34228">
        <w:t xml:space="preserve"> </w:t>
      </w:r>
      <w:r>
        <w:t>samt</w:t>
      </w:r>
    </w:p>
    <w:p w:rsidR="00383F05" w:rsidRDefault="00383F05" w:rsidP="00383F05">
      <w:pPr>
        <w:pStyle w:val="ANormal"/>
      </w:pPr>
      <w:r>
        <w:tab/>
        <w:t>5) andra uppgifter som behövs för att fastställa avgiftsskyldigheten och sköta övervakningen.</w:t>
      </w:r>
    </w:p>
    <w:p w:rsidR="00383F05" w:rsidRDefault="00383F05" w:rsidP="00383F05">
      <w:pPr>
        <w:pStyle w:val="ANormal"/>
      </w:pPr>
    </w:p>
    <w:p w:rsidR="00383F05" w:rsidRDefault="00383F05" w:rsidP="00383F05">
      <w:pPr>
        <w:pStyle w:val="LagParagraf"/>
      </w:pPr>
      <w:r>
        <w:t>28 §</w:t>
      </w:r>
    </w:p>
    <w:p w:rsidR="00383F05" w:rsidRDefault="00383F05" w:rsidP="00383F05">
      <w:pPr>
        <w:pStyle w:val="LagPararubrik"/>
      </w:pPr>
      <w:r>
        <w:t>Avgift för innehav av televisionsmottagare</w:t>
      </w:r>
    </w:p>
    <w:p w:rsidR="00383F05" w:rsidRDefault="00383F05" w:rsidP="00383F05">
      <w:pPr>
        <w:pStyle w:val="ANormal"/>
        <w:rPr>
          <w:szCs w:val="22"/>
        </w:rPr>
      </w:pPr>
      <w:r>
        <w:rPr>
          <w:szCs w:val="22"/>
        </w:rPr>
        <w:tab/>
        <w:t>För innehav av</w:t>
      </w:r>
      <w:r w:rsidRPr="00A5420C">
        <w:rPr>
          <w:szCs w:val="22"/>
        </w:rPr>
        <w:t xml:space="preserve"> </w:t>
      </w:r>
      <w:r w:rsidR="00A34228" w:rsidRPr="00A5420C">
        <w:rPr>
          <w:i/>
          <w:szCs w:val="22"/>
        </w:rPr>
        <w:t>en anordning som huvudsakligen används som</w:t>
      </w:r>
      <w:r w:rsidR="00A34228" w:rsidRPr="00A5420C">
        <w:rPr>
          <w:color w:val="FF0000"/>
          <w:szCs w:val="22"/>
        </w:rPr>
        <w:t xml:space="preserve"> </w:t>
      </w:r>
      <w:r>
        <w:rPr>
          <w:szCs w:val="22"/>
        </w:rPr>
        <w:t>televi</w:t>
      </w:r>
      <w:r>
        <w:rPr>
          <w:szCs w:val="22"/>
        </w:rPr>
        <w:t>s</w:t>
      </w:r>
      <w:r>
        <w:rPr>
          <w:szCs w:val="22"/>
        </w:rPr>
        <w:t>ionsmottagare betalas en årlig avgift i enlighet med vad landskapsregerin</w:t>
      </w:r>
      <w:r>
        <w:rPr>
          <w:szCs w:val="22"/>
        </w:rPr>
        <w:t>g</w:t>
      </w:r>
      <w:r>
        <w:rPr>
          <w:szCs w:val="22"/>
        </w:rPr>
        <w:t>en närmare bestämmer.</w:t>
      </w:r>
      <w:r w:rsidR="00080CDD">
        <w:rPr>
          <w:szCs w:val="22"/>
        </w:rPr>
        <w:t xml:space="preserve"> Landskapsregeringen har </w:t>
      </w:r>
      <w:proofErr w:type="gramStart"/>
      <w:r w:rsidR="00080CDD">
        <w:rPr>
          <w:szCs w:val="22"/>
        </w:rPr>
        <w:t>härvid</w:t>
      </w:r>
      <w:proofErr w:type="gramEnd"/>
      <w:r w:rsidR="00080CDD">
        <w:rPr>
          <w:szCs w:val="22"/>
        </w:rPr>
        <w:t xml:space="preserve"> </w:t>
      </w:r>
      <w:r>
        <w:rPr>
          <w:szCs w:val="22"/>
        </w:rPr>
        <w:t>rätt att b</w:t>
      </w:r>
      <w:r>
        <w:rPr>
          <w:szCs w:val="22"/>
        </w:rPr>
        <w:t>e</w:t>
      </w:r>
      <w:r>
        <w:rPr>
          <w:szCs w:val="22"/>
        </w:rPr>
        <w:t xml:space="preserve">stämma </w:t>
      </w:r>
      <w:r w:rsidR="00D0131B" w:rsidRPr="00D0131B">
        <w:rPr>
          <w:i/>
          <w:szCs w:val="22"/>
        </w:rPr>
        <w:t>(uteslutning)</w:t>
      </w:r>
      <w:r w:rsidR="00D0131B">
        <w:rPr>
          <w:szCs w:val="22"/>
        </w:rPr>
        <w:t xml:space="preserve"> </w:t>
      </w:r>
      <w:r>
        <w:rPr>
          <w:szCs w:val="22"/>
        </w:rPr>
        <w:t>om befrielse från skyldigheten att betala a</w:t>
      </w:r>
      <w:r>
        <w:rPr>
          <w:szCs w:val="22"/>
        </w:rPr>
        <w:t>v</w:t>
      </w:r>
      <w:r>
        <w:rPr>
          <w:szCs w:val="22"/>
        </w:rPr>
        <w:t>gift.</w:t>
      </w:r>
    </w:p>
    <w:p w:rsidR="00401C67" w:rsidRDefault="003B60A0" w:rsidP="00401C67">
      <w:pPr>
        <w:pStyle w:val="ANormal"/>
      </w:pPr>
      <w:r>
        <w:tab/>
      </w:r>
      <w:r w:rsidR="00401C67">
        <w:t>(</w:t>
      </w:r>
      <w:r w:rsidR="00411D05">
        <w:t>2</w:t>
      </w:r>
      <w:r w:rsidR="00401C67">
        <w:t>-4 mom. lika som framställningen).</w:t>
      </w:r>
    </w:p>
    <w:p w:rsidR="00383F05" w:rsidRDefault="00383F05" w:rsidP="00383F05">
      <w:pPr>
        <w:pStyle w:val="ANormal"/>
      </w:pPr>
      <w:r>
        <w:rPr>
          <w:szCs w:val="22"/>
        </w:rPr>
        <w:tab/>
      </w:r>
    </w:p>
    <w:p w:rsidR="00383F05" w:rsidRDefault="00383F05" w:rsidP="00383F05">
      <w:pPr>
        <w:pStyle w:val="LagParagraf"/>
      </w:pPr>
      <w:r>
        <w:t>29</w:t>
      </w:r>
      <w:r w:rsidR="00C63082">
        <w:t xml:space="preserve">-30 </w:t>
      </w:r>
      <w:proofErr w:type="gramStart"/>
      <w:r w:rsidR="00C63082">
        <w:t>§</w:t>
      </w:r>
      <w:r>
        <w:t>§</w:t>
      </w:r>
      <w:proofErr w:type="gramEnd"/>
    </w:p>
    <w:p w:rsidR="00383F05" w:rsidRDefault="00A37B23" w:rsidP="00A37B23">
      <w:pPr>
        <w:pStyle w:val="ANormal"/>
        <w:rPr>
          <w:szCs w:val="22"/>
        </w:rPr>
      </w:pPr>
      <w:r>
        <w:rPr>
          <w:szCs w:val="22"/>
        </w:rPr>
        <w:t>(Lika som i framställningen).</w:t>
      </w:r>
    </w:p>
    <w:p w:rsidR="00A37B23" w:rsidRDefault="00A37B23" w:rsidP="00383F05">
      <w:pPr>
        <w:pStyle w:val="LagParagraf"/>
      </w:pPr>
    </w:p>
    <w:p w:rsidR="00383F05" w:rsidRDefault="00383F05" w:rsidP="00383F05">
      <w:pPr>
        <w:pStyle w:val="LagParagraf"/>
      </w:pPr>
      <w:r>
        <w:t>31 §</w:t>
      </w:r>
    </w:p>
    <w:p w:rsidR="00383F05" w:rsidRDefault="00383F05" w:rsidP="00383F05">
      <w:pPr>
        <w:pStyle w:val="LagPararubrik"/>
      </w:pPr>
      <w:r>
        <w:t>Kontrollanter</w:t>
      </w:r>
    </w:p>
    <w:p w:rsidR="00A37B23" w:rsidRDefault="005721AA" w:rsidP="00383F05">
      <w:pPr>
        <w:pStyle w:val="ANormal"/>
      </w:pPr>
      <w:r>
        <w:tab/>
      </w:r>
      <w:r w:rsidR="00A37B23">
        <w:t>(1-2 mom. lika som</w:t>
      </w:r>
      <w:r w:rsidR="003853E1">
        <w:t xml:space="preserve"> i</w:t>
      </w:r>
      <w:r w:rsidR="00A37B23">
        <w:t xml:space="preserve"> framställningen).</w:t>
      </w:r>
    </w:p>
    <w:p w:rsidR="00383F05" w:rsidRDefault="00383F05" w:rsidP="00383F05">
      <w:pPr>
        <w:pStyle w:val="ANormal"/>
        <w:rPr>
          <w:szCs w:val="22"/>
        </w:rPr>
      </w:pPr>
      <w:r>
        <w:tab/>
        <w:t>I samband med en kontroll ska kontrollanten på begäran ges inform</w:t>
      </w:r>
      <w:r>
        <w:t>a</w:t>
      </w:r>
      <w:r>
        <w:t xml:space="preserve">tion om </w:t>
      </w:r>
      <w:r w:rsidR="00DC1E1B" w:rsidRPr="00C63082">
        <w:rPr>
          <w:i/>
          <w:szCs w:val="22"/>
        </w:rPr>
        <w:t>(uteslut</w:t>
      </w:r>
      <w:r w:rsidR="00C63082" w:rsidRPr="00C63082">
        <w:rPr>
          <w:i/>
          <w:szCs w:val="22"/>
        </w:rPr>
        <w:t>ning</w:t>
      </w:r>
      <w:r w:rsidR="00DC1E1B" w:rsidRPr="00C63082">
        <w:rPr>
          <w:i/>
          <w:szCs w:val="22"/>
        </w:rPr>
        <w:t>)</w:t>
      </w:r>
      <w:r w:rsidR="00DC1E1B">
        <w:rPr>
          <w:szCs w:val="22"/>
        </w:rPr>
        <w:t xml:space="preserve"> </w:t>
      </w:r>
      <w:r>
        <w:rPr>
          <w:szCs w:val="22"/>
        </w:rPr>
        <w:t>omständigheter som behövs vid uppbörden av avgi</w:t>
      </w:r>
      <w:r>
        <w:rPr>
          <w:szCs w:val="22"/>
        </w:rPr>
        <w:t>f</w:t>
      </w:r>
      <w:r>
        <w:rPr>
          <w:szCs w:val="22"/>
        </w:rPr>
        <w:t>ten.</w:t>
      </w:r>
    </w:p>
    <w:p w:rsidR="00383F05" w:rsidRDefault="00383F05" w:rsidP="00383F05">
      <w:pPr>
        <w:pStyle w:val="ANormal"/>
      </w:pPr>
    </w:p>
    <w:p w:rsidR="00383F05" w:rsidRDefault="00383F05" w:rsidP="00383F05">
      <w:pPr>
        <w:pStyle w:val="LagKapitel"/>
      </w:pPr>
      <w:r>
        <w:t>6 kap.</w:t>
      </w:r>
      <w:r>
        <w:br/>
        <w:t>Televisionsinnehavarregister</w:t>
      </w:r>
    </w:p>
    <w:p w:rsidR="00383F05" w:rsidRDefault="00383F05" w:rsidP="00383F05">
      <w:pPr>
        <w:pStyle w:val="ANormal"/>
        <w:keepNext/>
      </w:pPr>
    </w:p>
    <w:p w:rsidR="00383F05" w:rsidRDefault="00383F05" w:rsidP="00383F05">
      <w:pPr>
        <w:pStyle w:val="LagParagraf"/>
      </w:pPr>
      <w:r>
        <w:t>3</w:t>
      </w:r>
      <w:r w:rsidR="000F06D8">
        <w:t>2</w:t>
      </w:r>
      <w:r w:rsidR="003853E1">
        <w:t>-34</w:t>
      </w:r>
      <w:r>
        <w:t> </w:t>
      </w:r>
      <w:proofErr w:type="gramStart"/>
      <w:r w:rsidR="003853E1">
        <w:t>§</w:t>
      </w:r>
      <w:r>
        <w:t>§</w:t>
      </w:r>
      <w:proofErr w:type="gramEnd"/>
    </w:p>
    <w:p w:rsidR="003853E1" w:rsidRDefault="003853E1" w:rsidP="003853E1">
      <w:pPr>
        <w:pStyle w:val="ANormal"/>
      </w:pPr>
      <w:r>
        <w:t>(Lika som i framställningen).</w:t>
      </w:r>
    </w:p>
    <w:p w:rsidR="00383F05" w:rsidRDefault="00383F05" w:rsidP="00383F05">
      <w:pPr>
        <w:pStyle w:val="ANormal"/>
        <w:rPr>
          <w:szCs w:val="22"/>
        </w:rPr>
      </w:pPr>
    </w:p>
    <w:p w:rsidR="00383F05" w:rsidRDefault="00383F05" w:rsidP="00383F05">
      <w:pPr>
        <w:pStyle w:val="LagParagraf"/>
      </w:pPr>
      <w:r>
        <w:t>35 §</w:t>
      </w:r>
    </w:p>
    <w:p w:rsidR="00383F05" w:rsidRDefault="00383F05" w:rsidP="00383F05">
      <w:pPr>
        <w:pStyle w:val="LagPararubrik"/>
      </w:pPr>
      <w:r>
        <w:t>Registerinnehåll</w:t>
      </w:r>
    </w:p>
    <w:p w:rsidR="00383F05" w:rsidRDefault="004A0913" w:rsidP="00383F05">
      <w:pPr>
        <w:pStyle w:val="ANormal"/>
        <w:rPr>
          <w:szCs w:val="22"/>
        </w:rPr>
      </w:pPr>
      <w:r>
        <w:rPr>
          <w:szCs w:val="22"/>
        </w:rPr>
        <w:tab/>
      </w:r>
      <w:r w:rsidR="00383F05">
        <w:rPr>
          <w:szCs w:val="22"/>
        </w:rPr>
        <w:t>Televisionsinnehavarregistret får innehålla personuppgifter om dem som anmält sitt innehav av televisionsmottagare och om dem som har konstat</w:t>
      </w:r>
      <w:r w:rsidR="00383F05">
        <w:rPr>
          <w:szCs w:val="22"/>
        </w:rPr>
        <w:t>e</w:t>
      </w:r>
      <w:r w:rsidR="00383F05">
        <w:rPr>
          <w:szCs w:val="22"/>
        </w:rPr>
        <w:t>rats ha brutit mot skyldigheten att anmäla sitt innehav samt om uppbörds- och betalningstransaktioner som gäller avgifter som uppbärs för använ</w:t>
      </w:r>
      <w:r w:rsidR="00383F05">
        <w:rPr>
          <w:szCs w:val="22"/>
        </w:rPr>
        <w:t>d</w:t>
      </w:r>
      <w:r w:rsidR="00383F05">
        <w:rPr>
          <w:szCs w:val="22"/>
        </w:rPr>
        <w:t>ningen av en televisionsmottagare.</w:t>
      </w:r>
    </w:p>
    <w:p w:rsidR="00383F05" w:rsidRDefault="00383F05" w:rsidP="00383F05">
      <w:pPr>
        <w:pStyle w:val="ANormal"/>
        <w:rPr>
          <w:szCs w:val="22"/>
        </w:rPr>
      </w:pPr>
      <w:r>
        <w:rPr>
          <w:szCs w:val="22"/>
        </w:rPr>
        <w:tab/>
        <w:t>I televisionsinnehavarregistret får följande uppgifter införas</w:t>
      </w:r>
    </w:p>
    <w:p w:rsidR="00383F05" w:rsidRDefault="00383F05" w:rsidP="00383F05">
      <w:pPr>
        <w:pStyle w:val="ANormal"/>
        <w:rPr>
          <w:szCs w:val="22"/>
        </w:rPr>
      </w:pPr>
      <w:r>
        <w:rPr>
          <w:szCs w:val="22"/>
        </w:rPr>
        <w:tab/>
        <w:t>1) innehavarens namn,</w:t>
      </w:r>
    </w:p>
    <w:p w:rsidR="00383F05" w:rsidRDefault="00383F05" w:rsidP="00383F05">
      <w:pPr>
        <w:pStyle w:val="ANormal"/>
      </w:pPr>
      <w:r>
        <w:rPr>
          <w:szCs w:val="22"/>
        </w:rPr>
        <w:tab/>
        <w:t xml:space="preserve">2) personbeteckning och i fråga om </w:t>
      </w:r>
      <w:r>
        <w:t>juridiska personer dennes affärs- och samfundssignum,</w:t>
      </w:r>
    </w:p>
    <w:p w:rsidR="00383F05" w:rsidRDefault="00383F05" w:rsidP="00383F05">
      <w:pPr>
        <w:pStyle w:val="ANormal"/>
      </w:pPr>
      <w:r>
        <w:tab/>
        <w:t>3) adress,</w:t>
      </w:r>
    </w:p>
    <w:p w:rsidR="00383F05" w:rsidRDefault="00383F05" w:rsidP="00383F05">
      <w:pPr>
        <w:pStyle w:val="ANormal"/>
      </w:pPr>
      <w:r>
        <w:tab/>
        <w:t>4) hemkommun,</w:t>
      </w:r>
    </w:p>
    <w:p w:rsidR="00383F05" w:rsidRDefault="00383F05" w:rsidP="00383F05">
      <w:pPr>
        <w:pStyle w:val="ANormal"/>
      </w:pPr>
      <w:r>
        <w:lastRenderedPageBreak/>
        <w:tab/>
        <w:t xml:space="preserve">5) antalet televisionsmottagare som innehas och används </w:t>
      </w:r>
      <w:r w:rsidR="00783129" w:rsidRPr="004A0913">
        <w:rPr>
          <w:i/>
        </w:rPr>
        <w:t xml:space="preserve">av </w:t>
      </w:r>
      <w:r w:rsidR="00DC1E1B" w:rsidRPr="004A0913">
        <w:rPr>
          <w:i/>
        </w:rPr>
        <w:t>fysiska och juridiska personer som bedriver inkvarteringsrörelse</w:t>
      </w:r>
      <w:r w:rsidR="00DC1E1B">
        <w:t xml:space="preserve"> </w:t>
      </w:r>
      <w:r>
        <w:t>samt</w:t>
      </w:r>
    </w:p>
    <w:p w:rsidR="00383F05" w:rsidRDefault="00383F05" w:rsidP="00383F05">
      <w:pPr>
        <w:pStyle w:val="ANormal"/>
        <w:rPr>
          <w:szCs w:val="22"/>
        </w:rPr>
      </w:pPr>
      <w:r>
        <w:rPr>
          <w:szCs w:val="22"/>
        </w:rPr>
        <w:tab/>
        <w:t xml:space="preserve">6) </w:t>
      </w:r>
      <w:r>
        <w:t>andra uppgifter som behövs för att fastställa avgiftssky</w:t>
      </w:r>
      <w:r>
        <w:t>l</w:t>
      </w:r>
      <w:r>
        <w:t>digheten och sköta övervakningen.</w:t>
      </w:r>
    </w:p>
    <w:p w:rsidR="00383F05" w:rsidRDefault="00383F05" w:rsidP="00383F05">
      <w:pPr>
        <w:pStyle w:val="ANormal"/>
        <w:rPr>
          <w:szCs w:val="22"/>
        </w:rPr>
      </w:pPr>
    </w:p>
    <w:p w:rsidR="005951EE" w:rsidRDefault="00383F05" w:rsidP="005951EE">
      <w:pPr>
        <w:pStyle w:val="LagParagraf"/>
      </w:pPr>
      <w:r>
        <w:t>36</w:t>
      </w:r>
      <w:r w:rsidR="005951EE">
        <w:t>-45</w:t>
      </w:r>
      <w:r>
        <w:t> </w:t>
      </w:r>
      <w:proofErr w:type="gramStart"/>
      <w:r w:rsidR="005951EE">
        <w:t>§</w:t>
      </w:r>
      <w:r>
        <w:t>§</w:t>
      </w:r>
      <w:proofErr w:type="gramEnd"/>
    </w:p>
    <w:p w:rsidR="005951EE" w:rsidRDefault="005951EE" w:rsidP="005951EE">
      <w:pPr>
        <w:pStyle w:val="LagParagraf"/>
        <w:jc w:val="left"/>
      </w:pPr>
      <w:r>
        <w:t>(Lika som i framställningen).</w:t>
      </w:r>
    </w:p>
    <w:p w:rsidR="007031E9" w:rsidRDefault="007031E9" w:rsidP="00383F05">
      <w:pPr>
        <w:pStyle w:val="ANormal"/>
        <w:jc w:val="center"/>
      </w:pPr>
    </w:p>
    <w:p w:rsidR="00383F05" w:rsidRDefault="00383F05" w:rsidP="00383F05">
      <w:pPr>
        <w:pStyle w:val="ANormal"/>
        <w:jc w:val="center"/>
      </w:pPr>
      <w:hyperlink w:anchor="_top" w:tooltip="Klicka för att gå till toppen av dokumentet" w:history="1">
        <w:r>
          <w:rPr>
            <w:rStyle w:val="Hyperlnk"/>
          </w:rPr>
          <w:t>________</w:t>
        </w:r>
        <w:r>
          <w:rPr>
            <w:rStyle w:val="Hyperlnk"/>
          </w:rPr>
          <w:t>__________</w:t>
        </w:r>
      </w:hyperlink>
    </w:p>
    <w:p w:rsidR="005951EE" w:rsidRDefault="005951EE" w:rsidP="00383F05">
      <w:pPr>
        <w:pStyle w:val="ANormal"/>
      </w:pPr>
    </w:p>
    <w:p w:rsidR="007031E9" w:rsidRDefault="007031E9" w:rsidP="007031E9">
      <w:pPr>
        <w:pStyle w:val="ANormal"/>
      </w:pPr>
      <w:r>
        <w:t>Utskottet föreslår vidare att</w:t>
      </w:r>
    </w:p>
    <w:p w:rsidR="007031E9" w:rsidRDefault="007031E9" w:rsidP="007031E9">
      <w:pPr>
        <w:pStyle w:val="ANormal"/>
      </w:pPr>
    </w:p>
    <w:p w:rsidR="005951EE" w:rsidRDefault="007031E9" w:rsidP="007031E9">
      <w:pPr>
        <w:pStyle w:val="ANormal"/>
        <w:ind w:left="1304"/>
      </w:pPr>
      <w:r>
        <w:t xml:space="preserve">lagtinget </w:t>
      </w:r>
      <w:proofErr w:type="gramStart"/>
      <w:r>
        <w:t>hemställer</w:t>
      </w:r>
      <w:proofErr w:type="gramEnd"/>
      <w:r>
        <w:t xml:space="preserve"> om att landskapsregeringen i bråd</w:t>
      </w:r>
      <w:r>
        <w:t>s</w:t>
      </w:r>
      <w:r>
        <w:t>kande ordning återkommer med ett förslag om lagstiftning för en modernare och rättvisare finansiering av public-service.</w:t>
      </w:r>
    </w:p>
    <w:p w:rsidR="002401D0" w:rsidRDefault="002401D0">
      <w:pPr>
        <w:pStyle w:val="ANormal"/>
      </w:pPr>
    </w:p>
    <w:tbl>
      <w:tblPr>
        <w:tblW w:w="7931" w:type="dxa"/>
        <w:tblCellMar>
          <w:left w:w="0" w:type="dxa"/>
          <w:right w:w="0" w:type="dxa"/>
        </w:tblCellMar>
        <w:tblLook w:val="0000" w:firstRow="0" w:lastRow="0" w:firstColumn="0" w:lastColumn="0" w:noHBand="0" w:noVBand="0"/>
      </w:tblPr>
      <w:tblGrid>
        <w:gridCol w:w="4454"/>
        <w:gridCol w:w="3477"/>
      </w:tblGrid>
      <w:tr w:rsidR="002401D0">
        <w:trPr>
          <w:cantSplit/>
        </w:trPr>
        <w:tc>
          <w:tcPr>
            <w:tcW w:w="7931" w:type="dxa"/>
            <w:gridSpan w:val="2"/>
          </w:tcPr>
          <w:p w:rsidR="007031E9" w:rsidRDefault="007031E9" w:rsidP="005951EE">
            <w:pPr>
              <w:pStyle w:val="ANormal"/>
              <w:keepNext/>
            </w:pPr>
          </w:p>
          <w:p w:rsidR="007031E9" w:rsidRDefault="007031E9" w:rsidP="005951EE">
            <w:pPr>
              <w:pStyle w:val="ANormal"/>
              <w:keepNext/>
            </w:pPr>
          </w:p>
          <w:p w:rsidR="002401D0" w:rsidRDefault="005951EE" w:rsidP="0086451B">
            <w:pPr>
              <w:pStyle w:val="ANormal"/>
              <w:keepNext/>
            </w:pPr>
            <w:r>
              <w:t xml:space="preserve">Mariehamn den </w:t>
            </w:r>
            <w:r w:rsidR="0086451B">
              <w:t>1</w:t>
            </w:r>
            <w:r>
              <w:t xml:space="preserve"> juni</w:t>
            </w:r>
            <w:r w:rsidR="00392EC8">
              <w:t xml:space="preserve"> 2011</w:t>
            </w:r>
          </w:p>
        </w:tc>
      </w:tr>
      <w:tr w:rsidR="002401D0">
        <w:tc>
          <w:tcPr>
            <w:tcW w:w="4454" w:type="dxa"/>
            <w:vAlign w:val="bottom"/>
          </w:tcPr>
          <w:p w:rsidR="002401D0" w:rsidRDefault="002401D0">
            <w:pPr>
              <w:pStyle w:val="ANormal"/>
              <w:keepNext/>
            </w:pPr>
          </w:p>
          <w:p w:rsidR="002401D0" w:rsidRDefault="002401D0">
            <w:pPr>
              <w:pStyle w:val="ANormal"/>
              <w:keepNext/>
            </w:pPr>
          </w:p>
          <w:p w:rsidR="002401D0" w:rsidRDefault="002401D0">
            <w:pPr>
              <w:pStyle w:val="ANormal"/>
              <w:keepNext/>
            </w:pPr>
            <w:r>
              <w:t>Ordförande</w:t>
            </w:r>
          </w:p>
        </w:tc>
        <w:tc>
          <w:tcPr>
            <w:tcW w:w="3477" w:type="dxa"/>
            <w:vAlign w:val="bottom"/>
          </w:tcPr>
          <w:p w:rsidR="002401D0" w:rsidRDefault="002401D0">
            <w:pPr>
              <w:pStyle w:val="ANormal"/>
              <w:keepNext/>
            </w:pPr>
          </w:p>
          <w:p w:rsidR="002401D0" w:rsidRDefault="002401D0">
            <w:pPr>
              <w:pStyle w:val="ANormal"/>
              <w:keepNext/>
            </w:pPr>
          </w:p>
          <w:p w:rsidR="002401D0" w:rsidRDefault="00392EC8">
            <w:pPr>
              <w:pStyle w:val="ANormal"/>
              <w:keepNext/>
            </w:pPr>
            <w:r>
              <w:t>Johan Ehn</w:t>
            </w:r>
          </w:p>
        </w:tc>
      </w:tr>
      <w:tr w:rsidR="002401D0">
        <w:tc>
          <w:tcPr>
            <w:tcW w:w="4454" w:type="dxa"/>
            <w:vAlign w:val="bottom"/>
          </w:tcPr>
          <w:p w:rsidR="002401D0" w:rsidRDefault="002401D0">
            <w:pPr>
              <w:pStyle w:val="ANormal"/>
              <w:keepNext/>
            </w:pPr>
          </w:p>
          <w:p w:rsidR="002401D0" w:rsidRDefault="002401D0">
            <w:pPr>
              <w:pStyle w:val="ANormal"/>
              <w:keepNext/>
            </w:pPr>
          </w:p>
          <w:p w:rsidR="002401D0" w:rsidRDefault="002401D0">
            <w:pPr>
              <w:pStyle w:val="ANormal"/>
              <w:keepNext/>
            </w:pPr>
            <w:r>
              <w:t>Sekreterare</w:t>
            </w:r>
          </w:p>
        </w:tc>
        <w:tc>
          <w:tcPr>
            <w:tcW w:w="3477" w:type="dxa"/>
            <w:vAlign w:val="bottom"/>
          </w:tcPr>
          <w:p w:rsidR="002401D0" w:rsidRDefault="002401D0">
            <w:pPr>
              <w:pStyle w:val="ANormal"/>
              <w:keepNext/>
            </w:pPr>
          </w:p>
          <w:p w:rsidR="002401D0" w:rsidRDefault="002401D0">
            <w:pPr>
              <w:pStyle w:val="ANormal"/>
              <w:keepNext/>
            </w:pPr>
          </w:p>
          <w:p w:rsidR="002401D0" w:rsidRDefault="005951EE" w:rsidP="005951EE">
            <w:pPr>
              <w:pStyle w:val="ANormal"/>
              <w:keepNext/>
            </w:pPr>
            <w:r>
              <w:t>Sten Eriksson</w:t>
            </w:r>
          </w:p>
        </w:tc>
      </w:tr>
    </w:tbl>
    <w:p w:rsidR="002401D0" w:rsidRDefault="002401D0">
      <w:pPr>
        <w:pStyle w:val="ANormal"/>
      </w:pPr>
    </w:p>
    <w:p w:rsidR="0086451B" w:rsidRDefault="0086451B">
      <w:pPr>
        <w:pStyle w:val="ANormal"/>
      </w:pPr>
    </w:p>
    <w:p w:rsidR="0086451B" w:rsidRDefault="0086451B">
      <w:pPr>
        <w:pStyle w:val="ANormal"/>
      </w:pPr>
    </w:p>
    <w:p w:rsidR="0086451B" w:rsidRDefault="0086451B" w:rsidP="0086451B">
      <w:pPr>
        <w:ind w:left="1304"/>
        <w:rPr>
          <w:rFonts w:ascii="Trebuchet MS" w:hAnsi="Trebuchet MS"/>
          <w:color w:val="222222"/>
          <w:sz w:val="20"/>
          <w:szCs w:val="20"/>
        </w:rPr>
      </w:pPr>
      <w:r>
        <w:rPr>
          <w:rStyle w:val="apple-style-span"/>
          <w:rFonts w:ascii="Trebuchet MS" w:hAnsi="Trebuchet MS"/>
          <w:color w:val="222222"/>
          <w:sz w:val="20"/>
          <w:szCs w:val="20"/>
        </w:rPr>
        <w:t>R E S E R V A T I O N</w:t>
      </w:r>
      <w:r>
        <w:rPr>
          <w:rStyle w:val="apple-converted-space"/>
          <w:rFonts w:ascii="Trebuchet MS" w:hAnsi="Trebuchet MS"/>
          <w:color w:val="222222"/>
          <w:sz w:val="20"/>
          <w:szCs w:val="20"/>
        </w:rPr>
        <w:t> </w:t>
      </w:r>
      <w:r>
        <w:rPr>
          <w:rFonts w:ascii="Trebuchet MS" w:hAnsi="Trebuchet MS"/>
          <w:color w:val="222222"/>
          <w:sz w:val="20"/>
          <w:szCs w:val="20"/>
        </w:rPr>
        <w:br/>
      </w:r>
      <w:r>
        <w:rPr>
          <w:rFonts w:ascii="Trebuchet MS" w:hAnsi="Trebuchet MS"/>
          <w:color w:val="222222"/>
          <w:sz w:val="20"/>
          <w:szCs w:val="20"/>
        </w:rPr>
        <w:br/>
      </w:r>
    </w:p>
    <w:p w:rsidR="0086451B" w:rsidRDefault="0086451B" w:rsidP="0086451B">
      <w:pPr>
        <w:ind w:left="1304"/>
        <w:rPr>
          <w:rStyle w:val="apple-style-span"/>
          <w:rFonts w:ascii="Trebuchet MS" w:hAnsi="Trebuchet MS"/>
          <w:color w:val="222222"/>
          <w:sz w:val="20"/>
          <w:szCs w:val="20"/>
        </w:rPr>
      </w:pPr>
      <w:r>
        <w:rPr>
          <w:rStyle w:val="apple-style-span"/>
          <w:rFonts w:ascii="Trebuchet MS" w:hAnsi="Trebuchet MS"/>
          <w:color w:val="222222"/>
          <w:sz w:val="20"/>
          <w:szCs w:val="20"/>
        </w:rPr>
        <w:t>Undertecknad reserverar sig mot kulturutskottets betä</w:t>
      </w:r>
      <w:r>
        <w:rPr>
          <w:rStyle w:val="apple-style-span"/>
          <w:rFonts w:ascii="Trebuchet MS" w:hAnsi="Trebuchet MS"/>
          <w:color w:val="222222"/>
          <w:sz w:val="20"/>
          <w:szCs w:val="20"/>
        </w:rPr>
        <w:t>n</w:t>
      </w:r>
      <w:r>
        <w:rPr>
          <w:rStyle w:val="apple-style-span"/>
          <w:rFonts w:ascii="Trebuchet MS" w:hAnsi="Trebuchet MS"/>
          <w:color w:val="222222"/>
          <w:sz w:val="20"/>
          <w:szCs w:val="20"/>
        </w:rPr>
        <w:t>kande (KU 5/2010-2011) med anledning av landskapsreg</w:t>
      </w:r>
      <w:r>
        <w:rPr>
          <w:rStyle w:val="apple-style-span"/>
          <w:rFonts w:ascii="Trebuchet MS" w:hAnsi="Trebuchet MS"/>
          <w:color w:val="222222"/>
          <w:sz w:val="20"/>
          <w:szCs w:val="20"/>
        </w:rPr>
        <w:t>e</w:t>
      </w:r>
      <w:r>
        <w:rPr>
          <w:rStyle w:val="apple-style-span"/>
          <w:rFonts w:ascii="Trebuchet MS" w:hAnsi="Trebuchet MS"/>
          <w:color w:val="222222"/>
          <w:sz w:val="20"/>
          <w:szCs w:val="20"/>
        </w:rPr>
        <w:t>ringens framställning om ny lag för radio- och television</w:t>
      </w:r>
      <w:r>
        <w:rPr>
          <w:rStyle w:val="apple-style-span"/>
          <w:rFonts w:ascii="Trebuchet MS" w:hAnsi="Trebuchet MS"/>
          <w:color w:val="222222"/>
          <w:sz w:val="20"/>
          <w:szCs w:val="20"/>
        </w:rPr>
        <w:t>s</w:t>
      </w:r>
      <w:r>
        <w:rPr>
          <w:rStyle w:val="apple-style-span"/>
          <w:rFonts w:ascii="Trebuchet MS" w:hAnsi="Trebuchet MS"/>
          <w:color w:val="222222"/>
          <w:sz w:val="20"/>
          <w:szCs w:val="20"/>
        </w:rPr>
        <w:t>verksamhet med följande argument.</w:t>
      </w:r>
    </w:p>
    <w:p w:rsidR="0086451B" w:rsidRDefault="0086451B" w:rsidP="0086451B">
      <w:pPr>
        <w:rPr>
          <w:rStyle w:val="apple-style-span"/>
          <w:rFonts w:ascii="Trebuchet MS" w:hAnsi="Trebuchet MS"/>
          <w:color w:val="222222"/>
          <w:sz w:val="20"/>
          <w:szCs w:val="20"/>
        </w:rPr>
      </w:pPr>
    </w:p>
    <w:p w:rsidR="0086451B" w:rsidRDefault="0086451B" w:rsidP="0086451B">
      <w:pPr>
        <w:ind w:left="1304"/>
        <w:rPr>
          <w:rStyle w:val="apple-style-span"/>
          <w:rFonts w:ascii="Trebuchet MS" w:hAnsi="Trebuchet MS"/>
          <w:color w:val="222222"/>
          <w:sz w:val="20"/>
          <w:szCs w:val="20"/>
        </w:rPr>
      </w:pPr>
      <w:r>
        <w:rPr>
          <w:rStyle w:val="apple-style-span"/>
          <w:rFonts w:ascii="Trebuchet MS" w:hAnsi="Trebuchet MS"/>
          <w:color w:val="222222"/>
          <w:sz w:val="20"/>
          <w:szCs w:val="20"/>
        </w:rPr>
        <w:t>För det första så föreslår utskottet att dagens omoderna, orättvisa och kostsamma system med TV-licenser fortsät</w:t>
      </w:r>
      <w:r>
        <w:rPr>
          <w:rStyle w:val="apple-style-span"/>
          <w:rFonts w:ascii="Trebuchet MS" w:hAnsi="Trebuchet MS"/>
          <w:color w:val="222222"/>
          <w:sz w:val="20"/>
          <w:szCs w:val="20"/>
        </w:rPr>
        <w:t>t</w:t>
      </w:r>
      <w:r>
        <w:rPr>
          <w:rStyle w:val="apple-style-span"/>
          <w:rFonts w:ascii="Trebuchet MS" w:hAnsi="Trebuchet MS"/>
          <w:color w:val="222222"/>
          <w:sz w:val="20"/>
          <w:szCs w:val="20"/>
        </w:rPr>
        <w:t>ningsvis skall vara gällande i landskapet. Utskottet gör även en ny tolkning av vad som är en avgiftsbelagd television</w:t>
      </w:r>
      <w:r>
        <w:rPr>
          <w:rStyle w:val="apple-style-span"/>
          <w:rFonts w:ascii="Trebuchet MS" w:hAnsi="Trebuchet MS"/>
          <w:color w:val="222222"/>
          <w:sz w:val="20"/>
          <w:szCs w:val="20"/>
        </w:rPr>
        <w:t>s</w:t>
      </w:r>
      <w:r>
        <w:rPr>
          <w:rStyle w:val="apple-style-span"/>
          <w:rFonts w:ascii="Trebuchet MS" w:hAnsi="Trebuchet MS"/>
          <w:color w:val="222222"/>
          <w:sz w:val="20"/>
          <w:szCs w:val="20"/>
        </w:rPr>
        <w:t>mottagare. Den nya tolkningen kommer enligt undertec</w:t>
      </w:r>
      <w:r>
        <w:rPr>
          <w:rStyle w:val="apple-style-span"/>
          <w:rFonts w:ascii="Trebuchet MS" w:hAnsi="Trebuchet MS"/>
          <w:color w:val="222222"/>
          <w:sz w:val="20"/>
          <w:szCs w:val="20"/>
        </w:rPr>
        <w:t>k</w:t>
      </w:r>
      <w:r>
        <w:rPr>
          <w:rStyle w:val="apple-style-span"/>
          <w:rFonts w:ascii="Trebuchet MS" w:hAnsi="Trebuchet MS"/>
          <w:color w:val="222222"/>
          <w:sz w:val="20"/>
          <w:szCs w:val="20"/>
        </w:rPr>
        <w:t>nad att försvåra för de som skall utföra kontrollerna av TV-licensen, minska antalet licensbetalare och göra verksa</w:t>
      </w:r>
      <w:r>
        <w:rPr>
          <w:rStyle w:val="apple-style-span"/>
          <w:rFonts w:ascii="Trebuchet MS" w:hAnsi="Trebuchet MS"/>
          <w:color w:val="222222"/>
          <w:sz w:val="20"/>
          <w:szCs w:val="20"/>
        </w:rPr>
        <w:t>m</w:t>
      </w:r>
      <w:r>
        <w:rPr>
          <w:rStyle w:val="apple-style-span"/>
          <w:rFonts w:ascii="Trebuchet MS" w:hAnsi="Trebuchet MS"/>
          <w:color w:val="222222"/>
          <w:sz w:val="20"/>
          <w:szCs w:val="20"/>
        </w:rPr>
        <w:t>hetsförutsättningarna för Ålands Radio/TV Ab väldigt osäkra.</w:t>
      </w:r>
    </w:p>
    <w:p w:rsidR="0086451B" w:rsidRDefault="0086451B" w:rsidP="0086451B">
      <w:pPr>
        <w:ind w:left="1304"/>
        <w:rPr>
          <w:rStyle w:val="apple-style-span"/>
          <w:rFonts w:ascii="Trebuchet MS" w:hAnsi="Trebuchet MS"/>
          <w:color w:val="222222"/>
          <w:sz w:val="20"/>
          <w:szCs w:val="20"/>
        </w:rPr>
      </w:pPr>
    </w:p>
    <w:p w:rsidR="0086451B" w:rsidRDefault="0086451B" w:rsidP="0086451B">
      <w:pPr>
        <w:ind w:left="1304"/>
        <w:rPr>
          <w:rStyle w:val="apple-style-span"/>
          <w:rFonts w:ascii="Trebuchet MS" w:hAnsi="Trebuchet MS"/>
          <w:color w:val="222222"/>
          <w:sz w:val="20"/>
          <w:szCs w:val="20"/>
        </w:rPr>
      </w:pPr>
      <w:r>
        <w:rPr>
          <w:rStyle w:val="apple-style-span"/>
          <w:rFonts w:ascii="Trebuchet MS" w:hAnsi="Trebuchet MS"/>
          <w:color w:val="222222"/>
          <w:sz w:val="20"/>
          <w:szCs w:val="20"/>
        </w:rPr>
        <w:t>Undertecknad har sedan 1999 föreslagit att licenssystemet bör avskaffas och att finansieringen av public service ver</w:t>
      </w:r>
      <w:r>
        <w:rPr>
          <w:rStyle w:val="apple-style-span"/>
          <w:rFonts w:ascii="Trebuchet MS" w:hAnsi="Trebuchet MS"/>
          <w:color w:val="222222"/>
          <w:sz w:val="20"/>
          <w:szCs w:val="20"/>
        </w:rPr>
        <w:t>k</w:t>
      </w:r>
      <w:r>
        <w:rPr>
          <w:rStyle w:val="apple-style-span"/>
          <w:rFonts w:ascii="Trebuchet MS" w:hAnsi="Trebuchet MS"/>
          <w:color w:val="222222"/>
          <w:sz w:val="20"/>
          <w:szCs w:val="20"/>
        </w:rPr>
        <w:t>samheten i landskapet skall ske via budgeten. Att som u</w:t>
      </w:r>
      <w:r>
        <w:rPr>
          <w:rStyle w:val="apple-style-span"/>
          <w:rFonts w:ascii="Trebuchet MS" w:hAnsi="Trebuchet MS"/>
          <w:color w:val="222222"/>
          <w:sz w:val="20"/>
          <w:szCs w:val="20"/>
        </w:rPr>
        <w:t>t</w:t>
      </w:r>
      <w:r>
        <w:rPr>
          <w:rStyle w:val="apple-style-span"/>
          <w:rFonts w:ascii="Trebuchet MS" w:hAnsi="Trebuchet MS"/>
          <w:color w:val="222222"/>
          <w:sz w:val="20"/>
          <w:szCs w:val="20"/>
        </w:rPr>
        <w:t>skottet föreslå att finansieringen av public service fortsät</w:t>
      </w:r>
      <w:r>
        <w:rPr>
          <w:rStyle w:val="apple-style-span"/>
          <w:rFonts w:ascii="Trebuchet MS" w:hAnsi="Trebuchet MS"/>
          <w:color w:val="222222"/>
          <w:sz w:val="20"/>
          <w:szCs w:val="20"/>
        </w:rPr>
        <w:t>t</w:t>
      </w:r>
      <w:r>
        <w:rPr>
          <w:rStyle w:val="apple-style-span"/>
          <w:rFonts w:ascii="Trebuchet MS" w:hAnsi="Trebuchet MS"/>
          <w:color w:val="222222"/>
          <w:sz w:val="20"/>
          <w:szCs w:val="20"/>
        </w:rPr>
        <w:t>ningsvis skall ske via TV-licenser eller som landskapsreg</w:t>
      </w:r>
      <w:r>
        <w:rPr>
          <w:rStyle w:val="apple-style-span"/>
          <w:rFonts w:ascii="Trebuchet MS" w:hAnsi="Trebuchet MS"/>
          <w:color w:val="222222"/>
          <w:sz w:val="20"/>
          <w:szCs w:val="20"/>
        </w:rPr>
        <w:t>e</w:t>
      </w:r>
      <w:r>
        <w:rPr>
          <w:rStyle w:val="apple-style-span"/>
          <w:rFonts w:ascii="Trebuchet MS" w:hAnsi="Trebuchet MS"/>
          <w:color w:val="222222"/>
          <w:sz w:val="20"/>
          <w:szCs w:val="20"/>
        </w:rPr>
        <w:t>ringen nu meddelat att det skall ändras till att bli en public service avgift är ingen lösning för att rättvist och långsi</w:t>
      </w:r>
      <w:r>
        <w:rPr>
          <w:rStyle w:val="apple-style-span"/>
          <w:rFonts w:ascii="Trebuchet MS" w:hAnsi="Trebuchet MS"/>
          <w:color w:val="222222"/>
          <w:sz w:val="20"/>
          <w:szCs w:val="20"/>
        </w:rPr>
        <w:t>k</w:t>
      </w:r>
      <w:r>
        <w:rPr>
          <w:rStyle w:val="apple-style-span"/>
          <w:rFonts w:ascii="Trebuchet MS" w:hAnsi="Trebuchet MS"/>
          <w:color w:val="222222"/>
          <w:sz w:val="20"/>
          <w:szCs w:val="20"/>
        </w:rPr>
        <w:t>tigt finansiera utbudet på.</w:t>
      </w:r>
    </w:p>
    <w:p w:rsidR="0086451B" w:rsidRDefault="0086451B" w:rsidP="0086451B">
      <w:pPr>
        <w:ind w:left="1304"/>
        <w:rPr>
          <w:rStyle w:val="apple-style-span"/>
          <w:rFonts w:ascii="Trebuchet MS" w:hAnsi="Trebuchet MS"/>
          <w:color w:val="222222"/>
          <w:sz w:val="20"/>
          <w:szCs w:val="20"/>
        </w:rPr>
      </w:pPr>
    </w:p>
    <w:p w:rsidR="0086451B" w:rsidRDefault="0086451B" w:rsidP="0086451B">
      <w:pPr>
        <w:ind w:left="1304"/>
        <w:rPr>
          <w:rStyle w:val="apple-style-span"/>
          <w:rFonts w:ascii="Trebuchet MS" w:hAnsi="Trebuchet MS"/>
          <w:color w:val="222222"/>
          <w:sz w:val="20"/>
          <w:szCs w:val="20"/>
        </w:rPr>
      </w:pPr>
      <w:r>
        <w:rPr>
          <w:rStyle w:val="apple-style-span"/>
          <w:rFonts w:ascii="Trebuchet MS" w:hAnsi="Trebuchet MS"/>
          <w:color w:val="222222"/>
          <w:sz w:val="20"/>
          <w:szCs w:val="20"/>
        </w:rPr>
        <w:t>Undertecknad har flera gånger föreslagit att ett nytt m</w:t>
      </w:r>
      <w:r>
        <w:rPr>
          <w:rStyle w:val="apple-style-span"/>
          <w:rFonts w:ascii="Trebuchet MS" w:hAnsi="Trebuchet MS"/>
          <w:color w:val="222222"/>
          <w:sz w:val="20"/>
          <w:szCs w:val="20"/>
        </w:rPr>
        <w:t>o</w:t>
      </w:r>
      <w:r>
        <w:rPr>
          <w:rStyle w:val="apple-style-span"/>
          <w:rFonts w:ascii="Trebuchet MS" w:hAnsi="Trebuchet MS"/>
          <w:color w:val="222222"/>
          <w:sz w:val="20"/>
          <w:szCs w:val="20"/>
        </w:rPr>
        <w:t xml:space="preserve">ment under landskapsbudgeten införs som exempelvis kunde heta ”kostnad för produktion samt återsändning av </w:t>
      </w:r>
      <w:r>
        <w:rPr>
          <w:rStyle w:val="apple-style-span"/>
          <w:rFonts w:ascii="Trebuchet MS" w:hAnsi="Trebuchet MS"/>
          <w:color w:val="222222"/>
          <w:sz w:val="20"/>
          <w:szCs w:val="20"/>
        </w:rPr>
        <w:lastRenderedPageBreak/>
        <w:t>etermedia”. Beloppet skulle basera sig på en av lagtinget fastställd procentsats av landskapsbudgeten och följa den allmänna konjunkturen och intäkterna för landskapet. Sålunda skulle alla på Åland vara med och betala, ingen bli betraktad som smitare/snyltare och resurser skulle inte behöva läggas på administration, övervakning och kontroll.</w:t>
      </w:r>
    </w:p>
    <w:p w:rsidR="0086451B" w:rsidRDefault="0086451B" w:rsidP="0086451B">
      <w:pPr>
        <w:ind w:left="1304"/>
        <w:rPr>
          <w:rStyle w:val="apple-style-span"/>
          <w:rFonts w:ascii="Trebuchet MS" w:hAnsi="Trebuchet MS"/>
          <w:color w:val="222222"/>
          <w:sz w:val="20"/>
          <w:szCs w:val="20"/>
        </w:rPr>
      </w:pPr>
    </w:p>
    <w:p w:rsidR="0086451B" w:rsidRDefault="0086451B" w:rsidP="0086451B">
      <w:pPr>
        <w:ind w:left="1304"/>
        <w:rPr>
          <w:rStyle w:val="apple-style-span"/>
          <w:rFonts w:ascii="Trebuchet MS" w:hAnsi="Trebuchet MS"/>
          <w:color w:val="222222"/>
          <w:sz w:val="20"/>
          <w:szCs w:val="20"/>
        </w:rPr>
      </w:pPr>
      <w:r>
        <w:rPr>
          <w:rStyle w:val="apple-style-span"/>
          <w:rFonts w:ascii="Trebuchet MS" w:hAnsi="Trebuchet MS"/>
          <w:color w:val="222222"/>
          <w:sz w:val="20"/>
          <w:szCs w:val="20"/>
        </w:rPr>
        <w:t xml:space="preserve">Eftersom den politiska viljan är att det skall finnas </w:t>
      </w:r>
      <w:proofErr w:type="gramStart"/>
      <w:r>
        <w:rPr>
          <w:rStyle w:val="apple-style-span"/>
          <w:rFonts w:ascii="Trebuchet MS" w:hAnsi="Trebuchet MS"/>
          <w:color w:val="222222"/>
          <w:sz w:val="20"/>
          <w:szCs w:val="20"/>
        </w:rPr>
        <w:t>ett</w:t>
      </w:r>
      <w:proofErr w:type="gramEnd"/>
      <w:r>
        <w:rPr>
          <w:rStyle w:val="apple-style-span"/>
          <w:rFonts w:ascii="Trebuchet MS" w:hAnsi="Trebuchet MS"/>
          <w:color w:val="222222"/>
          <w:sz w:val="20"/>
          <w:szCs w:val="20"/>
        </w:rPr>
        <w:t xml:space="preserve"> pu</w:t>
      </w:r>
      <w:r>
        <w:rPr>
          <w:rStyle w:val="apple-style-span"/>
          <w:rFonts w:ascii="Trebuchet MS" w:hAnsi="Trebuchet MS"/>
          <w:color w:val="222222"/>
          <w:sz w:val="20"/>
          <w:szCs w:val="20"/>
        </w:rPr>
        <w:t>b</w:t>
      </w:r>
      <w:r>
        <w:rPr>
          <w:rStyle w:val="apple-style-span"/>
          <w:rFonts w:ascii="Trebuchet MS" w:hAnsi="Trebuchet MS"/>
          <w:color w:val="222222"/>
          <w:sz w:val="20"/>
          <w:szCs w:val="20"/>
        </w:rPr>
        <w:t>lic service utbud på Åland så bör även ansvaret för fina</w:t>
      </w:r>
      <w:r>
        <w:rPr>
          <w:rStyle w:val="apple-style-span"/>
          <w:rFonts w:ascii="Trebuchet MS" w:hAnsi="Trebuchet MS"/>
          <w:color w:val="222222"/>
          <w:sz w:val="20"/>
          <w:szCs w:val="20"/>
        </w:rPr>
        <w:t>n</w:t>
      </w:r>
      <w:r>
        <w:rPr>
          <w:rStyle w:val="apple-style-span"/>
          <w:rFonts w:ascii="Trebuchet MS" w:hAnsi="Trebuchet MS"/>
          <w:color w:val="222222"/>
          <w:sz w:val="20"/>
          <w:szCs w:val="20"/>
        </w:rPr>
        <w:t>sieringen av den samma vara politikernas och sålunda f</w:t>
      </w:r>
      <w:r>
        <w:rPr>
          <w:rStyle w:val="apple-style-span"/>
          <w:rFonts w:ascii="Trebuchet MS" w:hAnsi="Trebuchet MS"/>
          <w:color w:val="222222"/>
          <w:sz w:val="20"/>
          <w:szCs w:val="20"/>
        </w:rPr>
        <w:t>i</w:t>
      </w:r>
      <w:r>
        <w:rPr>
          <w:rStyle w:val="apple-style-span"/>
          <w:rFonts w:ascii="Trebuchet MS" w:hAnsi="Trebuchet MS"/>
          <w:color w:val="222222"/>
          <w:sz w:val="20"/>
          <w:szCs w:val="20"/>
        </w:rPr>
        <w:t>nansieras via budgeten. Ett sådant system skulle resultera i att alla medborgare på lika villkor har rätt och möjlighet att få del av det utbud som public service bolagen lever</w:t>
      </w:r>
      <w:r>
        <w:rPr>
          <w:rStyle w:val="apple-style-span"/>
          <w:rFonts w:ascii="Trebuchet MS" w:hAnsi="Trebuchet MS"/>
          <w:color w:val="222222"/>
          <w:sz w:val="20"/>
          <w:szCs w:val="20"/>
        </w:rPr>
        <w:t>e</w:t>
      </w:r>
      <w:r>
        <w:rPr>
          <w:rStyle w:val="apple-style-span"/>
          <w:rFonts w:ascii="Trebuchet MS" w:hAnsi="Trebuchet MS"/>
          <w:color w:val="222222"/>
          <w:sz w:val="20"/>
          <w:szCs w:val="20"/>
        </w:rPr>
        <w:t>rar, oavsett om man har råd eller inte att ta del av det. Förutom att äntligen få en rättvisa gällande finansiering</w:t>
      </w:r>
      <w:r>
        <w:rPr>
          <w:rStyle w:val="apple-style-span"/>
          <w:rFonts w:ascii="Trebuchet MS" w:hAnsi="Trebuchet MS"/>
          <w:color w:val="222222"/>
          <w:sz w:val="20"/>
          <w:szCs w:val="20"/>
        </w:rPr>
        <w:t>s</w:t>
      </w:r>
      <w:r>
        <w:rPr>
          <w:rStyle w:val="apple-style-span"/>
          <w:rFonts w:ascii="Trebuchet MS" w:hAnsi="Trebuchet MS"/>
          <w:color w:val="222222"/>
          <w:sz w:val="20"/>
          <w:szCs w:val="20"/>
        </w:rPr>
        <w:t xml:space="preserve">modellen skulle köpkraften hos den befolkningsgrupp som behöver den bäst öka med tanke på att dagens licens om 220 skattade euro kunde användas till annat. </w:t>
      </w:r>
    </w:p>
    <w:p w:rsidR="0086451B" w:rsidRDefault="0086451B" w:rsidP="0086451B">
      <w:pPr>
        <w:ind w:left="1304"/>
        <w:rPr>
          <w:rStyle w:val="apple-style-span"/>
          <w:rFonts w:ascii="Trebuchet MS" w:hAnsi="Trebuchet MS"/>
          <w:color w:val="222222"/>
          <w:sz w:val="20"/>
          <w:szCs w:val="20"/>
        </w:rPr>
      </w:pPr>
    </w:p>
    <w:p w:rsidR="0086451B" w:rsidRDefault="0086451B" w:rsidP="0086451B">
      <w:pPr>
        <w:ind w:left="1304"/>
        <w:rPr>
          <w:rStyle w:val="apple-style-span"/>
          <w:rFonts w:ascii="Trebuchet MS" w:hAnsi="Trebuchet MS"/>
          <w:color w:val="222222"/>
          <w:sz w:val="20"/>
          <w:szCs w:val="20"/>
        </w:rPr>
      </w:pPr>
      <w:r>
        <w:rPr>
          <w:rStyle w:val="apple-style-span"/>
          <w:rFonts w:ascii="Trebuchet MS" w:hAnsi="Trebuchet MS"/>
          <w:color w:val="222222"/>
          <w:sz w:val="20"/>
          <w:szCs w:val="20"/>
        </w:rPr>
        <w:t>Undertecknad föreslår att lagtinget förkastar lagen om r</w:t>
      </w:r>
      <w:r>
        <w:rPr>
          <w:rStyle w:val="apple-style-span"/>
          <w:rFonts w:ascii="Trebuchet MS" w:hAnsi="Trebuchet MS"/>
          <w:color w:val="222222"/>
          <w:sz w:val="20"/>
          <w:szCs w:val="20"/>
        </w:rPr>
        <w:t>a</w:t>
      </w:r>
      <w:r>
        <w:rPr>
          <w:rStyle w:val="apple-style-span"/>
          <w:rFonts w:ascii="Trebuchet MS" w:hAnsi="Trebuchet MS"/>
          <w:color w:val="222222"/>
          <w:sz w:val="20"/>
          <w:szCs w:val="20"/>
        </w:rPr>
        <w:t xml:space="preserve">dio- och televisionsverksamhet samt </w:t>
      </w:r>
      <w:proofErr w:type="gramStart"/>
      <w:r>
        <w:rPr>
          <w:rStyle w:val="apple-style-span"/>
          <w:rFonts w:ascii="Trebuchet MS" w:hAnsi="Trebuchet MS"/>
          <w:color w:val="222222"/>
          <w:sz w:val="20"/>
          <w:szCs w:val="20"/>
        </w:rPr>
        <w:t>hemställer</w:t>
      </w:r>
      <w:proofErr w:type="gramEnd"/>
      <w:r>
        <w:rPr>
          <w:rStyle w:val="apple-style-span"/>
          <w:rFonts w:ascii="Trebuchet MS" w:hAnsi="Trebuchet MS"/>
          <w:color w:val="222222"/>
          <w:sz w:val="20"/>
          <w:szCs w:val="20"/>
        </w:rPr>
        <w:t xml:space="preserve"> om att landskapsregeringen återkommer till lagtinget i brådskande ordning med en ny framställning med en reviderad del vad gäller avgiftsmodellen som utgår ifrån att public service utbudet i landskapet skall finansieras via budgeten</w:t>
      </w:r>
    </w:p>
    <w:p w:rsidR="0086451B" w:rsidRDefault="0086451B" w:rsidP="0086451B">
      <w:pPr>
        <w:ind w:left="1304"/>
        <w:rPr>
          <w:rStyle w:val="apple-style-span"/>
          <w:rFonts w:ascii="Trebuchet MS" w:hAnsi="Trebuchet MS"/>
          <w:color w:val="222222"/>
          <w:sz w:val="20"/>
          <w:szCs w:val="20"/>
        </w:rPr>
      </w:pPr>
    </w:p>
    <w:p w:rsidR="0086451B" w:rsidRDefault="0086451B" w:rsidP="0086451B">
      <w:pPr>
        <w:ind w:left="1304"/>
        <w:rPr>
          <w:rStyle w:val="apple-style-span"/>
          <w:rFonts w:ascii="Trebuchet MS" w:hAnsi="Trebuchet MS"/>
          <w:color w:val="222222"/>
          <w:sz w:val="20"/>
          <w:szCs w:val="20"/>
        </w:rPr>
      </w:pPr>
    </w:p>
    <w:p w:rsidR="0086451B" w:rsidRDefault="0086451B" w:rsidP="0086451B">
      <w:pPr>
        <w:ind w:left="1304"/>
        <w:rPr>
          <w:rStyle w:val="apple-style-span"/>
          <w:rFonts w:ascii="Trebuchet MS" w:hAnsi="Trebuchet MS"/>
          <w:color w:val="222222"/>
          <w:sz w:val="20"/>
          <w:szCs w:val="20"/>
        </w:rPr>
      </w:pPr>
    </w:p>
    <w:p w:rsidR="0086451B" w:rsidRDefault="0086451B" w:rsidP="0086451B">
      <w:pPr>
        <w:ind w:left="1304"/>
        <w:rPr>
          <w:rStyle w:val="apple-style-span"/>
          <w:rFonts w:ascii="Trebuchet MS" w:hAnsi="Trebuchet MS"/>
          <w:color w:val="222222"/>
          <w:sz w:val="20"/>
          <w:szCs w:val="20"/>
        </w:rPr>
      </w:pPr>
      <w:r>
        <w:rPr>
          <w:rStyle w:val="apple-style-span"/>
          <w:rFonts w:ascii="Trebuchet MS" w:hAnsi="Trebuchet MS"/>
          <w:color w:val="222222"/>
          <w:sz w:val="20"/>
          <w:szCs w:val="20"/>
        </w:rPr>
        <w:t>Mariehamn den 5 juni 2011</w:t>
      </w:r>
    </w:p>
    <w:p w:rsidR="0086451B" w:rsidRDefault="0086451B" w:rsidP="0086451B">
      <w:pPr>
        <w:ind w:left="1304"/>
        <w:rPr>
          <w:rStyle w:val="apple-style-span"/>
          <w:rFonts w:ascii="Trebuchet MS" w:hAnsi="Trebuchet MS"/>
          <w:color w:val="222222"/>
          <w:sz w:val="20"/>
          <w:szCs w:val="20"/>
        </w:rPr>
      </w:pPr>
    </w:p>
    <w:p w:rsidR="0086451B" w:rsidRDefault="0086451B" w:rsidP="0086451B">
      <w:pPr>
        <w:ind w:left="1304"/>
        <w:rPr>
          <w:rStyle w:val="apple-style-span"/>
          <w:rFonts w:ascii="Trebuchet MS" w:hAnsi="Trebuchet MS"/>
          <w:color w:val="222222"/>
          <w:sz w:val="20"/>
          <w:szCs w:val="20"/>
        </w:rPr>
      </w:pPr>
    </w:p>
    <w:p w:rsidR="0086451B" w:rsidRDefault="0086451B" w:rsidP="0086451B">
      <w:pPr>
        <w:ind w:left="1304"/>
        <w:rPr>
          <w:rStyle w:val="apple-style-span"/>
          <w:rFonts w:ascii="Trebuchet MS" w:hAnsi="Trebuchet MS"/>
          <w:color w:val="222222"/>
          <w:sz w:val="20"/>
          <w:szCs w:val="20"/>
        </w:rPr>
      </w:pPr>
    </w:p>
    <w:p w:rsidR="0086451B" w:rsidRDefault="0086451B" w:rsidP="0086451B">
      <w:pPr>
        <w:ind w:left="1304"/>
        <w:rPr>
          <w:rStyle w:val="apple-style-span"/>
          <w:rFonts w:ascii="Trebuchet MS" w:hAnsi="Trebuchet MS"/>
          <w:color w:val="222222"/>
          <w:sz w:val="20"/>
          <w:szCs w:val="20"/>
        </w:rPr>
      </w:pPr>
    </w:p>
    <w:p w:rsidR="0086451B" w:rsidRDefault="0086451B" w:rsidP="0086451B">
      <w:pPr>
        <w:ind w:left="1304"/>
        <w:rPr>
          <w:rStyle w:val="apple-style-span"/>
          <w:rFonts w:ascii="Trebuchet MS" w:hAnsi="Trebuchet MS"/>
          <w:color w:val="222222"/>
          <w:sz w:val="20"/>
          <w:szCs w:val="20"/>
        </w:rPr>
      </w:pPr>
      <w:r>
        <w:rPr>
          <w:rStyle w:val="apple-style-span"/>
          <w:rFonts w:ascii="Trebuchet MS" w:hAnsi="Trebuchet MS"/>
          <w:color w:val="222222"/>
          <w:sz w:val="20"/>
          <w:szCs w:val="20"/>
        </w:rPr>
        <w:t>Fredrik Karlström</w:t>
      </w:r>
    </w:p>
    <w:p w:rsidR="0086451B" w:rsidRDefault="0086451B">
      <w:pPr>
        <w:pStyle w:val="ANormal"/>
      </w:pPr>
    </w:p>
    <w:p w:rsidR="0086451B" w:rsidRDefault="0086451B">
      <w:pPr>
        <w:pStyle w:val="ANormal"/>
      </w:pPr>
    </w:p>
    <w:p w:rsidR="0086451B" w:rsidRDefault="0086451B">
      <w:pPr>
        <w:pStyle w:val="ANormal"/>
      </w:pPr>
    </w:p>
    <w:p w:rsidR="0086451B" w:rsidRDefault="0086451B">
      <w:pPr>
        <w:pStyle w:val="ANormal"/>
      </w:pPr>
    </w:p>
    <w:p w:rsidR="0086451B" w:rsidRDefault="0086451B">
      <w:pPr>
        <w:pStyle w:val="ANormal"/>
      </w:pPr>
    </w:p>
    <w:p w:rsidR="0086451B" w:rsidRDefault="0086451B">
      <w:pPr>
        <w:pStyle w:val="ANormal"/>
      </w:pPr>
    </w:p>
    <w:p w:rsidR="0086451B" w:rsidRDefault="0086451B">
      <w:pPr>
        <w:pStyle w:val="ANormal"/>
      </w:pPr>
    </w:p>
    <w:p w:rsidR="0086451B" w:rsidRDefault="0086451B">
      <w:pPr>
        <w:pStyle w:val="ANormal"/>
      </w:pPr>
    </w:p>
    <w:p w:rsidR="0086451B" w:rsidRDefault="0086451B">
      <w:pPr>
        <w:pStyle w:val="ANormal"/>
      </w:pPr>
    </w:p>
    <w:p w:rsidR="0086451B" w:rsidRDefault="0086451B">
      <w:pPr>
        <w:pStyle w:val="ANormal"/>
      </w:pPr>
    </w:p>
    <w:p w:rsidR="0086451B" w:rsidRDefault="0086451B">
      <w:pPr>
        <w:pStyle w:val="ANormal"/>
      </w:pPr>
    </w:p>
    <w:p w:rsidR="0086451B" w:rsidRDefault="0086451B">
      <w:pPr>
        <w:pStyle w:val="ANormal"/>
      </w:pPr>
    </w:p>
    <w:p w:rsidR="0086451B" w:rsidRDefault="0086451B">
      <w:pPr>
        <w:pStyle w:val="ANormal"/>
      </w:pPr>
    </w:p>
    <w:p w:rsidR="0086451B" w:rsidRDefault="0086451B">
      <w:pPr>
        <w:pStyle w:val="ANormal"/>
      </w:pPr>
    </w:p>
    <w:p w:rsidR="0086451B" w:rsidRDefault="0086451B">
      <w:pPr>
        <w:pStyle w:val="ANormal"/>
      </w:pPr>
    </w:p>
    <w:p w:rsidR="0086451B" w:rsidRDefault="0086451B">
      <w:pPr>
        <w:pStyle w:val="ANormal"/>
      </w:pPr>
    </w:p>
    <w:sectPr w:rsidR="0086451B">
      <w:headerReference w:type="even" r:id="rId12"/>
      <w:headerReference w:type="default" r:id="rId13"/>
      <w:footerReference w:type="default" r:id="rId14"/>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02CA" w:rsidRDefault="001702CA">
      <w:r>
        <w:separator/>
      </w:r>
    </w:p>
  </w:endnote>
  <w:endnote w:type="continuationSeparator" w:id="0">
    <w:p w:rsidR="001702CA" w:rsidRDefault="00170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899" w:rsidRDefault="003D5899">
    <w:pPr>
      <w:pStyle w:val="Sidfot"/>
      <w:tabs>
        <w:tab w:val="clear" w:pos="816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899" w:rsidRDefault="003D5899">
    <w:pPr>
      <w:pStyle w:val="Sidfot"/>
      <w:rPr>
        <w:lang w:val="fi-FI"/>
      </w:rPr>
    </w:pPr>
    <w:r>
      <w:fldChar w:fldCharType="begin"/>
    </w:r>
    <w:r>
      <w:rPr>
        <w:lang w:val="fi-FI"/>
      </w:rPr>
      <w:instrText xml:space="preserve"> FILENAME  \* MERGEFORMAT </w:instrText>
    </w:r>
    <w:r>
      <w:fldChar w:fldCharType="separate"/>
    </w:r>
    <w:r w:rsidR="0086451B">
      <w:rPr>
        <w:noProof/>
        <w:lang w:val="fi-FI"/>
      </w:rPr>
      <w:t>KU0520102011.doc</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899" w:rsidRDefault="003D5899">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02CA" w:rsidRDefault="001702CA">
      <w:r>
        <w:separator/>
      </w:r>
    </w:p>
  </w:footnote>
  <w:footnote w:type="continuationSeparator" w:id="0">
    <w:p w:rsidR="001702CA" w:rsidRDefault="001702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899" w:rsidRDefault="003D5899">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sidR="00BF6D96">
      <w:rPr>
        <w:rStyle w:val="Sidnummer"/>
        <w:noProof/>
      </w:rPr>
      <w:t>4</w:t>
    </w:r>
    <w:r>
      <w:rPr>
        <w:rStyle w:val="Sidnummer"/>
      </w:rPr>
      <w:fldChar w:fldCharType="end"/>
    </w:r>
  </w:p>
  <w:p w:rsidR="003D5899" w:rsidRDefault="003D5899">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899" w:rsidRDefault="003D5899">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sidR="00BF6D96">
      <w:rPr>
        <w:rStyle w:val="Sidnummer"/>
        <w:noProof/>
      </w:rPr>
      <w:t>5</w:t>
    </w:r>
    <w:r>
      <w:rPr>
        <w:rStyle w:val="Sidnumm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F5E82B8"/>
    <w:lvl w:ilvl="0">
      <w:start w:val="1"/>
      <w:numFmt w:val="decimal"/>
      <w:lvlText w:val="%1."/>
      <w:lvlJc w:val="left"/>
      <w:pPr>
        <w:tabs>
          <w:tab w:val="num" w:pos="1492"/>
        </w:tabs>
        <w:ind w:left="1492" w:hanging="360"/>
      </w:pPr>
    </w:lvl>
  </w:abstractNum>
  <w:abstractNum w:abstractNumId="1">
    <w:nsid w:val="FFFFFF7D"/>
    <w:multiLevelType w:val="singleLevel"/>
    <w:tmpl w:val="C3DEA69A"/>
    <w:lvl w:ilvl="0">
      <w:start w:val="1"/>
      <w:numFmt w:val="decimal"/>
      <w:lvlText w:val="%1."/>
      <w:lvlJc w:val="left"/>
      <w:pPr>
        <w:tabs>
          <w:tab w:val="num" w:pos="1209"/>
        </w:tabs>
        <w:ind w:left="1209" w:hanging="360"/>
      </w:pPr>
    </w:lvl>
  </w:abstractNum>
  <w:abstractNum w:abstractNumId="2">
    <w:nsid w:val="FFFFFF7E"/>
    <w:multiLevelType w:val="singleLevel"/>
    <w:tmpl w:val="AA6A2E40"/>
    <w:lvl w:ilvl="0">
      <w:start w:val="1"/>
      <w:numFmt w:val="decimal"/>
      <w:lvlText w:val="%1."/>
      <w:lvlJc w:val="left"/>
      <w:pPr>
        <w:tabs>
          <w:tab w:val="num" w:pos="926"/>
        </w:tabs>
        <w:ind w:left="926" w:hanging="360"/>
      </w:pPr>
    </w:lvl>
  </w:abstractNum>
  <w:abstractNum w:abstractNumId="3">
    <w:nsid w:val="FFFFFF7F"/>
    <w:multiLevelType w:val="singleLevel"/>
    <w:tmpl w:val="7B480B52"/>
    <w:lvl w:ilvl="0">
      <w:start w:val="1"/>
      <w:numFmt w:val="decimal"/>
      <w:lvlText w:val="%1."/>
      <w:lvlJc w:val="left"/>
      <w:pPr>
        <w:tabs>
          <w:tab w:val="num" w:pos="643"/>
        </w:tabs>
        <w:ind w:left="643" w:hanging="360"/>
      </w:pPr>
    </w:lvl>
  </w:abstractNum>
  <w:abstractNum w:abstractNumId="4">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785E4396"/>
    <w:lvl w:ilvl="0">
      <w:start w:val="1"/>
      <w:numFmt w:val="decimal"/>
      <w:lvlText w:val="%1."/>
      <w:lvlJc w:val="left"/>
      <w:pPr>
        <w:tabs>
          <w:tab w:val="num" w:pos="360"/>
        </w:tabs>
        <w:ind w:left="360" w:hanging="360"/>
      </w:pPr>
    </w:lvl>
  </w:abstractNum>
  <w:abstractNum w:abstractNumId="7">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5">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2"/>
  </w:num>
  <w:num w:numId="4">
    <w:abstractNumId w:val="1"/>
  </w:num>
  <w:num w:numId="5">
    <w:abstractNumId w:val="0"/>
  </w:num>
  <w:num w:numId="6">
    <w:abstractNumId w:val="7"/>
  </w:num>
  <w:num w:numId="7">
    <w:abstractNumId w:val="5"/>
  </w:num>
  <w:num w:numId="8">
    <w:abstractNumId w:val="4"/>
  </w:num>
  <w:num w:numId="9">
    <w:abstractNumId w:val="10"/>
  </w:num>
  <w:num w:numId="10">
    <w:abstractNumId w:val="13"/>
  </w:num>
  <w:num w:numId="11">
    <w:abstractNumId w:val="12"/>
  </w:num>
  <w:num w:numId="12">
    <w:abstractNumId w:val="16"/>
  </w:num>
  <w:num w:numId="13">
    <w:abstractNumId w:val="11"/>
  </w:num>
  <w:num w:numId="14">
    <w:abstractNumId w:val="15"/>
  </w:num>
  <w:num w:numId="15">
    <w:abstractNumId w:val="9"/>
  </w:num>
  <w:num w:numId="16">
    <w:abstractNumId w:val="21"/>
  </w:num>
  <w:num w:numId="17">
    <w:abstractNumId w:val="8"/>
  </w:num>
  <w:num w:numId="18">
    <w:abstractNumId w:val="17"/>
  </w:num>
  <w:num w:numId="19">
    <w:abstractNumId w:val="20"/>
  </w:num>
  <w:num w:numId="20">
    <w:abstractNumId w:val="23"/>
  </w:num>
  <w:num w:numId="21">
    <w:abstractNumId w:val="22"/>
  </w:num>
  <w:num w:numId="22">
    <w:abstractNumId w:val="14"/>
  </w:num>
  <w:num w:numId="23">
    <w:abstractNumId w:val="18"/>
  </w:num>
  <w:num w:numId="24">
    <w:abstractNumId w:val="18"/>
  </w:num>
  <w:num w:numId="25">
    <w:abstractNumId w:val="19"/>
  </w:num>
  <w:num w:numId="26">
    <w:abstractNumId w:val="14"/>
  </w:num>
  <w:num w:numId="27">
    <w:abstractNumId w:val="14"/>
  </w:num>
  <w:num w:numId="28">
    <w:abstractNumId w:val="14"/>
  </w:num>
  <w:num w:numId="29">
    <w:abstractNumId w:val="14"/>
  </w:num>
  <w:num w:numId="30">
    <w:abstractNumId w:val="14"/>
  </w:num>
  <w:num w:numId="31">
    <w:abstractNumId w:val="14"/>
  </w:num>
  <w:num w:numId="32">
    <w:abstractNumId w:val="14"/>
  </w:num>
  <w:num w:numId="33">
    <w:abstractNumId w:val="14"/>
  </w:num>
  <w:num w:numId="34">
    <w:abstractNumId w:val="14"/>
  </w:num>
  <w:num w:numId="35">
    <w:abstractNumId w:val="18"/>
  </w:num>
  <w:num w:numId="36">
    <w:abstractNumId w:val="19"/>
  </w:num>
  <w:num w:numId="37">
    <w:abstractNumId w:val="14"/>
  </w:num>
  <w:num w:numId="38">
    <w:abstractNumId w:val="14"/>
  </w:num>
  <w:num w:numId="39">
    <w:abstractNumId w:val="14"/>
  </w:num>
  <w:num w:numId="40">
    <w:abstractNumId w:val="14"/>
  </w:num>
  <w:num w:numId="41">
    <w:abstractNumId w:val="14"/>
  </w:num>
  <w:num w:numId="42">
    <w:abstractNumId w:val="14"/>
  </w:num>
  <w:num w:numId="43">
    <w:abstractNumId w:val="14"/>
  </w:num>
  <w:num w:numId="44">
    <w:abstractNumId w:val="14"/>
  </w:num>
  <w:num w:numId="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mirrorMargin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304"/>
  <w:autoHyphenation/>
  <w:hyphenationZone w:val="142"/>
  <w:evenAndOddHeaders/>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0D4E"/>
    <w:rsid w:val="00015E9C"/>
    <w:rsid w:val="00080CDD"/>
    <w:rsid w:val="00092471"/>
    <w:rsid w:val="00095D3B"/>
    <w:rsid w:val="000B1E66"/>
    <w:rsid w:val="000B2DC9"/>
    <w:rsid w:val="000C067C"/>
    <w:rsid w:val="000F06D8"/>
    <w:rsid w:val="0012245E"/>
    <w:rsid w:val="0015337C"/>
    <w:rsid w:val="001702CA"/>
    <w:rsid w:val="001B3177"/>
    <w:rsid w:val="00224DCA"/>
    <w:rsid w:val="002401D0"/>
    <w:rsid w:val="00290D4E"/>
    <w:rsid w:val="002D02CB"/>
    <w:rsid w:val="00306621"/>
    <w:rsid w:val="00383F05"/>
    <w:rsid w:val="003853E1"/>
    <w:rsid w:val="00392EC8"/>
    <w:rsid w:val="003B60A0"/>
    <w:rsid w:val="003D5899"/>
    <w:rsid w:val="00401C67"/>
    <w:rsid w:val="00411D05"/>
    <w:rsid w:val="004328DC"/>
    <w:rsid w:val="004A0913"/>
    <w:rsid w:val="004F1654"/>
    <w:rsid w:val="00525505"/>
    <w:rsid w:val="0055753F"/>
    <w:rsid w:val="005721AA"/>
    <w:rsid w:val="005833EA"/>
    <w:rsid w:val="005951EE"/>
    <w:rsid w:val="006572D9"/>
    <w:rsid w:val="006672D7"/>
    <w:rsid w:val="006F4535"/>
    <w:rsid w:val="007031E9"/>
    <w:rsid w:val="00712DAB"/>
    <w:rsid w:val="00716373"/>
    <w:rsid w:val="00723B93"/>
    <w:rsid w:val="007648ED"/>
    <w:rsid w:val="00783129"/>
    <w:rsid w:val="00811D50"/>
    <w:rsid w:val="00837523"/>
    <w:rsid w:val="0086451B"/>
    <w:rsid w:val="008D0C7D"/>
    <w:rsid w:val="008E4F7B"/>
    <w:rsid w:val="00912E67"/>
    <w:rsid w:val="00957C36"/>
    <w:rsid w:val="00995587"/>
    <w:rsid w:val="009F7CE2"/>
    <w:rsid w:val="00A16099"/>
    <w:rsid w:val="00A34228"/>
    <w:rsid w:val="00A37B23"/>
    <w:rsid w:val="00A5420C"/>
    <w:rsid w:val="00A60548"/>
    <w:rsid w:val="00AB5272"/>
    <w:rsid w:val="00BF6D96"/>
    <w:rsid w:val="00C63082"/>
    <w:rsid w:val="00C93EDE"/>
    <w:rsid w:val="00CB087E"/>
    <w:rsid w:val="00CF700E"/>
    <w:rsid w:val="00D0131B"/>
    <w:rsid w:val="00D55673"/>
    <w:rsid w:val="00DB11B7"/>
    <w:rsid w:val="00DC1E1B"/>
    <w:rsid w:val="00DD6345"/>
    <w:rsid w:val="00E201A9"/>
    <w:rsid w:val="00E476C0"/>
    <w:rsid w:val="00F03E18"/>
    <w:rsid w:val="00F90287"/>
    <w:rsid w:val="00F920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451B"/>
    <w:rPr>
      <w:sz w:val="24"/>
      <w:szCs w:val="24"/>
    </w:rPr>
  </w:style>
  <w:style w:type="paragraph" w:styleId="Rubrik1">
    <w:name w:val="heading 1"/>
    <w:basedOn w:val="Normal"/>
    <w:next w:val="Normal"/>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qFormat/>
    <w:pPr>
      <w:keepNext/>
      <w:numPr>
        <w:ilvl w:val="3"/>
        <w:numId w:val="40"/>
      </w:numPr>
      <w:spacing w:before="240" w:after="60"/>
      <w:outlineLvl w:val="3"/>
    </w:pPr>
    <w:rPr>
      <w:b/>
      <w:bCs/>
      <w:sz w:val="28"/>
      <w:szCs w:val="28"/>
    </w:rPr>
  </w:style>
  <w:style w:type="paragraph" w:styleId="Rubrik5">
    <w:name w:val="heading 5"/>
    <w:basedOn w:val="Normal"/>
    <w:next w:val="Normal"/>
    <w:qFormat/>
    <w:pPr>
      <w:numPr>
        <w:ilvl w:val="4"/>
        <w:numId w:val="41"/>
      </w:numPr>
      <w:spacing w:before="240" w:after="60"/>
      <w:outlineLvl w:val="4"/>
    </w:pPr>
    <w:rPr>
      <w:b/>
      <w:bCs/>
      <w:i/>
      <w:iCs/>
      <w:sz w:val="26"/>
      <w:szCs w:val="26"/>
    </w:rPr>
  </w:style>
  <w:style w:type="paragraph" w:styleId="Rubrik6">
    <w:name w:val="heading 6"/>
    <w:basedOn w:val="Normal"/>
    <w:next w:val="Normal"/>
    <w:qFormat/>
    <w:pPr>
      <w:numPr>
        <w:ilvl w:val="5"/>
        <w:numId w:val="42"/>
      </w:numPr>
      <w:spacing w:before="240" w:after="60"/>
      <w:outlineLvl w:val="5"/>
    </w:pPr>
    <w:rPr>
      <w:b/>
      <w:bCs/>
      <w:sz w:val="22"/>
      <w:szCs w:val="22"/>
    </w:rPr>
  </w:style>
  <w:style w:type="paragraph" w:styleId="Rubrik7">
    <w:name w:val="heading 7"/>
    <w:basedOn w:val="Normal"/>
    <w:next w:val="Normal"/>
    <w:qFormat/>
    <w:pPr>
      <w:numPr>
        <w:ilvl w:val="6"/>
        <w:numId w:val="43"/>
      </w:numPr>
      <w:spacing w:before="240" w:after="60"/>
      <w:outlineLvl w:val="6"/>
    </w:pPr>
  </w:style>
  <w:style w:type="paragraph" w:styleId="Rubrik8">
    <w:name w:val="heading 8"/>
    <w:basedOn w:val="Normal"/>
    <w:next w:val="Normal"/>
    <w:qFormat/>
    <w:pPr>
      <w:numPr>
        <w:ilvl w:val="7"/>
        <w:numId w:val="44"/>
      </w:numPr>
      <w:spacing w:before="240" w:after="60"/>
      <w:outlineLvl w:val="7"/>
    </w:pPr>
    <w:rPr>
      <w:i/>
      <w:iCs/>
    </w:rPr>
  </w:style>
  <w:style w:type="paragraph" w:styleId="Rubrik9">
    <w:name w:val="heading 9"/>
    <w:basedOn w:val="Normal"/>
    <w:next w:val="Normal"/>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styleId="Hyperlnk">
    <w:name w:val="Hyperlink"/>
    <w:uiPriority w:val="99"/>
    <w:rPr>
      <w:dstrike w:val="0"/>
      <w:color w:val="0000FF"/>
      <w:u w:val="none"/>
      <w:effect w:val="none"/>
    </w:rPr>
  </w:style>
  <w:style w:type="paragraph" w:styleId="Punktlista3">
    <w:name w:val="List Bullet 3"/>
    <w:basedOn w:val="Normal"/>
    <w:autoRedefine/>
    <w:pPr>
      <w:numPr>
        <w:numId w:val="8"/>
      </w:numPr>
    </w:pPr>
  </w:style>
  <w:style w:type="paragraph" w:styleId="Brdtextmedindrag">
    <w:name w:val="Body Text Indent"/>
    <w:basedOn w:val="Normal"/>
    <w:pPr>
      <w:spacing w:after="120"/>
      <w:ind w:left="283"/>
    </w:pPr>
  </w:style>
  <w:style w:type="paragraph" w:styleId="Brdtextmedfrstaindrag2">
    <w:name w:val="Body Text First Indent 2"/>
    <w:basedOn w:val="Brdtextmedindrag"/>
    <w:pPr>
      <w:ind w:firstLine="210"/>
    </w:pPr>
  </w:style>
  <w:style w:type="paragraph" w:styleId="Sidhuvud">
    <w:name w:val="header"/>
    <w:basedOn w:val="Normal"/>
    <w:pPr>
      <w:tabs>
        <w:tab w:val="right" w:pos="8732"/>
      </w:tabs>
    </w:pPr>
    <w:rPr>
      <w:rFonts w:ascii="Arial" w:hAnsi="Arial" w:cs="Arial"/>
      <w:sz w:val="16"/>
    </w:rPr>
  </w:style>
  <w:style w:type="paragraph" w:styleId="Sidfot">
    <w:name w:val="footer"/>
    <w:basedOn w:val="Normal"/>
    <w:pPr>
      <w:tabs>
        <w:tab w:val="right" w:pos="8165"/>
      </w:tabs>
    </w:pPr>
    <w:rPr>
      <w:rFonts w:ascii="Verdana" w:hAnsi="Verdana" w:cs="Arial"/>
      <w:sz w:val="14"/>
    </w:rPr>
  </w:style>
  <w:style w:type="paragraph" w:customStyle="1" w:styleId="Klam">
    <w:name w:val="Klam"/>
    <w:basedOn w:val="ANormal"/>
    <w:next w:val="ANormal"/>
    <w:pPr>
      <w:tabs>
        <w:tab w:val="clear" w:pos="283"/>
      </w:tabs>
      <w:ind w:left="851"/>
    </w:pPr>
  </w:style>
  <w:style w:type="paragraph" w:customStyle="1" w:styleId="ANormal">
    <w:name w:val="ANormal"/>
    <w:pPr>
      <w:tabs>
        <w:tab w:val="left" w:pos="283"/>
      </w:tabs>
      <w:jc w:val="both"/>
    </w:pPr>
    <w:rPr>
      <w:sz w:val="22"/>
    </w:rPr>
  </w:style>
  <w:style w:type="paragraph" w:customStyle="1" w:styleId="xLedtext">
    <w:name w:val="xLedtext"/>
    <w:rPr>
      <w:rFonts w:ascii="Verdana" w:hAnsi="Verdana" w:cs="Arial"/>
      <w:sz w:val="14"/>
      <w:szCs w:val="15"/>
    </w:rPr>
  </w:style>
  <w:style w:type="paragraph" w:customStyle="1" w:styleId="xDatum1">
    <w:name w:val="xDatum1"/>
    <w:basedOn w:val="xCelltext"/>
  </w:style>
  <w:style w:type="paragraph" w:customStyle="1" w:styleId="xCelltext">
    <w:name w:val="xCelltext"/>
    <w:rPr>
      <w:rFonts w:ascii="Arial" w:hAnsi="Arial"/>
      <w:sz w:val="18"/>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uiPriority w:val="39"/>
    <w:pPr>
      <w:widowControl w:val="0"/>
      <w:tabs>
        <w:tab w:val="right" w:leader="dot" w:pos="6691"/>
      </w:tabs>
      <w:ind w:right="284"/>
    </w:pPr>
    <w:rPr>
      <w:rFonts w:ascii="Verdana" w:hAnsi="Verdana"/>
      <w:noProof/>
      <w:sz w:val="16"/>
      <w:szCs w:val="36"/>
    </w:rPr>
  </w:style>
  <w:style w:type="paragraph" w:styleId="Innehll2">
    <w:name w:val="toc 2"/>
    <w:basedOn w:val="Innehll1"/>
    <w:next w:val="Normal"/>
    <w:autoRedefine/>
    <w:uiPriority w:val="39"/>
    <w:pPr>
      <w:ind w:left="187"/>
    </w:pPr>
  </w:style>
  <w:style w:type="paragraph" w:customStyle="1" w:styleId="RubrikB">
    <w:name w:val="RubrikB"/>
    <w:basedOn w:val="RubrikA"/>
    <w:next w:val="Rubrikmellanrum"/>
    <w:pPr>
      <w:outlineLvl w:val="1"/>
    </w:pPr>
    <w:rPr>
      <w:sz w:val="26"/>
    </w:rPr>
  </w:style>
  <w:style w:type="paragraph" w:customStyle="1" w:styleId="RubrikA">
    <w:name w:val="RubrikA"/>
    <w:next w:val="Rubrikmellanrum"/>
    <w:pPr>
      <w:keepNext/>
      <w:keepLines/>
      <w:suppressAutoHyphens/>
      <w:outlineLvl w:val="0"/>
    </w:pPr>
    <w:rPr>
      <w:sz w:val="30"/>
    </w:rPr>
  </w:style>
  <w:style w:type="character" w:styleId="Sidnummer">
    <w:name w:val="page number"/>
    <w:rPr>
      <w:rFonts w:ascii="Verdana" w:hAnsi="Verdana"/>
    </w:rPr>
  </w:style>
  <w:style w:type="paragraph" w:customStyle="1" w:styleId="xMottagare1">
    <w:name w:val="xMottagare1"/>
    <w:basedOn w:val="xCelltext"/>
    <w:next w:val="xMottagare2"/>
    <w:rPr>
      <w:rFonts w:cs="Arial"/>
      <w:b/>
      <w:bCs/>
      <w:sz w:val="20"/>
    </w:rPr>
  </w:style>
  <w:style w:type="paragraph" w:customStyle="1" w:styleId="ArendeOverRubrik">
    <w:name w:val="ArendeOverRubrik"/>
    <w:next w:val="Normal"/>
    <w:pPr>
      <w:suppressAutoHyphens/>
    </w:pPr>
    <w:rPr>
      <w:rFonts w:ascii="Arial" w:hAnsi="Arial"/>
      <w:bCs/>
      <w:sz w:val="22"/>
    </w:rPr>
  </w:style>
  <w:style w:type="paragraph" w:customStyle="1" w:styleId="ArendeRubrik">
    <w:name w:val="ArendeRubrik"/>
    <w:next w:val="ArendeUnderRubrik"/>
    <w:pPr>
      <w:suppressAutoHyphens/>
    </w:pPr>
    <w:rPr>
      <w:rFonts w:ascii="Arial" w:hAnsi="Arial" w:cs="Arial"/>
      <w:b/>
      <w:bCs/>
      <w:sz w:val="26"/>
    </w:rPr>
  </w:style>
  <w:style w:type="paragraph" w:customStyle="1" w:styleId="ArendeUnderRubrik">
    <w:name w:val="ArendeUnderRubrik"/>
    <w:pPr>
      <w:numPr>
        <w:numId w:val="35"/>
      </w:numPr>
      <w:suppressAutoHyphens/>
    </w:pPr>
    <w:rPr>
      <w:rFonts w:ascii="Verdana" w:hAnsi="Verdana" w:cs="Arial"/>
      <w:sz w:val="16"/>
    </w:rPr>
  </w:style>
  <w:style w:type="paragraph" w:customStyle="1" w:styleId="Rubrikmellanrum">
    <w:name w:val="Rubrikmellanrum"/>
    <w:basedOn w:val="ANormal"/>
    <w:next w:val="ANormal"/>
    <w:pPr>
      <w:keepNext/>
    </w:pPr>
    <w:rPr>
      <w:sz w:val="10"/>
    </w:rPr>
  </w:style>
  <w:style w:type="paragraph" w:customStyle="1" w:styleId="xMellanrum">
    <w:name w:val="xMellanrum"/>
    <w:basedOn w:val="xCelltext"/>
    <w:rPr>
      <w:sz w:val="4"/>
    </w:rPr>
  </w:style>
  <w:style w:type="character" w:styleId="AnvndHyperlnk">
    <w:name w:val="FollowedHyperlink"/>
    <w:rPr>
      <w:dstrike w:val="0"/>
      <w:color w:val="800080"/>
      <w:u w:val="none"/>
      <w:effect w:val="none"/>
      <w:lang w:val="sv-SE"/>
    </w:rPr>
  </w:style>
  <w:style w:type="paragraph" w:customStyle="1" w:styleId="ArendeUnderRubrikSiffra">
    <w:name w:val="ArendeUnderRubrikSiffra"/>
    <w:basedOn w:val="ArendeUnderRubrik"/>
    <w:pPr>
      <w:numPr>
        <w:numId w:val="36"/>
      </w:numPr>
      <w:tabs>
        <w:tab w:val="clear" w:pos="360"/>
      </w:tabs>
      <w:ind w:left="284" w:hanging="284"/>
    </w:pPr>
  </w:style>
  <w:style w:type="paragraph" w:styleId="Brdtext">
    <w:name w:val="Body Text"/>
    <w:basedOn w:val="Normal"/>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2"/>
    </w:pPr>
    <w:rPr>
      <w:bCs w:val="0"/>
      <w:sz w:val="22"/>
    </w:rPr>
  </w:style>
  <w:style w:type="paragraph" w:customStyle="1" w:styleId="LagParagraf">
    <w:name w:val="LagParagraf"/>
    <w:basedOn w:val="LagKapitel"/>
    <w:next w:val="LagPararubrik"/>
    <w:pPr>
      <w:keepNext w:val="0"/>
      <w:outlineLvl w:val="9"/>
    </w:pPr>
    <w:rPr>
      <w:b w:val="0"/>
    </w:rPr>
  </w:style>
  <w:style w:type="paragraph" w:customStyle="1" w:styleId="LagPararubrik">
    <w:name w:val="LagPararubrik"/>
    <w:basedOn w:val="LagKapitel"/>
    <w:next w:val="ANormal"/>
    <w:pPr>
      <w:outlineLvl w:val="9"/>
    </w:pPr>
    <w:rPr>
      <w:b w:val="0"/>
      <w:i/>
      <w:iCs/>
    </w:rPr>
  </w:style>
  <w:style w:type="paragraph" w:customStyle="1" w:styleId="RubrikC">
    <w:name w:val="RubrikC"/>
    <w:basedOn w:val="RubrikB"/>
    <w:next w:val="Rubrikmellanrum"/>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rPr>
  </w:style>
  <w:style w:type="paragraph" w:customStyle="1" w:styleId="xAdressfot">
    <w:name w:val="xAdressfot"/>
    <w:basedOn w:val="Sidfot"/>
    <w:pPr>
      <w:tabs>
        <w:tab w:val="clear" w:pos="8165"/>
        <w:tab w:val="left" w:pos="2608"/>
        <w:tab w:val="left" w:pos="5216"/>
        <w:tab w:val="left" w:pos="7825"/>
      </w:tabs>
    </w:p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 w:type="paragraph" w:styleId="Ballongtext">
    <w:name w:val="Balloon Text"/>
    <w:basedOn w:val="Normal"/>
    <w:link w:val="BallongtextChar"/>
    <w:rsid w:val="00080CDD"/>
    <w:rPr>
      <w:rFonts w:ascii="Tahoma" w:hAnsi="Tahoma" w:cs="Tahoma"/>
      <w:sz w:val="16"/>
      <w:szCs w:val="16"/>
    </w:rPr>
  </w:style>
  <w:style w:type="character" w:customStyle="1" w:styleId="BallongtextChar">
    <w:name w:val="Ballongtext Char"/>
    <w:link w:val="Ballongtext"/>
    <w:rsid w:val="00080CDD"/>
    <w:rPr>
      <w:rFonts w:ascii="Tahoma" w:hAnsi="Tahoma" w:cs="Tahoma"/>
      <w:sz w:val="16"/>
      <w:szCs w:val="16"/>
    </w:rPr>
  </w:style>
  <w:style w:type="character" w:customStyle="1" w:styleId="apple-style-span">
    <w:name w:val="apple-style-span"/>
    <w:rsid w:val="0086451B"/>
  </w:style>
  <w:style w:type="character" w:customStyle="1" w:styleId="apple-converted-space">
    <w:name w:val="apple-converted-space"/>
    <w:rsid w:val="008645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LR01_SANPOOL_SERVER\VOL2\GEMENSAM\LAGTINGL\www\handlingar\2010-2011\FR17\FR1720102011.ht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Mallar\LAGTINGET\LT-Bet&#228;nkande.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LT-Betänkande.dot</Template>
  <TotalTime>0</TotalTime>
  <Pages>5</Pages>
  <Words>1639</Words>
  <Characters>8692</Characters>
  <Application>Microsoft Office Word</Application>
  <DocSecurity>0</DocSecurity>
  <Lines>72</Lines>
  <Paragraphs>20</Paragraphs>
  <ScaleCrop>false</ScaleCrop>
  <HeadingPairs>
    <vt:vector size="2" baseType="variant">
      <vt:variant>
        <vt:lpstr>Rubrik</vt:lpstr>
      </vt:variant>
      <vt:variant>
        <vt:i4>1</vt:i4>
      </vt:variant>
    </vt:vector>
  </HeadingPairs>
  <TitlesOfParts>
    <vt:vector size="1" baseType="lpstr">
      <vt:lpstr>Kulturutskottets betänkande nr x/2010-2011</vt:lpstr>
    </vt:vector>
  </TitlesOfParts>
  <Company>Ålands lagting</Company>
  <LinksUpToDate>false</LinksUpToDate>
  <CharactersWithSpaces>10311</CharactersWithSpaces>
  <SharedDoc>false</SharedDoc>
  <HLinks>
    <vt:vector size="42" baseType="variant">
      <vt:variant>
        <vt:i4>262192</vt:i4>
      </vt:variant>
      <vt:variant>
        <vt:i4>39</vt:i4>
      </vt:variant>
      <vt:variant>
        <vt:i4>0</vt:i4>
      </vt:variant>
      <vt:variant>
        <vt:i4>5</vt:i4>
      </vt:variant>
      <vt:variant>
        <vt:lpwstr/>
      </vt:variant>
      <vt:variant>
        <vt:lpwstr>_top</vt:lpwstr>
      </vt:variant>
      <vt:variant>
        <vt:i4>1310769</vt:i4>
      </vt:variant>
      <vt:variant>
        <vt:i4>32</vt:i4>
      </vt:variant>
      <vt:variant>
        <vt:i4>0</vt:i4>
      </vt:variant>
      <vt:variant>
        <vt:i4>5</vt:i4>
      </vt:variant>
      <vt:variant>
        <vt:lpwstr/>
      </vt:variant>
      <vt:variant>
        <vt:lpwstr>_Toc295072181</vt:lpwstr>
      </vt:variant>
      <vt:variant>
        <vt:i4>1310769</vt:i4>
      </vt:variant>
      <vt:variant>
        <vt:i4>26</vt:i4>
      </vt:variant>
      <vt:variant>
        <vt:i4>0</vt:i4>
      </vt:variant>
      <vt:variant>
        <vt:i4>5</vt:i4>
      </vt:variant>
      <vt:variant>
        <vt:lpwstr/>
      </vt:variant>
      <vt:variant>
        <vt:lpwstr>_Toc295072180</vt:lpwstr>
      </vt:variant>
      <vt:variant>
        <vt:i4>1769521</vt:i4>
      </vt:variant>
      <vt:variant>
        <vt:i4>20</vt:i4>
      </vt:variant>
      <vt:variant>
        <vt:i4>0</vt:i4>
      </vt:variant>
      <vt:variant>
        <vt:i4>5</vt:i4>
      </vt:variant>
      <vt:variant>
        <vt:lpwstr/>
      </vt:variant>
      <vt:variant>
        <vt:lpwstr>_Toc295072179</vt:lpwstr>
      </vt:variant>
      <vt:variant>
        <vt:i4>1769521</vt:i4>
      </vt:variant>
      <vt:variant>
        <vt:i4>14</vt:i4>
      </vt:variant>
      <vt:variant>
        <vt:i4>0</vt:i4>
      </vt:variant>
      <vt:variant>
        <vt:i4>5</vt:i4>
      </vt:variant>
      <vt:variant>
        <vt:lpwstr/>
      </vt:variant>
      <vt:variant>
        <vt:lpwstr>_Toc295072178</vt:lpwstr>
      </vt:variant>
      <vt:variant>
        <vt:i4>1769521</vt:i4>
      </vt:variant>
      <vt:variant>
        <vt:i4>8</vt:i4>
      </vt:variant>
      <vt:variant>
        <vt:i4>0</vt:i4>
      </vt:variant>
      <vt:variant>
        <vt:i4>5</vt:i4>
      </vt:variant>
      <vt:variant>
        <vt:lpwstr/>
      </vt:variant>
      <vt:variant>
        <vt:lpwstr>_Toc295072177</vt:lpwstr>
      </vt:variant>
      <vt:variant>
        <vt:i4>1769521</vt:i4>
      </vt:variant>
      <vt:variant>
        <vt:i4>2</vt:i4>
      </vt:variant>
      <vt:variant>
        <vt:i4>0</vt:i4>
      </vt:variant>
      <vt:variant>
        <vt:i4>5</vt:i4>
      </vt:variant>
      <vt:variant>
        <vt:lpwstr/>
      </vt:variant>
      <vt:variant>
        <vt:lpwstr>_Toc295072176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Kulturutskottets betänkande nr x/2010-2011</dc:title>
  <dc:creator>LT</dc:creator>
  <cp:lastModifiedBy>Annette Gammals</cp:lastModifiedBy>
  <cp:revision>2</cp:revision>
  <cp:lastPrinted>2011-06-06T05:20:00Z</cp:lastPrinted>
  <dcterms:created xsi:type="dcterms:W3CDTF">2011-08-16T12:07:00Z</dcterms:created>
  <dcterms:modified xsi:type="dcterms:W3CDTF">2011-08-16T12:07:00Z</dcterms:modified>
</cp:coreProperties>
</file>