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bookmarkStart w:id="0" w:name="_GoBack"/>
      <w:bookmarkEnd w:id="0"/>
    </w:p>
    <w:p w:rsidR="003177BA" w:rsidRDefault="00FE5E74" w:rsidP="00FE5E74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>2018-2019 Lt-Rep-Pres-framst 3</w:t>
      </w:r>
    </w:p>
    <w:p w:rsidR="003177BA" w:rsidRDefault="003177BA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EC2A1C" w:rsidRPr="007C413E" w:rsidRDefault="00A11EF2" w:rsidP="006B6A2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7C413E">
        <w:rPr>
          <w:lang w:val="sv-SE"/>
        </w:rPr>
        <w:t xml:space="preserve">framställning till Ålands lagting om </w:t>
      </w:r>
      <w:r w:rsidR="00DE1A68" w:rsidRPr="007C413E">
        <w:rPr>
          <w:lang w:val="sv-SE"/>
        </w:rPr>
        <w:t>r</w:t>
      </w:r>
      <w:r w:rsidR="00DE1A68" w:rsidRPr="007C413E">
        <w:rPr>
          <w:rStyle w:val="llnormaalikirjasin--char1"/>
          <w:sz w:val="24"/>
          <w:lang w:val="sv-SE"/>
        </w:rPr>
        <w:t>egeringens prop</w:t>
      </w:r>
      <w:r w:rsidR="00DE1A68" w:rsidRPr="007C413E">
        <w:rPr>
          <w:rStyle w:val="llnormaalikirjasin--char1"/>
          <w:sz w:val="24"/>
          <w:lang w:val="sv-SE"/>
        </w:rPr>
        <w:t>o</w:t>
      </w:r>
      <w:r w:rsidR="00DE1A68" w:rsidRPr="007C413E">
        <w:rPr>
          <w:rStyle w:val="llnormaalikirjasin--char1"/>
          <w:sz w:val="24"/>
          <w:lang w:val="sv-SE"/>
        </w:rPr>
        <w:t xml:space="preserve">sition </w:t>
      </w:r>
      <w:r w:rsidR="006416A0" w:rsidRPr="007C413E">
        <w:rPr>
          <w:rStyle w:val="llnormaalikirjasin--char1"/>
          <w:sz w:val="24"/>
          <w:lang w:val="sv-SE"/>
        </w:rPr>
        <w:t xml:space="preserve">till riksdagen om godkännande och </w:t>
      </w:r>
      <w:r w:rsidR="006B6A24" w:rsidRPr="007C413E">
        <w:rPr>
          <w:rStyle w:val="llnormaalikirjasin--char1"/>
          <w:sz w:val="24"/>
          <w:lang w:val="sv-SE"/>
        </w:rPr>
        <w:t>sättande i kraft av</w:t>
      </w:r>
      <w:r w:rsidR="007C413E" w:rsidRPr="007C413E">
        <w:rPr>
          <w:rStyle w:val="llnormaalikirjasin--char1"/>
          <w:sz w:val="24"/>
          <w:lang w:val="sv-SE"/>
        </w:rPr>
        <w:t xml:space="preserve"> </w:t>
      </w:r>
      <w:r w:rsidR="00143AA4">
        <w:rPr>
          <w:rStyle w:val="llnormaalikirjasin--char1"/>
          <w:sz w:val="24"/>
          <w:lang w:val="sv-SE"/>
        </w:rPr>
        <w:t xml:space="preserve">Världspostkonventionen </w:t>
      </w:r>
    </w:p>
    <w:p w:rsid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856CE" w:rsidRDefault="00B856CE" w:rsidP="00C64ADF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C64ADF" w:rsidRDefault="00C64ADF" w:rsidP="00C64ADF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C64ADF" w:rsidRDefault="00C64ADF" w:rsidP="00C64ADF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C64ADF" w:rsidRDefault="00C64ADF" w:rsidP="00C64ADF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C64ADF" w:rsidRDefault="00C64ADF" w:rsidP="00C64ADF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332FCB" w:rsidRPr="000F423F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B61EF3" w:rsidRDefault="00473482" w:rsidP="00B61EF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:rsidR="007D4E7D" w:rsidRDefault="00B61EF3" w:rsidP="00B61EF3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43AA4">
        <w:rPr>
          <w:spacing w:val="-3"/>
          <w:lang w:val="sv-SE"/>
        </w:rPr>
        <w:t xml:space="preserve">Målet med konventionen </w:t>
      </w:r>
      <w:r w:rsidR="00D8761F">
        <w:rPr>
          <w:spacing w:val="-3"/>
          <w:lang w:val="sv-SE"/>
        </w:rPr>
        <w:t xml:space="preserve">som godkändes år 2016 </w:t>
      </w:r>
      <w:r w:rsidR="00143AA4">
        <w:rPr>
          <w:spacing w:val="-3"/>
          <w:lang w:val="sv-SE"/>
        </w:rPr>
        <w:t>är att den internationella posttrafiken ska fungera bättre och bli effektivare samt samarbetet mellan aktörerna inom branschen förbät</w:t>
      </w:r>
      <w:r w:rsidR="00143AA4">
        <w:rPr>
          <w:spacing w:val="-3"/>
          <w:lang w:val="sv-SE"/>
        </w:rPr>
        <w:t>t</w:t>
      </w:r>
      <w:r w:rsidR="00143AA4">
        <w:rPr>
          <w:spacing w:val="-3"/>
          <w:lang w:val="sv-SE"/>
        </w:rPr>
        <w:t>ras. De viktigaste förändringarna i Världspostkonventionen gäller ändringarna i terminalavgift</w:t>
      </w:r>
      <w:r w:rsidR="00143AA4">
        <w:rPr>
          <w:spacing w:val="-3"/>
          <w:lang w:val="sv-SE"/>
        </w:rPr>
        <w:t>s</w:t>
      </w:r>
      <w:r w:rsidR="00143AA4">
        <w:rPr>
          <w:spacing w:val="-3"/>
          <w:lang w:val="sv-SE"/>
        </w:rPr>
        <w:t>systemet samt förnyande</w:t>
      </w:r>
      <w:r w:rsidR="00C64ADF">
        <w:rPr>
          <w:spacing w:val="-3"/>
          <w:lang w:val="sv-SE"/>
        </w:rPr>
        <w:t>t av produktsystemet enligt kon</w:t>
      </w:r>
      <w:r w:rsidR="00143AA4">
        <w:rPr>
          <w:spacing w:val="-3"/>
          <w:lang w:val="sv-SE"/>
        </w:rPr>
        <w:t>ventionen så att brev som innehåller v</w:t>
      </w:r>
      <w:r w:rsidR="00143AA4">
        <w:rPr>
          <w:spacing w:val="-3"/>
          <w:lang w:val="sv-SE"/>
        </w:rPr>
        <w:t>a</w:t>
      </w:r>
      <w:r w:rsidR="00143AA4">
        <w:rPr>
          <w:spacing w:val="-3"/>
          <w:lang w:val="sv-SE"/>
        </w:rPr>
        <w:t>ror ska betraktas som varuförsändelser</w:t>
      </w:r>
      <w:r w:rsidR="00CF0FB2">
        <w:rPr>
          <w:spacing w:val="-3"/>
          <w:lang w:val="sv-SE"/>
        </w:rPr>
        <w:t>.</w:t>
      </w:r>
      <w:r w:rsidR="00D8761F">
        <w:rPr>
          <w:spacing w:val="-3"/>
          <w:lang w:val="sv-SE"/>
        </w:rPr>
        <w:t xml:space="preserve"> Världspostföreningens avtal antas som nya avtal. De e</w:t>
      </w:r>
      <w:r w:rsidR="00D8761F">
        <w:rPr>
          <w:spacing w:val="-3"/>
          <w:lang w:val="sv-SE"/>
        </w:rPr>
        <w:t>r</w:t>
      </w:r>
      <w:r w:rsidR="00D8761F">
        <w:rPr>
          <w:spacing w:val="-3"/>
          <w:lang w:val="sv-SE"/>
        </w:rPr>
        <w:t xml:space="preserve">sätter som helhet tidigare avtal som är i kraft. </w:t>
      </w:r>
    </w:p>
    <w:p w:rsidR="00143AA4" w:rsidRDefault="007D4E7D" w:rsidP="00C64ADF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143AA4">
        <w:rPr>
          <w:spacing w:val="-3"/>
          <w:lang w:val="sv-SE"/>
        </w:rPr>
        <w:t xml:space="preserve">Enligt 18 § </w:t>
      </w:r>
      <w:r w:rsidR="00526BF7">
        <w:rPr>
          <w:spacing w:val="-3"/>
          <w:lang w:val="sv-SE"/>
        </w:rPr>
        <w:t>20</w:t>
      </w:r>
      <w:r w:rsidRPr="007D4E7D">
        <w:rPr>
          <w:spacing w:val="-3"/>
          <w:lang w:val="sv-SE"/>
        </w:rPr>
        <w:t xml:space="preserve"> punkten i självstyrelselagen har landskapet lagstiftningsbehörighet</w:t>
      </w:r>
      <w:r w:rsidR="00526BF7">
        <w:rPr>
          <w:spacing w:val="-3"/>
          <w:lang w:val="sv-SE"/>
        </w:rPr>
        <w:t xml:space="preserve"> i fråga om postväsendet. </w:t>
      </w:r>
    </w:p>
    <w:p w:rsidR="008204D3" w:rsidRDefault="007D4E7D" w:rsidP="003177B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7D4E7D">
        <w:rPr>
          <w:spacing w:val="-3"/>
          <w:lang w:val="sv-SE"/>
        </w:rPr>
        <w:t xml:space="preserve">Således </w:t>
      </w:r>
      <w:r w:rsidR="006416A0" w:rsidRPr="006416A0">
        <w:rPr>
          <w:spacing w:val="-3"/>
          <w:lang w:val="sv-SE"/>
        </w:rPr>
        <w:t>måste Ålands lagtings godkännande i enlighet med 59 § 1 mom. i självstyrels</w:t>
      </w:r>
      <w:r w:rsidR="006416A0" w:rsidRPr="006416A0">
        <w:rPr>
          <w:spacing w:val="-3"/>
          <w:lang w:val="sv-SE"/>
        </w:rPr>
        <w:t>e</w:t>
      </w:r>
      <w:r w:rsidR="006416A0" w:rsidRPr="006416A0">
        <w:rPr>
          <w:spacing w:val="-3"/>
          <w:lang w:val="sv-SE"/>
        </w:rPr>
        <w:t xml:space="preserve">lagen inhämtas för att den ikraftträdandelag som ingår i propositionen ska träda i kraft </w:t>
      </w:r>
      <w:r w:rsidR="00841846">
        <w:rPr>
          <w:spacing w:val="-3"/>
          <w:lang w:val="sv-SE"/>
        </w:rPr>
        <w:t xml:space="preserve">på </w:t>
      </w:r>
      <w:r w:rsidR="006416A0" w:rsidRPr="006416A0">
        <w:rPr>
          <w:spacing w:val="-3"/>
          <w:lang w:val="sv-SE"/>
        </w:rPr>
        <w:t>Åland.</w:t>
      </w:r>
    </w:p>
    <w:p w:rsidR="003177BA" w:rsidRDefault="003177BA" w:rsidP="003177B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8204D3" w:rsidRDefault="008204D3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8204D3" w:rsidRDefault="008204D3" w:rsidP="003C15DC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332FCB" w:rsidRDefault="00332FCB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C64ADF" w:rsidRDefault="00C64ADF" w:rsidP="00B856CE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lastRenderedPageBreak/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BD49DD">
        <w:rPr>
          <w:bCs/>
          <w:color w:val="000000"/>
          <w:lang w:val="sv-SE"/>
        </w:rPr>
        <w:t>181</w:t>
      </w:r>
      <w:r w:rsidR="00AD43BB" w:rsidRPr="00A17B6E">
        <w:rPr>
          <w:bCs/>
          <w:color w:val="000000"/>
          <w:lang w:val="sv-SE"/>
        </w:rPr>
        <w:t>/20</w:t>
      </w:r>
      <w:r w:rsidR="006416A0">
        <w:rPr>
          <w:bCs/>
          <w:color w:val="000000"/>
          <w:lang w:val="sv-SE"/>
        </w:rPr>
        <w:t>18</w:t>
      </w:r>
      <w:r w:rsidR="00155582">
        <w:rPr>
          <w:bCs/>
          <w:color w:val="000000"/>
          <w:lang w:val="sv-SE"/>
        </w:rPr>
        <w:t xml:space="preserve"> rd</w:t>
      </w:r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841846">
        <w:t xml:space="preserve">på </w:t>
      </w:r>
      <w:r w:rsidR="00BD49DD">
        <w:t>Åland till de delar konventionen</w:t>
      </w:r>
      <w:r w:rsidR="00C4438D">
        <w:t xml:space="preserve"> </w:t>
      </w:r>
      <w:r w:rsidR="00882B81">
        <w:t>faller inom landskapets behöri</w:t>
      </w:r>
      <w:r w:rsidR="00882B81">
        <w:t>g</w:t>
      </w:r>
      <w:r w:rsidR="00882B81">
        <w:t>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BD49DD">
        <w:rPr>
          <w:spacing w:val="-3"/>
          <w:lang w:val="sv-SE"/>
        </w:rPr>
        <w:t>23 novembe</w:t>
      </w:r>
      <w:r w:rsidR="0028279A">
        <w:rPr>
          <w:spacing w:val="-3"/>
          <w:lang w:val="sv-SE"/>
        </w:rPr>
        <w:t>r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861405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4F202B">
        <w:rPr>
          <w:spacing w:val="-3"/>
          <w:lang w:val="sv-SE"/>
        </w:rPr>
        <w:t>SAULI NIINISTÖ</w:t>
      </w:r>
    </w:p>
    <w:p w:rsidR="00EF104B" w:rsidRPr="004F202B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4F202B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4F202B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4F202B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Pr="004F202B">
        <w:rPr>
          <w:spacing w:val="-3"/>
          <w:lang w:val="sv-SE"/>
        </w:rPr>
        <w:tab/>
      </w:r>
      <w:r w:rsidR="009A0415" w:rsidRPr="004F202B">
        <w:rPr>
          <w:spacing w:val="-3"/>
          <w:lang w:val="sv-SE"/>
        </w:rPr>
        <w:t>Kommunikationsmin</w:t>
      </w:r>
      <w:r w:rsidR="00EF104B" w:rsidRPr="004F202B">
        <w:rPr>
          <w:spacing w:val="-3"/>
          <w:lang w:val="sv-SE"/>
        </w:rPr>
        <w:t xml:space="preserve">ister </w:t>
      </w:r>
      <w:r w:rsidR="009A0415" w:rsidRPr="004F202B">
        <w:rPr>
          <w:spacing w:val="-3"/>
          <w:lang w:val="sv-SE"/>
        </w:rPr>
        <w:t>Anne Berner</w:t>
      </w:r>
    </w:p>
    <w:p w:rsidR="002A4685" w:rsidRPr="004F202B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Pr="004F202B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E464F9" w:rsidRPr="004F202B" w:rsidRDefault="00E464F9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C15DC" w:rsidRPr="004F202B" w:rsidRDefault="003C15DC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177BA" w:rsidRDefault="003177B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3177BA" w:rsidRPr="004F202B" w:rsidRDefault="003177B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65E27" w:rsidRPr="004F202B" w:rsidRDefault="00665E27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4F202B" w:rsidRDefault="00C64ADF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>
        <w:rPr>
          <w:spacing w:val="-3"/>
          <w:sz w:val="16"/>
          <w:szCs w:val="16"/>
          <w:lang w:val="sv-SE"/>
        </w:rPr>
        <w:t>VN/6006/2018</w:t>
      </w:r>
    </w:p>
    <w:sectPr w:rsidR="00C70D0A" w:rsidRPr="004F202B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6A" w:rsidRDefault="000B446A">
      <w:r>
        <w:separator/>
      </w:r>
    </w:p>
  </w:endnote>
  <w:endnote w:type="continuationSeparator" w:id="0">
    <w:p w:rsidR="000B446A" w:rsidRDefault="000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6A" w:rsidRDefault="000B446A">
      <w:r>
        <w:separator/>
      </w:r>
    </w:p>
  </w:footnote>
  <w:footnote w:type="continuationSeparator" w:id="0">
    <w:p w:rsidR="000B446A" w:rsidRDefault="000B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6F54"/>
    <w:rsid w:val="000422AD"/>
    <w:rsid w:val="000425E8"/>
    <w:rsid w:val="000426F4"/>
    <w:rsid w:val="0004295E"/>
    <w:rsid w:val="00051E74"/>
    <w:rsid w:val="00052AD1"/>
    <w:rsid w:val="000601D6"/>
    <w:rsid w:val="000A1750"/>
    <w:rsid w:val="000A18F8"/>
    <w:rsid w:val="000A7921"/>
    <w:rsid w:val="000B1A05"/>
    <w:rsid w:val="000B446A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C305E"/>
    <w:rsid w:val="001D5E26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177BA"/>
    <w:rsid w:val="00323411"/>
    <w:rsid w:val="00332BF9"/>
    <w:rsid w:val="00332FCB"/>
    <w:rsid w:val="00335DA6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60A4"/>
    <w:rsid w:val="003D40A0"/>
    <w:rsid w:val="003D6888"/>
    <w:rsid w:val="003E1F46"/>
    <w:rsid w:val="003E6A86"/>
    <w:rsid w:val="003F3177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3482"/>
    <w:rsid w:val="0048547C"/>
    <w:rsid w:val="00490F05"/>
    <w:rsid w:val="00491C47"/>
    <w:rsid w:val="004977EB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B33"/>
    <w:rsid w:val="006A4686"/>
    <w:rsid w:val="006A60F5"/>
    <w:rsid w:val="006A7F65"/>
    <w:rsid w:val="006B24EE"/>
    <w:rsid w:val="006B6070"/>
    <w:rsid w:val="006B6796"/>
    <w:rsid w:val="006B6A24"/>
    <w:rsid w:val="006C3692"/>
    <w:rsid w:val="006D1F80"/>
    <w:rsid w:val="006D49D2"/>
    <w:rsid w:val="006E0AC3"/>
    <w:rsid w:val="006E2F1E"/>
    <w:rsid w:val="006E64AC"/>
    <w:rsid w:val="006F2995"/>
    <w:rsid w:val="006F3929"/>
    <w:rsid w:val="00716139"/>
    <w:rsid w:val="0072520C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413E"/>
    <w:rsid w:val="007C42E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204D3"/>
    <w:rsid w:val="008215EC"/>
    <w:rsid w:val="0082355C"/>
    <w:rsid w:val="00837EE4"/>
    <w:rsid w:val="00841846"/>
    <w:rsid w:val="0084292C"/>
    <w:rsid w:val="0085192A"/>
    <w:rsid w:val="00856867"/>
    <w:rsid w:val="00861405"/>
    <w:rsid w:val="00862FA7"/>
    <w:rsid w:val="0086419A"/>
    <w:rsid w:val="00870D8A"/>
    <w:rsid w:val="00873706"/>
    <w:rsid w:val="00874F7C"/>
    <w:rsid w:val="00882B81"/>
    <w:rsid w:val="008A5599"/>
    <w:rsid w:val="008B0B1E"/>
    <w:rsid w:val="008B72A2"/>
    <w:rsid w:val="008E4468"/>
    <w:rsid w:val="008E709A"/>
    <w:rsid w:val="008F4AB0"/>
    <w:rsid w:val="008F7A36"/>
    <w:rsid w:val="00902321"/>
    <w:rsid w:val="00910573"/>
    <w:rsid w:val="0091123B"/>
    <w:rsid w:val="00917F48"/>
    <w:rsid w:val="009205BD"/>
    <w:rsid w:val="0093141A"/>
    <w:rsid w:val="00942FF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911A9"/>
    <w:rsid w:val="00997391"/>
    <w:rsid w:val="009A0415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15DC"/>
    <w:rsid w:val="00A01C49"/>
    <w:rsid w:val="00A037AD"/>
    <w:rsid w:val="00A04A6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43EA"/>
    <w:rsid w:val="00B813C6"/>
    <w:rsid w:val="00B83B57"/>
    <w:rsid w:val="00B856CE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50C5"/>
    <w:rsid w:val="00CE759E"/>
    <w:rsid w:val="00CF0FB2"/>
    <w:rsid w:val="00CF6C4D"/>
    <w:rsid w:val="00D029B0"/>
    <w:rsid w:val="00D05F54"/>
    <w:rsid w:val="00D3118F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70"/>
    <w:rsid w:val="00EB34F4"/>
    <w:rsid w:val="00EC2A1C"/>
    <w:rsid w:val="00EC642F"/>
    <w:rsid w:val="00EC69D7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7CC9"/>
    <w:rsid w:val="00F63E3F"/>
    <w:rsid w:val="00F66493"/>
    <w:rsid w:val="00F6685A"/>
    <w:rsid w:val="00F70960"/>
    <w:rsid w:val="00F70BDB"/>
    <w:rsid w:val="00F71011"/>
    <w:rsid w:val="00F720DA"/>
    <w:rsid w:val="00F73C68"/>
    <w:rsid w:val="00F7405A"/>
    <w:rsid w:val="00F7732E"/>
    <w:rsid w:val="00FA17D8"/>
    <w:rsid w:val="00FA1EEA"/>
    <w:rsid w:val="00FA594A"/>
    <w:rsid w:val="00FA6F4F"/>
    <w:rsid w:val="00FB0734"/>
    <w:rsid w:val="00FB67B9"/>
    <w:rsid w:val="00FC7152"/>
    <w:rsid w:val="00FE1787"/>
    <w:rsid w:val="00FE1EC6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8154-4EBA-415C-8044-097F7C6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727AD856.dotm</Template>
  <TotalTime>0</TotalTime>
  <Pages>2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2018-11-19T09:48:00Z</cp:lastPrinted>
  <dcterms:created xsi:type="dcterms:W3CDTF">2018-12-04T08:27:00Z</dcterms:created>
  <dcterms:modified xsi:type="dcterms:W3CDTF">2018-12-04T08:27:00Z</dcterms:modified>
</cp:coreProperties>
</file>