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8" w:rsidRDefault="007C4058" w:rsidP="007C4058">
      <w:pPr>
        <w:spacing w:line="360" w:lineRule="auto"/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-Rep-Press-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3</w:t>
      </w:r>
      <w:r>
        <w:rPr>
          <w:lang w:val="de-DE"/>
        </w:rPr>
        <w:tab/>
      </w: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</w:t>
      </w:r>
      <w:r w:rsidR="009E22BF">
        <w:rPr>
          <w:lang w:val="de-DE"/>
        </w:rPr>
        <w:t xml:space="preserve"> </w:t>
      </w:r>
      <w:r w:rsidR="002B16C4" w:rsidRPr="00A17B6E">
        <w:rPr>
          <w:lang w:val="de-DE"/>
        </w:rPr>
        <w:t>p r e s i d e n t s</w:t>
      </w:r>
    </w:p>
    <w:p w:rsidR="008438DB" w:rsidRDefault="009E22BF" w:rsidP="007C4058">
      <w:pPr>
        <w:spacing w:line="360" w:lineRule="auto"/>
        <w:ind w:left="4253"/>
        <w:jc w:val="both"/>
        <w:outlineLvl w:val="0"/>
        <w:rPr>
          <w:lang w:val="sv-SE"/>
        </w:rPr>
      </w:pPr>
      <w:r>
        <w:rPr>
          <w:lang w:val="sv-SE"/>
        </w:rPr>
        <w:t xml:space="preserve">framställning till Ålands lagting </w:t>
      </w:r>
      <w:bookmarkStart w:id="0" w:name="_GoBack"/>
      <w:r>
        <w:rPr>
          <w:lang w:val="sv-SE"/>
        </w:rPr>
        <w:t>om r</w:t>
      </w:r>
      <w:r w:rsidRPr="009E22BF">
        <w:rPr>
          <w:lang w:val="sv-SE"/>
        </w:rPr>
        <w:t>egeringens prop</w:t>
      </w:r>
      <w:r w:rsidRPr="009E22BF">
        <w:rPr>
          <w:lang w:val="sv-SE"/>
        </w:rPr>
        <w:t>o</w:t>
      </w:r>
      <w:r w:rsidRPr="009E22BF">
        <w:rPr>
          <w:lang w:val="sv-SE"/>
        </w:rPr>
        <w:t>sition till riksdagen om godkännande och sättande i kraft av det övergripande</w:t>
      </w:r>
      <w:r>
        <w:rPr>
          <w:lang w:val="sv-SE"/>
        </w:rPr>
        <w:t xml:space="preserve"> </w:t>
      </w:r>
      <w:r w:rsidRPr="009E22BF">
        <w:rPr>
          <w:lang w:val="sv-SE"/>
        </w:rPr>
        <w:t>avtalet om ekonomi och ha</w:t>
      </w:r>
      <w:r w:rsidRPr="009E22BF">
        <w:rPr>
          <w:lang w:val="sv-SE"/>
        </w:rPr>
        <w:t>n</w:t>
      </w:r>
      <w:r w:rsidRPr="009E22BF">
        <w:rPr>
          <w:lang w:val="sv-SE"/>
        </w:rPr>
        <w:t>del mellan Kanada, å ena sidan, och Europeiska unio</w:t>
      </w:r>
      <w:r w:rsidRPr="009E22BF">
        <w:rPr>
          <w:lang w:val="sv-SE"/>
        </w:rPr>
        <w:t>n</w:t>
      </w:r>
      <w:r w:rsidRPr="009E22BF">
        <w:rPr>
          <w:lang w:val="sv-SE"/>
        </w:rPr>
        <w:t>en,</w:t>
      </w:r>
      <w:r>
        <w:rPr>
          <w:lang w:val="sv-SE"/>
        </w:rPr>
        <w:t xml:space="preserve"> </w:t>
      </w:r>
      <w:r w:rsidRPr="009E22BF">
        <w:rPr>
          <w:lang w:val="sv-SE"/>
        </w:rPr>
        <w:t>och dess medlemsstater, å andra sidan</w:t>
      </w:r>
      <w:bookmarkEnd w:id="0"/>
      <w:r w:rsidR="00473482" w:rsidRPr="00A17B6E">
        <w:rPr>
          <w:lang w:val="sv-SE"/>
        </w:rPr>
        <w:tab/>
      </w:r>
    </w:p>
    <w:p w:rsidR="000E56D8" w:rsidRDefault="008438DB" w:rsidP="00376C0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</w:t>
      </w:r>
      <w:r w:rsidR="00483F52">
        <w:rPr>
          <w:spacing w:val="-3"/>
          <w:lang w:val="sv-SE"/>
        </w:rPr>
        <w:t xml:space="preserve"> Åland</w:t>
      </w:r>
      <w:r w:rsidR="00A11EF2" w:rsidRPr="00A17B6E">
        <w:rPr>
          <w:spacing w:val="-3"/>
          <w:lang w:val="sv-SE"/>
        </w:rPr>
        <w:t>s behörighet, träder bestämmelsen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9E22BF" w:rsidRPr="009E22BF" w:rsidRDefault="000E56D8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E22BF" w:rsidRPr="009E22BF">
        <w:rPr>
          <w:spacing w:val="-3"/>
          <w:lang w:val="sv-SE"/>
        </w:rPr>
        <w:t>Det övergripande avtalet om ekonomi och handel mellan Kanada, å ena sidan, och Eur</w:t>
      </w:r>
      <w:r w:rsidR="009E22BF" w:rsidRPr="009E22BF">
        <w:rPr>
          <w:spacing w:val="-3"/>
          <w:lang w:val="sv-SE"/>
        </w:rPr>
        <w:t>o</w:t>
      </w:r>
      <w:r w:rsidR="009E22BF" w:rsidRPr="009E22BF">
        <w:rPr>
          <w:spacing w:val="-3"/>
          <w:lang w:val="sv-SE"/>
        </w:rPr>
        <w:t xml:space="preserve">peiska unionen, och dess medlemsstater, å andra sidan (CETA, </w:t>
      </w:r>
      <w:proofErr w:type="spellStart"/>
      <w:r w:rsidR="009E22BF" w:rsidRPr="009E22BF">
        <w:rPr>
          <w:spacing w:val="-3"/>
          <w:lang w:val="sv-SE"/>
        </w:rPr>
        <w:t>Comprehensive</w:t>
      </w:r>
      <w:proofErr w:type="spellEnd"/>
      <w:r w:rsidR="009E22BF" w:rsidRPr="009E22BF">
        <w:rPr>
          <w:spacing w:val="-3"/>
          <w:lang w:val="sv-SE"/>
        </w:rPr>
        <w:t xml:space="preserve"> </w:t>
      </w:r>
      <w:proofErr w:type="spellStart"/>
      <w:r w:rsidR="009E22BF" w:rsidRPr="009E22BF">
        <w:rPr>
          <w:spacing w:val="-3"/>
          <w:lang w:val="sv-SE"/>
        </w:rPr>
        <w:t>Economic</w:t>
      </w:r>
      <w:proofErr w:type="spellEnd"/>
      <w:r w:rsidR="009E22BF" w:rsidRPr="009E22BF">
        <w:rPr>
          <w:spacing w:val="-3"/>
          <w:lang w:val="sv-SE"/>
        </w:rPr>
        <w:t xml:space="preserve"> and </w:t>
      </w:r>
      <w:proofErr w:type="spellStart"/>
      <w:r w:rsidR="009E22BF" w:rsidRPr="009E22BF">
        <w:rPr>
          <w:spacing w:val="-3"/>
          <w:lang w:val="sv-SE"/>
        </w:rPr>
        <w:t>Trade</w:t>
      </w:r>
      <w:proofErr w:type="spellEnd"/>
      <w:r w:rsidR="009E22BF" w:rsidRPr="009E22BF">
        <w:rPr>
          <w:spacing w:val="-3"/>
          <w:lang w:val="sv-SE"/>
        </w:rPr>
        <w:t xml:space="preserve"> </w:t>
      </w:r>
      <w:proofErr w:type="spellStart"/>
      <w:r w:rsidR="009E22BF" w:rsidRPr="009E22BF">
        <w:rPr>
          <w:spacing w:val="-3"/>
          <w:lang w:val="sv-SE"/>
        </w:rPr>
        <w:t>Agreement</w:t>
      </w:r>
      <w:proofErr w:type="spellEnd"/>
      <w:r w:rsidR="009E22BF" w:rsidRPr="009E22BF">
        <w:rPr>
          <w:spacing w:val="-3"/>
          <w:lang w:val="sv-SE"/>
        </w:rPr>
        <w:t xml:space="preserve">), nedan kallat </w:t>
      </w:r>
      <w:proofErr w:type="spellStart"/>
      <w:r w:rsidR="009E22BF" w:rsidRPr="009E22BF">
        <w:rPr>
          <w:i/>
          <w:spacing w:val="-3"/>
          <w:lang w:val="sv-SE"/>
        </w:rPr>
        <w:t>Ceta</w:t>
      </w:r>
      <w:proofErr w:type="spellEnd"/>
      <w:r w:rsidR="009E22BF" w:rsidRPr="009E22BF">
        <w:rPr>
          <w:spacing w:val="-3"/>
          <w:lang w:val="sv-SE"/>
        </w:rPr>
        <w:t>, är det mest övergripande frihandelsavtal som EU har fö</w:t>
      </w:r>
      <w:r w:rsidR="009E22BF" w:rsidRPr="009E22BF">
        <w:rPr>
          <w:spacing w:val="-3"/>
          <w:lang w:val="sv-SE"/>
        </w:rPr>
        <w:t>r</w:t>
      </w:r>
      <w:r w:rsidR="009E22BF" w:rsidRPr="009E22BF">
        <w:rPr>
          <w:spacing w:val="-3"/>
          <w:lang w:val="sv-SE"/>
        </w:rPr>
        <w:t xml:space="preserve">handlat fram och för EU det första åtagandet med ett nordamerikanskt land om inrättande av ett frihandelsområde. </w:t>
      </w:r>
    </w:p>
    <w:p w:rsidR="009E22BF" w:rsidRPr="009E22BF" w:rsidRDefault="009E22BF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proofErr w:type="spellStart"/>
      <w:r w:rsidRPr="009E22BF">
        <w:rPr>
          <w:spacing w:val="-3"/>
          <w:lang w:val="sv-SE"/>
        </w:rPr>
        <w:t>Ceta</w:t>
      </w:r>
      <w:proofErr w:type="spellEnd"/>
      <w:r w:rsidRPr="009E22BF">
        <w:rPr>
          <w:spacing w:val="-3"/>
          <w:lang w:val="sv-SE"/>
        </w:rPr>
        <w:t xml:space="preserve"> syftar till gradvis och ömsesidig liberalisering i väsentliga delar av all varu- och tjänstehandel, i enlighet med Världshandelsorganisationens, nedan kallad WTO, regler och fö</w:t>
      </w:r>
      <w:r w:rsidRPr="009E22BF">
        <w:rPr>
          <w:spacing w:val="-3"/>
          <w:lang w:val="sv-SE"/>
        </w:rPr>
        <w:t>r</w:t>
      </w:r>
      <w:r w:rsidRPr="009E22BF">
        <w:rPr>
          <w:spacing w:val="-3"/>
          <w:lang w:val="sv-SE"/>
        </w:rPr>
        <w:t>pliktelser. Målet har också varit att tillträdet till den kanadensiska marknaden ska vara minst lika bra som i andra frihandelsavtal som Kanada har förhandlat fram.</w:t>
      </w:r>
    </w:p>
    <w:p w:rsidR="009E22BF" w:rsidRPr="009E22BF" w:rsidRDefault="009E22BF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proofErr w:type="spellStart"/>
      <w:r w:rsidRPr="009E22BF">
        <w:rPr>
          <w:spacing w:val="-3"/>
          <w:lang w:val="sv-SE"/>
        </w:rPr>
        <w:t>Ceta</w:t>
      </w:r>
      <w:proofErr w:type="spellEnd"/>
      <w:r w:rsidRPr="009E22BF">
        <w:rPr>
          <w:spacing w:val="-3"/>
          <w:lang w:val="sv-SE"/>
        </w:rPr>
        <w:t xml:space="preserve"> är till sin karaktär ett blandat avtal vars bestämmelser dels omfattas av medlemsst</w:t>
      </w:r>
      <w:r w:rsidRPr="009E22BF">
        <w:rPr>
          <w:spacing w:val="-3"/>
          <w:lang w:val="sv-SE"/>
        </w:rPr>
        <w:t>a</w:t>
      </w:r>
      <w:r w:rsidRPr="009E22BF">
        <w:rPr>
          <w:spacing w:val="-3"/>
          <w:lang w:val="sv-SE"/>
        </w:rPr>
        <w:t xml:space="preserve">ternas, dels av EU:s behörighet. Följaktligen är utöver EU också medlemsstaterna parter i avtalet, vilket förutsätter ett godkännande både av unionen och av medlemsstaterna. I </w:t>
      </w:r>
      <w:proofErr w:type="spellStart"/>
      <w:r w:rsidRPr="009E22BF">
        <w:rPr>
          <w:spacing w:val="-3"/>
          <w:lang w:val="sv-SE"/>
        </w:rPr>
        <w:t>Ceta</w:t>
      </w:r>
      <w:proofErr w:type="spellEnd"/>
      <w:r w:rsidRPr="009E22BF">
        <w:rPr>
          <w:spacing w:val="-3"/>
          <w:lang w:val="sv-SE"/>
        </w:rPr>
        <w:t>-avtalet ingår det bestämmelser som har beröringspunkter med protokoll 2 om Åland i bilagan till fördraget om Finlands anslutning till Europeiska unionen (</w:t>
      </w:r>
      <w:proofErr w:type="spellStart"/>
      <w:r w:rsidRPr="009E22BF">
        <w:rPr>
          <w:spacing w:val="-3"/>
          <w:lang w:val="sv-SE"/>
        </w:rPr>
        <w:t>FördrS</w:t>
      </w:r>
      <w:proofErr w:type="spellEnd"/>
      <w:r w:rsidRPr="009E22BF">
        <w:rPr>
          <w:spacing w:val="-3"/>
          <w:lang w:val="sv-SE"/>
        </w:rPr>
        <w:t xml:space="preserve"> 103/1994). En del av bestämmelserna i fråga hör till EU:s exklusiva behörighet vilket innebär att den åländska särställningen har beaktats r</w:t>
      </w:r>
      <w:r w:rsidRPr="009E22BF">
        <w:rPr>
          <w:spacing w:val="-3"/>
          <w:lang w:val="sv-SE"/>
        </w:rPr>
        <w:t>e</w:t>
      </w:r>
      <w:r w:rsidRPr="009E22BF">
        <w:rPr>
          <w:spacing w:val="-3"/>
          <w:lang w:val="sv-SE"/>
        </w:rPr>
        <w:t xml:space="preserve">dan i förhandlingarna om avtalsbestämmelserna i fråga. </w:t>
      </w:r>
    </w:p>
    <w:p w:rsidR="009E22BF" w:rsidRPr="009E22BF" w:rsidRDefault="009E22BF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9E22BF">
        <w:rPr>
          <w:spacing w:val="-3"/>
          <w:lang w:val="sv-SE"/>
        </w:rPr>
        <w:t>I bilaga 19–7 om offentlig upphandling föreskrivs att i fråga om Åland de särskilda vil</w:t>
      </w:r>
      <w:r w:rsidRPr="009E22BF">
        <w:rPr>
          <w:spacing w:val="-3"/>
          <w:lang w:val="sv-SE"/>
        </w:rPr>
        <w:t>l</w:t>
      </w:r>
      <w:r w:rsidRPr="009E22BF">
        <w:rPr>
          <w:spacing w:val="-3"/>
          <w:lang w:val="sv-SE"/>
        </w:rPr>
        <w:t xml:space="preserve">koren i protokoll 2 till fördraget om Finlands anslutning till Europeiska unionen som behandlar Ålands ställning ska tillämpas. I bilaga II om investeringar och gränsöverskridande handel med tjänster ingår det för Finlands del ett förbehåll, enligt vilket Åland utifrån hembygdsrätten kan begränsa rätten att förvärva och </w:t>
      </w:r>
      <w:proofErr w:type="gramStart"/>
      <w:r w:rsidRPr="009E22BF">
        <w:rPr>
          <w:spacing w:val="-3"/>
          <w:lang w:val="sv-SE"/>
        </w:rPr>
        <w:t>besitta</w:t>
      </w:r>
      <w:proofErr w:type="gramEnd"/>
      <w:r w:rsidRPr="009E22BF">
        <w:rPr>
          <w:spacing w:val="-3"/>
          <w:lang w:val="sv-SE"/>
        </w:rPr>
        <w:t xml:space="preserve"> fast egendom, rätten att tillhandahålla tjänster och etabl</w:t>
      </w:r>
      <w:r w:rsidRPr="009E22BF">
        <w:rPr>
          <w:spacing w:val="-3"/>
          <w:lang w:val="sv-SE"/>
        </w:rPr>
        <w:t>e</w:t>
      </w:r>
      <w:r w:rsidRPr="009E22BF">
        <w:rPr>
          <w:spacing w:val="-3"/>
          <w:lang w:val="sv-SE"/>
        </w:rPr>
        <w:t>ringsrätten på sitt territorium.</w:t>
      </w:r>
    </w:p>
    <w:p w:rsidR="009E22BF" w:rsidRDefault="00E6349C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9E22BF" w:rsidRPr="009E22BF">
        <w:rPr>
          <w:spacing w:val="-3"/>
          <w:lang w:val="sv-SE"/>
        </w:rPr>
        <w:t>I artikel 8.12 om expropriation och i artikel 28.7 om beskattning ingår det bestämmelser som omfattas av den nationella behörigheten och som enligt 18 § 5 och 8 punkten i självstyrels</w:t>
      </w:r>
      <w:r w:rsidR="009E22BF" w:rsidRPr="009E22BF">
        <w:rPr>
          <w:spacing w:val="-3"/>
          <w:lang w:val="sv-SE"/>
        </w:rPr>
        <w:t>e</w:t>
      </w:r>
      <w:r w:rsidR="009E22BF" w:rsidRPr="009E22BF">
        <w:rPr>
          <w:spacing w:val="-3"/>
          <w:lang w:val="sv-SE"/>
        </w:rPr>
        <w:t>lagen också omfattas av landskapet Ålands lagstiftningsbehörighet. Följaktligen bör Ålands la</w:t>
      </w:r>
      <w:r w:rsidR="009E22BF" w:rsidRPr="009E22BF">
        <w:rPr>
          <w:spacing w:val="-3"/>
          <w:lang w:val="sv-SE"/>
        </w:rPr>
        <w:t>g</w:t>
      </w:r>
      <w:r w:rsidR="009E22BF" w:rsidRPr="009E22BF">
        <w:rPr>
          <w:spacing w:val="-3"/>
          <w:lang w:val="sv-SE"/>
        </w:rPr>
        <w:t>tings bifall inhämtas för bestämmelserna om sättande i kraft av avtalet. I avtalet ingår också andra områden som enligt 18 § i självstyrelselagen för Åland hör till landskapets lagstiftningsb</w:t>
      </w:r>
      <w:r w:rsidR="009E22BF" w:rsidRPr="009E22BF">
        <w:rPr>
          <w:spacing w:val="-3"/>
          <w:lang w:val="sv-SE"/>
        </w:rPr>
        <w:t>e</w:t>
      </w:r>
      <w:r w:rsidR="009E22BF" w:rsidRPr="009E22BF">
        <w:rPr>
          <w:spacing w:val="-3"/>
          <w:lang w:val="sv-SE"/>
        </w:rPr>
        <w:t>hörighet men som emellertid inte längre hör till medlemsstaternas behörighet.</w:t>
      </w:r>
    </w:p>
    <w:p w:rsidR="009E22BF" w:rsidRPr="009E22BF" w:rsidRDefault="00294411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E22BF" w:rsidRPr="009E22BF">
        <w:rPr>
          <w:spacing w:val="-3"/>
          <w:lang w:val="sv-SE"/>
        </w:rPr>
        <w:t xml:space="preserve">Med bifogande av regeringens proposition (RP </w:t>
      </w:r>
      <w:r w:rsidR="009E22BF">
        <w:rPr>
          <w:spacing w:val="-3"/>
          <w:lang w:val="sv-SE"/>
        </w:rPr>
        <w:t>149</w:t>
      </w:r>
      <w:r w:rsidR="009E22BF" w:rsidRPr="009E22BF">
        <w:rPr>
          <w:spacing w:val="-3"/>
          <w:lang w:val="sv-SE"/>
        </w:rPr>
        <w:t xml:space="preserve">/2017 </w:t>
      </w:r>
      <w:proofErr w:type="spellStart"/>
      <w:r w:rsidR="009E22BF" w:rsidRPr="009E22BF">
        <w:rPr>
          <w:spacing w:val="-3"/>
          <w:lang w:val="sv-SE"/>
        </w:rPr>
        <w:t>rd</w:t>
      </w:r>
      <w:proofErr w:type="spellEnd"/>
      <w:r w:rsidR="009E22BF" w:rsidRPr="009E22BF">
        <w:rPr>
          <w:spacing w:val="-3"/>
          <w:lang w:val="sv-SE"/>
        </w:rPr>
        <w:t>) i saken, föreslås</w:t>
      </w:r>
    </w:p>
    <w:p w:rsidR="009E22BF" w:rsidRPr="009E22BF" w:rsidRDefault="009E22BF" w:rsidP="009E22B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294411" w:rsidRPr="009E22BF" w:rsidRDefault="009E22BF" w:rsidP="009E22BF">
      <w:pPr>
        <w:tabs>
          <w:tab w:val="left" w:pos="567"/>
        </w:tabs>
        <w:spacing w:line="360" w:lineRule="auto"/>
        <w:ind w:left="2608"/>
        <w:jc w:val="both"/>
        <w:rPr>
          <w:lang w:val="sv-SE"/>
        </w:rPr>
      </w:pPr>
      <w:r w:rsidRPr="009E22BF">
        <w:rPr>
          <w:spacing w:val="-3"/>
          <w:lang w:val="sv-SE"/>
        </w:rPr>
        <w:t xml:space="preserve">att Ålands lagting ger sitt bifall till att lagen träder i kraft på Åland till de delar </w:t>
      </w:r>
      <w:proofErr w:type="spellStart"/>
      <w:r>
        <w:rPr>
          <w:spacing w:val="-3"/>
          <w:lang w:val="sv-SE"/>
        </w:rPr>
        <w:t>Ceta</w:t>
      </w:r>
      <w:proofErr w:type="spellEnd"/>
      <w:r>
        <w:rPr>
          <w:spacing w:val="-3"/>
          <w:lang w:val="sv-SE"/>
        </w:rPr>
        <w:t>-avtalet</w:t>
      </w:r>
      <w:r w:rsidRPr="009E22BF">
        <w:rPr>
          <w:spacing w:val="-3"/>
          <w:lang w:val="sv-SE"/>
        </w:rPr>
        <w:t xml:space="preserve"> faller inom landskapets behörighet.</w:t>
      </w:r>
    </w:p>
    <w:p w:rsidR="0029232E" w:rsidRDefault="00294411" w:rsidP="00294411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</w:p>
    <w:p w:rsidR="0029232E" w:rsidRDefault="0029232E" w:rsidP="00294411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</w:p>
    <w:p w:rsidR="00294411" w:rsidRPr="00A17B6E" w:rsidRDefault="0029232E" w:rsidP="00294411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294411">
        <w:rPr>
          <w:spacing w:val="-3"/>
          <w:lang w:val="sv-SE"/>
        </w:rPr>
        <w:t>Helsingfors</w:t>
      </w:r>
      <w:r w:rsidR="00294411" w:rsidRPr="00A17B6E">
        <w:rPr>
          <w:spacing w:val="-3"/>
          <w:lang w:val="sv-SE"/>
        </w:rPr>
        <w:t xml:space="preserve">, i statsrådet den </w:t>
      </w:r>
      <w:r w:rsidR="009E22BF">
        <w:rPr>
          <w:spacing w:val="-3"/>
          <w:lang w:val="sv-SE"/>
        </w:rPr>
        <w:t>2 mars</w:t>
      </w:r>
      <w:r w:rsidR="00294411">
        <w:rPr>
          <w:spacing w:val="-3"/>
          <w:lang w:val="sv-SE"/>
        </w:rPr>
        <w:t xml:space="preserve"> </w:t>
      </w:r>
      <w:r w:rsidR="00294411" w:rsidRPr="00A17B6E">
        <w:rPr>
          <w:spacing w:val="-3"/>
          <w:lang w:val="sv-SE"/>
        </w:rPr>
        <w:t>20</w:t>
      </w:r>
      <w:r w:rsidR="00294411">
        <w:rPr>
          <w:spacing w:val="-3"/>
          <w:lang w:val="sv-SE"/>
        </w:rPr>
        <w:t>1</w:t>
      </w:r>
      <w:r w:rsidR="009E22BF">
        <w:rPr>
          <w:spacing w:val="-3"/>
          <w:lang w:val="sv-SE"/>
        </w:rPr>
        <w:t>8</w:t>
      </w:r>
    </w:p>
    <w:p w:rsidR="00294411" w:rsidRPr="00A17B6E" w:rsidRDefault="00294411" w:rsidP="00294411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294411" w:rsidRPr="00A17B6E" w:rsidRDefault="00294411" w:rsidP="00294411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294411" w:rsidRPr="00A17B6E" w:rsidRDefault="00294411" w:rsidP="00294411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294411" w:rsidRPr="00A17B6E" w:rsidRDefault="00294411" w:rsidP="00294411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294411" w:rsidRPr="00A17B6E" w:rsidRDefault="00294411" w:rsidP="00294411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294411" w:rsidRPr="00A17B6E" w:rsidRDefault="00294411" w:rsidP="00294411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294411" w:rsidRPr="00A17B6E" w:rsidRDefault="00294411" w:rsidP="00294411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C3138D">
        <w:rPr>
          <w:spacing w:val="-3"/>
          <w:lang w:val="sv-SE"/>
        </w:rPr>
        <w:t>SAULI NIINISTÖ</w:t>
      </w: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  <w:t>Kommunikationsminister Anne Berner</w:t>
      </w:r>
    </w:p>
    <w:p w:rsidR="00294411" w:rsidRPr="00C3138D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294411" w:rsidRDefault="00294411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E56D8" w:rsidRDefault="000E56D8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E56D8" w:rsidRDefault="000E56D8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E56D8" w:rsidRDefault="000E56D8" w:rsidP="00294411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5C04DF" w:rsidRDefault="009E22B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 xml:space="preserve">JM </w:t>
      </w:r>
      <w:proofErr w:type="gramStart"/>
      <w:r>
        <w:rPr>
          <w:spacing w:val="-3"/>
          <w:sz w:val="16"/>
          <w:szCs w:val="16"/>
          <w:lang w:val="sv-SE"/>
        </w:rPr>
        <w:t>2018</w:t>
      </w:r>
      <w:r w:rsidR="00294411" w:rsidRPr="001F4BB5">
        <w:rPr>
          <w:spacing w:val="-3"/>
          <w:sz w:val="16"/>
          <w:szCs w:val="16"/>
          <w:lang w:val="sv-SE"/>
        </w:rPr>
        <w:t xml:space="preserve">  08</w:t>
      </w:r>
      <w:proofErr w:type="gramEnd"/>
      <w:r w:rsidR="00294411" w:rsidRPr="001F4BB5">
        <w:rPr>
          <w:spacing w:val="-3"/>
          <w:sz w:val="16"/>
          <w:szCs w:val="16"/>
          <w:lang w:val="sv-SE"/>
        </w:rPr>
        <w:t xml:space="preserve">  </w:t>
      </w:r>
      <w:r>
        <w:rPr>
          <w:spacing w:val="-3"/>
          <w:sz w:val="16"/>
          <w:szCs w:val="16"/>
          <w:lang w:val="sv-SE"/>
        </w:rPr>
        <w:t>4</w:t>
      </w:r>
    </w:p>
    <w:sectPr w:rsidR="00C70D0A" w:rsidRPr="005C04DF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1F" w:rsidRDefault="00BC071F">
      <w:r>
        <w:separator/>
      </w:r>
    </w:p>
  </w:endnote>
  <w:endnote w:type="continuationSeparator" w:id="0">
    <w:p w:rsidR="00BC071F" w:rsidRDefault="00B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1F" w:rsidRDefault="00BC071F">
      <w:r>
        <w:separator/>
      </w:r>
    </w:p>
  </w:footnote>
  <w:footnote w:type="continuationSeparator" w:id="0">
    <w:p w:rsidR="00BC071F" w:rsidRDefault="00BC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176DA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39BE"/>
    <w:rsid w:val="000A7921"/>
    <w:rsid w:val="000B4B66"/>
    <w:rsid w:val="000C0B63"/>
    <w:rsid w:val="000C7BCD"/>
    <w:rsid w:val="000D4AB9"/>
    <w:rsid w:val="000D4E60"/>
    <w:rsid w:val="000E56D8"/>
    <w:rsid w:val="000E78D9"/>
    <w:rsid w:val="000E7DE5"/>
    <w:rsid w:val="000F1DC7"/>
    <w:rsid w:val="000F2CFF"/>
    <w:rsid w:val="000F423F"/>
    <w:rsid w:val="000F4EEF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395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4BB5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232E"/>
    <w:rsid w:val="0029342B"/>
    <w:rsid w:val="00294411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D756C"/>
    <w:rsid w:val="002E12F8"/>
    <w:rsid w:val="002F0EBF"/>
    <w:rsid w:val="00323411"/>
    <w:rsid w:val="00332BF9"/>
    <w:rsid w:val="00335DA6"/>
    <w:rsid w:val="00340302"/>
    <w:rsid w:val="00355981"/>
    <w:rsid w:val="003645F5"/>
    <w:rsid w:val="00364F72"/>
    <w:rsid w:val="0036532D"/>
    <w:rsid w:val="00371D30"/>
    <w:rsid w:val="00376C0A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3F5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7E6E"/>
    <w:rsid w:val="005059B8"/>
    <w:rsid w:val="00507A09"/>
    <w:rsid w:val="00514EA8"/>
    <w:rsid w:val="005161E4"/>
    <w:rsid w:val="005307A2"/>
    <w:rsid w:val="005520A3"/>
    <w:rsid w:val="00556822"/>
    <w:rsid w:val="00563FFC"/>
    <w:rsid w:val="005658A6"/>
    <w:rsid w:val="00570BD9"/>
    <w:rsid w:val="005918EC"/>
    <w:rsid w:val="005A1A4A"/>
    <w:rsid w:val="005B0642"/>
    <w:rsid w:val="005B20CE"/>
    <w:rsid w:val="005B47AF"/>
    <w:rsid w:val="005B4E54"/>
    <w:rsid w:val="005B69AD"/>
    <w:rsid w:val="005C04DF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4058"/>
    <w:rsid w:val="007C5E75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438DB"/>
    <w:rsid w:val="008503EC"/>
    <w:rsid w:val="0085192A"/>
    <w:rsid w:val="00856867"/>
    <w:rsid w:val="00856C93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4506D"/>
    <w:rsid w:val="00945714"/>
    <w:rsid w:val="00954BDF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B760C"/>
    <w:rsid w:val="009C322F"/>
    <w:rsid w:val="009C57DD"/>
    <w:rsid w:val="009E1AEF"/>
    <w:rsid w:val="009E22BF"/>
    <w:rsid w:val="009E7F0A"/>
    <w:rsid w:val="009F29D0"/>
    <w:rsid w:val="00A01C49"/>
    <w:rsid w:val="00A037AD"/>
    <w:rsid w:val="00A04A6D"/>
    <w:rsid w:val="00A05B59"/>
    <w:rsid w:val="00A06971"/>
    <w:rsid w:val="00A11EF2"/>
    <w:rsid w:val="00A1292D"/>
    <w:rsid w:val="00A16883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0B77"/>
    <w:rsid w:val="00B42190"/>
    <w:rsid w:val="00B4448B"/>
    <w:rsid w:val="00B532D0"/>
    <w:rsid w:val="00B53F9B"/>
    <w:rsid w:val="00B56732"/>
    <w:rsid w:val="00B56A43"/>
    <w:rsid w:val="00B57045"/>
    <w:rsid w:val="00B62088"/>
    <w:rsid w:val="00B6239E"/>
    <w:rsid w:val="00B63788"/>
    <w:rsid w:val="00B64B9A"/>
    <w:rsid w:val="00B743EA"/>
    <w:rsid w:val="00B813C6"/>
    <w:rsid w:val="00B834B7"/>
    <w:rsid w:val="00B83B57"/>
    <w:rsid w:val="00B87C26"/>
    <w:rsid w:val="00B87ECA"/>
    <w:rsid w:val="00B91D51"/>
    <w:rsid w:val="00BA00E6"/>
    <w:rsid w:val="00BA2531"/>
    <w:rsid w:val="00BB268A"/>
    <w:rsid w:val="00BB3C36"/>
    <w:rsid w:val="00BB7166"/>
    <w:rsid w:val="00BC071F"/>
    <w:rsid w:val="00BC0A75"/>
    <w:rsid w:val="00BC0E84"/>
    <w:rsid w:val="00BC22ED"/>
    <w:rsid w:val="00BC3110"/>
    <w:rsid w:val="00BC528D"/>
    <w:rsid w:val="00BC7688"/>
    <w:rsid w:val="00BD2400"/>
    <w:rsid w:val="00BD3081"/>
    <w:rsid w:val="00BD34E0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564D"/>
    <w:rsid w:val="00C260F7"/>
    <w:rsid w:val="00C306CF"/>
    <w:rsid w:val="00C3138D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17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21C23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09E1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DF5EBD"/>
    <w:rsid w:val="00E1101C"/>
    <w:rsid w:val="00E13FBE"/>
    <w:rsid w:val="00E222FC"/>
    <w:rsid w:val="00E56964"/>
    <w:rsid w:val="00E6349C"/>
    <w:rsid w:val="00E67A57"/>
    <w:rsid w:val="00E82374"/>
    <w:rsid w:val="00E91913"/>
    <w:rsid w:val="00E93B96"/>
    <w:rsid w:val="00E94B40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1985"/>
    <w:rsid w:val="00ED2694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233F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2C61"/>
    <w:rsid w:val="00FA594A"/>
    <w:rsid w:val="00FB0734"/>
    <w:rsid w:val="00FB67B9"/>
    <w:rsid w:val="00FC7152"/>
    <w:rsid w:val="00FD4C89"/>
    <w:rsid w:val="00FE1787"/>
    <w:rsid w:val="00FE1EC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40E2-7BFF-498B-9AB7-8A6C115B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2018-03-13T08:34:00Z</cp:lastPrinted>
  <dcterms:created xsi:type="dcterms:W3CDTF">2018-03-13T08:44:00Z</dcterms:created>
  <dcterms:modified xsi:type="dcterms:W3CDTF">2018-03-13T08:44:00Z</dcterms:modified>
</cp:coreProperties>
</file>