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43" w:rsidRDefault="00620F43" w:rsidP="00620F43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2017-2018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 xml:space="preserve"> Nr. 2</w:t>
      </w:r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</w:t>
      </w:r>
      <w:r w:rsidR="00A0544B">
        <w:rPr>
          <w:lang w:val="de-DE"/>
        </w:rPr>
        <w:t xml:space="preserve"> </w:t>
      </w:r>
      <w:r w:rsidR="002B16C4" w:rsidRPr="00A17B6E">
        <w:rPr>
          <w:lang w:val="de-DE"/>
        </w:rPr>
        <w:t>p r e s i d e n t s</w:t>
      </w:r>
    </w:p>
    <w:p w:rsidR="00A0544B" w:rsidRDefault="00A11EF2" w:rsidP="00620F43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94589F" w:rsidRPr="0094589F">
        <w:rPr>
          <w:lang w:val="sv-SE"/>
        </w:rPr>
        <w:t>lagen om sättande i kraft av de bestämmelser som hör till området för la</w:t>
      </w:r>
      <w:r w:rsidR="0094589F" w:rsidRPr="0094589F">
        <w:rPr>
          <w:lang w:val="sv-SE"/>
        </w:rPr>
        <w:t>g</w:t>
      </w:r>
      <w:r w:rsidR="0094589F" w:rsidRPr="0094589F">
        <w:rPr>
          <w:lang w:val="sv-SE"/>
        </w:rPr>
        <w:t>stiftningen i avtalet om partnerskap och samarbete me</w:t>
      </w:r>
      <w:r w:rsidR="0094589F" w:rsidRPr="0094589F">
        <w:rPr>
          <w:lang w:val="sv-SE"/>
        </w:rPr>
        <w:t>l</w:t>
      </w:r>
      <w:r w:rsidR="0094589F" w:rsidRPr="0094589F">
        <w:rPr>
          <w:lang w:val="sv-SE"/>
        </w:rPr>
        <w:t xml:space="preserve">lan Europeiska unionen och dess medlemsstater, å ena sidan, och Republiken Irak, å andra sidan </w:t>
      </w:r>
      <w:bookmarkStart w:id="0" w:name="_GoBack"/>
      <w:bookmarkEnd w:id="0"/>
    </w:p>
    <w:p w:rsidR="00A0544B" w:rsidRDefault="00A0544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0F423F" w:rsidRPr="000F423F" w:rsidRDefault="000F423F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</w:t>
      </w:r>
      <w:r w:rsidR="00483F52">
        <w:rPr>
          <w:spacing w:val="-3"/>
          <w:lang w:val="sv-SE"/>
        </w:rPr>
        <w:t xml:space="preserve"> Åland</w:t>
      </w:r>
      <w:r w:rsidR="00A11EF2" w:rsidRPr="00A17B6E">
        <w:rPr>
          <w:spacing w:val="-3"/>
          <w:lang w:val="sv-SE"/>
        </w:rPr>
        <w:t>s behörighet, träder bestämmelsen i kraft i landskapet endast om lagtinget ger sitt bifall till den författning genom vilken bestämme</w:t>
      </w:r>
      <w:r w:rsidR="00A11EF2" w:rsidRPr="00A17B6E">
        <w:rPr>
          <w:spacing w:val="-3"/>
          <w:lang w:val="sv-SE"/>
        </w:rPr>
        <w:t>l</w:t>
      </w:r>
      <w:r w:rsidR="00A11EF2" w:rsidRPr="00A17B6E">
        <w:rPr>
          <w:spacing w:val="-3"/>
          <w:lang w:val="sv-SE"/>
        </w:rPr>
        <w:t>sen sätts i kraft.</w:t>
      </w:r>
    </w:p>
    <w:p w:rsidR="00A0544B" w:rsidRPr="00A0544B" w:rsidRDefault="000F423F" w:rsidP="00A0544B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0544B" w:rsidRPr="00A0544B">
        <w:rPr>
          <w:spacing w:val="-3"/>
          <w:lang w:val="sv-SE"/>
        </w:rPr>
        <w:t>Europeiska unionen (EU) och Republiken</w:t>
      </w:r>
      <w:r w:rsidR="00A0544B">
        <w:rPr>
          <w:spacing w:val="-3"/>
          <w:lang w:val="sv-SE"/>
        </w:rPr>
        <w:t xml:space="preserve"> </w:t>
      </w:r>
      <w:r w:rsidR="00A0544B" w:rsidRPr="00A0544B">
        <w:rPr>
          <w:spacing w:val="-3"/>
          <w:lang w:val="sv-SE"/>
        </w:rPr>
        <w:t>Irak inledde förhandlingar om ett handels</w:t>
      </w:r>
      <w:r w:rsidR="00A0544B">
        <w:rPr>
          <w:spacing w:val="-3"/>
          <w:lang w:val="sv-SE"/>
        </w:rPr>
        <w:t xml:space="preserve">- </w:t>
      </w:r>
      <w:r w:rsidR="00A0544B" w:rsidRPr="00A0544B">
        <w:rPr>
          <w:spacing w:val="-3"/>
          <w:lang w:val="sv-SE"/>
        </w:rPr>
        <w:t>och</w:t>
      </w:r>
    </w:p>
    <w:p w:rsidR="00A01C49" w:rsidRDefault="00A0544B" w:rsidP="00A0544B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0544B">
        <w:rPr>
          <w:spacing w:val="-3"/>
          <w:lang w:val="sv-SE"/>
        </w:rPr>
        <w:t>samarbetsavtal 2006. Förhandlingarna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resulterade i ett avtal om partnerskap och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samarbete me</w:t>
      </w:r>
      <w:r w:rsidRPr="00A0544B">
        <w:rPr>
          <w:spacing w:val="-3"/>
          <w:lang w:val="sv-SE"/>
        </w:rPr>
        <w:t>l</w:t>
      </w:r>
      <w:r w:rsidRPr="00A0544B">
        <w:rPr>
          <w:spacing w:val="-3"/>
          <w:lang w:val="sv-SE"/>
        </w:rPr>
        <w:t>lan EU och Irak (Partnership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 xml:space="preserve">and </w:t>
      </w:r>
      <w:proofErr w:type="spellStart"/>
      <w:r w:rsidRPr="00A0544B">
        <w:rPr>
          <w:spacing w:val="-3"/>
          <w:lang w:val="sv-SE"/>
        </w:rPr>
        <w:t>Cooperation</w:t>
      </w:r>
      <w:proofErr w:type="spellEnd"/>
      <w:r w:rsidRPr="00A0544B">
        <w:rPr>
          <w:spacing w:val="-3"/>
          <w:lang w:val="sv-SE"/>
        </w:rPr>
        <w:t xml:space="preserve"> </w:t>
      </w:r>
      <w:proofErr w:type="spellStart"/>
      <w:r w:rsidRPr="00A0544B">
        <w:rPr>
          <w:spacing w:val="-3"/>
          <w:lang w:val="sv-SE"/>
        </w:rPr>
        <w:t>Agreement</w:t>
      </w:r>
      <w:proofErr w:type="spellEnd"/>
      <w:r w:rsidRPr="00A0544B">
        <w:rPr>
          <w:spacing w:val="-3"/>
          <w:lang w:val="sv-SE"/>
        </w:rPr>
        <w:t>, PCA) som undertecknades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i Bryssel den 11 maj 2012.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Avtalet mellan EU och Irak är till sin karaktär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ett så kallat blandat avtal med både EU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och medlemsstaterna som parter. Avtalet syftar till att fungera som allmän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ram för ett omfattande samarbete mellan EU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och Irak samt till att stödja en fredlig intern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>utveckling i Irak och landets integration i det</w:t>
      </w:r>
      <w:r>
        <w:rPr>
          <w:spacing w:val="-3"/>
          <w:lang w:val="sv-SE"/>
        </w:rPr>
        <w:t xml:space="preserve"> </w:t>
      </w:r>
      <w:r w:rsidRPr="00A0544B">
        <w:rPr>
          <w:spacing w:val="-3"/>
          <w:lang w:val="sv-SE"/>
        </w:rPr>
        <w:t xml:space="preserve">internationella samfundet. </w:t>
      </w:r>
      <w:r w:rsidR="00685AA2">
        <w:rPr>
          <w:spacing w:val="-3"/>
          <w:lang w:val="sv-SE"/>
        </w:rPr>
        <w:t>På grund av ett förbiseende inhämtas la</w:t>
      </w:r>
      <w:r w:rsidR="00685AA2">
        <w:rPr>
          <w:spacing w:val="-3"/>
          <w:lang w:val="sv-SE"/>
        </w:rPr>
        <w:t>g</w:t>
      </w:r>
      <w:r w:rsidR="00685AA2">
        <w:rPr>
          <w:spacing w:val="-3"/>
          <w:lang w:val="sv-SE"/>
        </w:rPr>
        <w:t>tingets bifall först nu till ikraftträdelselagen för avtalet (</w:t>
      </w:r>
      <w:r w:rsidR="00984A0A">
        <w:rPr>
          <w:spacing w:val="-3"/>
          <w:lang w:val="sv-SE"/>
        </w:rPr>
        <w:t>508</w:t>
      </w:r>
      <w:r w:rsidR="00E20925">
        <w:rPr>
          <w:spacing w:val="-3"/>
          <w:lang w:val="sv-SE"/>
        </w:rPr>
        <w:t>/2014</w:t>
      </w:r>
      <w:r w:rsidR="00685AA2">
        <w:rPr>
          <w:spacing w:val="-3"/>
          <w:lang w:val="sv-SE"/>
        </w:rPr>
        <w:t>)</w:t>
      </w:r>
      <w:r w:rsidR="00685AA2" w:rsidRPr="00A0544B">
        <w:rPr>
          <w:spacing w:val="-3"/>
          <w:lang w:val="sv-SE"/>
        </w:rPr>
        <w:t>.</w:t>
      </w:r>
    </w:p>
    <w:p w:rsidR="00A0544B" w:rsidRPr="00A0544B" w:rsidRDefault="00A0544B" w:rsidP="00A0544B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FI"/>
        </w:rPr>
        <w:tab/>
      </w:r>
      <w:r w:rsidRPr="00A0544B">
        <w:rPr>
          <w:spacing w:val="-3"/>
          <w:lang w:val="sv-FI"/>
        </w:rPr>
        <w:t>I avtalets handelspolitiska avsnitt ingår det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bestämmelser som anknyter till protokoll 2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om Åland i bilagan till fördraget om Finlands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anslutning till Europeiska unionen (</w:t>
      </w:r>
      <w:proofErr w:type="spellStart"/>
      <w:r w:rsidRPr="00A0544B">
        <w:rPr>
          <w:spacing w:val="-3"/>
          <w:lang w:val="sv-FI"/>
        </w:rPr>
        <w:t>FördrS</w:t>
      </w:r>
      <w:proofErr w:type="spellEnd"/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103/1994). Bestämmelserna i fråga hör dock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huvudsakligen till EU:s exklusiva behörighet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och därigenom har den åländska särställningen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beaktats redan i förhandlingarna om avtalsbestä</w:t>
      </w:r>
      <w:r w:rsidRPr="00A0544B">
        <w:rPr>
          <w:spacing w:val="-3"/>
          <w:lang w:val="sv-FI"/>
        </w:rPr>
        <w:t>m</w:t>
      </w:r>
      <w:r w:rsidRPr="00A0544B">
        <w:rPr>
          <w:spacing w:val="-3"/>
          <w:lang w:val="sv-FI"/>
        </w:rPr>
        <w:t>melserna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i fråga. För Ålands del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har en restriktion gällande kommersiell närvaro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och fysiska pe</w:t>
      </w:r>
      <w:r w:rsidRPr="00A0544B">
        <w:rPr>
          <w:spacing w:val="-3"/>
          <w:lang w:val="sv-FI"/>
        </w:rPr>
        <w:t>r</w:t>
      </w:r>
      <w:r w:rsidRPr="00A0544B">
        <w:rPr>
          <w:spacing w:val="-3"/>
          <w:lang w:val="sv-FI"/>
        </w:rPr>
        <w:t>soners närvaro inkluderats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i bestämmelserna om offentlig upphandling.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Denna restriktion syftar till att trygga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Ålands särställning med avseende på förvärv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av fast egendom och på etablering</w:t>
      </w:r>
      <w:r w:rsidRPr="00A0544B">
        <w:rPr>
          <w:spacing w:val="-3"/>
          <w:lang w:val="sv-FI"/>
        </w:rPr>
        <w:t>s</w:t>
      </w:r>
      <w:r w:rsidRPr="00A0544B">
        <w:rPr>
          <w:spacing w:val="-3"/>
          <w:lang w:val="sv-FI"/>
        </w:rPr>
        <w:t>rätten. Likaså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ingår det i de åtaganden om EU:s tjänster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och etableringar enligt Gatsavtalet som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genom avtalet utvidgas till att också gälla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Irak ett undantag som rör Ålands rätt utifrån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he</w:t>
      </w:r>
      <w:r w:rsidRPr="00A0544B">
        <w:rPr>
          <w:spacing w:val="-3"/>
          <w:lang w:val="sv-FI"/>
        </w:rPr>
        <w:t>m</w:t>
      </w:r>
      <w:r w:rsidRPr="00A0544B">
        <w:rPr>
          <w:spacing w:val="-3"/>
          <w:lang w:val="sv-FI"/>
        </w:rPr>
        <w:t>bygdsrätten att begränsa tillhandahållandet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av tjänster inom sitt territorium.</w:t>
      </w:r>
    </w:p>
    <w:p w:rsidR="00A0544B" w:rsidRDefault="00A0544B" w:rsidP="00A0544B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FI"/>
        </w:rPr>
        <w:tab/>
      </w:r>
      <w:r w:rsidRPr="00A0544B">
        <w:rPr>
          <w:spacing w:val="-3"/>
          <w:lang w:val="sv-FI"/>
        </w:rPr>
        <w:t>Ytterligare ingår det bestämmelser i andra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avsnitt än det handelspolitiska om vissa sa</w:t>
      </w:r>
      <w:r w:rsidRPr="00A0544B">
        <w:rPr>
          <w:spacing w:val="-3"/>
          <w:lang w:val="sv-FI"/>
        </w:rPr>
        <w:t>m</w:t>
      </w:r>
      <w:r w:rsidRPr="00A0544B">
        <w:rPr>
          <w:spacing w:val="-3"/>
          <w:lang w:val="sv-FI"/>
        </w:rPr>
        <w:t>arbetssektorer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som rör områden som enligt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 xml:space="preserve">18 § i självstyrelselagen hör till </w:t>
      </w:r>
      <w:r w:rsidR="00685AA2">
        <w:rPr>
          <w:spacing w:val="-3"/>
          <w:lang w:val="sv-FI"/>
        </w:rPr>
        <w:t xml:space="preserve">landskapet </w:t>
      </w:r>
      <w:r w:rsidRPr="00A0544B">
        <w:rPr>
          <w:spacing w:val="-3"/>
          <w:lang w:val="sv-FI"/>
        </w:rPr>
        <w:t xml:space="preserve">Ålands </w:t>
      </w:r>
      <w:r w:rsidRPr="00A0544B">
        <w:rPr>
          <w:spacing w:val="-3"/>
          <w:lang w:val="sv-FI"/>
        </w:rPr>
        <w:lastRenderedPageBreak/>
        <w:t>behörighet. Bestämmelser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 xml:space="preserve">som rör områden inom </w:t>
      </w:r>
      <w:r w:rsidR="00685AA2">
        <w:rPr>
          <w:spacing w:val="-3"/>
          <w:lang w:val="sv-FI"/>
        </w:rPr>
        <w:t xml:space="preserve">landskapets </w:t>
      </w:r>
      <w:r w:rsidRPr="00A0544B">
        <w:rPr>
          <w:spacing w:val="-3"/>
          <w:lang w:val="sv-FI"/>
        </w:rPr>
        <w:t>behörighet ingår åtminstone i art</w:t>
      </w:r>
      <w:r w:rsidRPr="00A0544B">
        <w:rPr>
          <w:spacing w:val="-3"/>
          <w:lang w:val="sv-FI"/>
        </w:rPr>
        <w:t>i</w:t>
      </w:r>
      <w:r w:rsidRPr="00A0544B">
        <w:rPr>
          <w:spacing w:val="-3"/>
          <w:lang w:val="sv-FI"/>
        </w:rPr>
        <w:t>kel 83 om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utbildning och ungdomsfrågor, artikel 84 om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sysselsättning och social utveckling, a</w:t>
      </w:r>
      <w:r w:rsidRPr="00A0544B">
        <w:rPr>
          <w:spacing w:val="-3"/>
          <w:lang w:val="sv-FI"/>
        </w:rPr>
        <w:t>r</w:t>
      </w:r>
      <w:r w:rsidRPr="00A0544B">
        <w:rPr>
          <w:spacing w:val="-3"/>
          <w:lang w:val="sv-FI"/>
        </w:rPr>
        <w:t>tikel 92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om transporter, artikel 93 om miljö samt artikel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109 om kulturellt samarbete. Vidare kan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det anses ingå bestämmelser som hör till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medlemsstaternas behörighet i bestämmelserna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som gäller handel med tjänster och etableringar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(avdelning II) bland annat med avseende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på trafik. Samtycke av Ålands lagting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krävs följaktligen för att avtalet ska träda i</w:t>
      </w:r>
      <w:r>
        <w:rPr>
          <w:spacing w:val="-3"/>
          <w:lang w:val="sv-FI"/>
        </w:rPr>
        <w:t xml:space="preserve"> </w:t>
      </w:r>
      <w:r w:rsidRPr="00A0544B">
        <w:rPr>
          <w:spacing w:val="-3"/>
          <w:lang w:val="sv-FI"/>
        </w:rPr>
        <w:t>kraft på Åland.</w:t>
      </w:r>
    </w:p>
    <w:p w:rsidR="00A11EF2" w:rsidRPr="00A17B6E" w:rsidRDefault="00C260F7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A0544B">
        <w:rPr>
          <w:bCs/>
          <w:color w:val="000000"/>
          <w:lang w:val="sv-SE"/>
        </w:rPr>
        <w:t>215</w:t>
      </w:r>
      <w:r w:rsidR="00AD43BB" w:rsidRPr="00A17B6E">
        <w:rPr>
          <w:bCs/>
          <w:color w:val="000000"/>
          <w:lang w:val="sv-SE"/>
        </w:rPr>
        <w:t>/20</w:t>
      </w:r>
      <w:r w:rsidR="00155582">
        <w:rPr>
          <w:bCs/>
          <w:color w:val="000000"/>
          <w:lang w:val="sv-SE"/>
        </w:rPr>
        <w:t>1</w:t>
      </w:r>
      <w:r w:rsidR="00A0544B">
        <w:rPr>
          <w:bCs/>
          <w:color w:val="000000"/>
          <w:lang w:val="sv-SE"/>
        </w:rPr>
        <w:t>3</w:t>
      </w:r>
      <w:r w:rsidR="00155582">
        <w:rPr>
          <w:bCs/>
          <w:color w:val="000000"/>
          <w:lang w:val="sv-SE"/>
        </w:rPr>
        <w:t xml:space="preserve">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483F52">
        <w:t xml:space="preserve">på </w:t>
      </w:r>
      <w:r w:rsidR="00882B81">
        <w:t xml:space="preserve">Åland till de delar </w:t>
      </w:r>
      <w:r w:rsidR="00A0544B">
        <w:t>avtalet</w:t>
      </w:r>
      <w:r w:rsidR="00483F52">
        <w:t xml:space="preserve"> </w:t>
      </w:r>
      <w:r w:rsidR="00A0544B" w:rsidRPr="00A0544B">
        <w:t xml:space="preserve">om partnerskap och samarbete mellan EU och Irak </w:t>
      </w:r>
      <w:r w:rsidR="00882B81">
        <w:t>faller inom landskapets b</w:t>
      </w:r>
      <w:r w:rsidR="00882B81">
        <w:t>e</w:t>
      </w:r>
      <w:r w:rsidR="00882B81">
        <w:t>hörighet.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F4233F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A0544B">
        <w:rPr>
          <w:spacing w:val="-3"/>
          <w:lang w:val="sv-SE"/>
        </w:rPr>
        <w:t>12</w:t>
      </w:r>
      <w:r w:rsidR="00483F52">
        <w:rPr>
          <w:spacing w:val="-3"/>
          <w:lang w:val="sv-SE"/>
        </w:rPr>
        <w:t xml:space="preserve"> </w:t>
      </w:r>
      <w:r w:rsidR="00A0544B">
        <w:rPr>
          <w:spacing w:val="-3"/>
          <w:lang w:val="sv-SE"/>
        </w:rPr>
        <w:t>januari</w:t>
      </w:r>
      <w:r w:rsidR="00483F52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A0544B">
        <w:rPr>
          <w:spacing w:val="-3"/>
          <w:lang w:val="sv-SE"/>
        </w:rPr>
        <w:t>1</w:t>
      </w:r>
      <w:r w:rsidR="00183D82">
        <w:rPr>
          <w:spacing w:val="-3"/>
          <w:lang w:val="sv-SE"/>
        </w:rPr>
        <w:t>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C3138D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C3138D">
        <w:rPr>
          <w:spacing w:val="-3"/>
          <w:lang w:val="sv-SE"/>
        </w:rPr>
        <w:t>SAULI NIINISTÖ</w:t>
      </w:r>
    </w:p>
    <w:p w:rsidR="00EF104B" w:rsidRPr="00C3138D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C3138D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C3138D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C3138D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C3138D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F6277" w:rsidRPr="00C3138D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="00483F52" w:rsidRPr="00C3138D">
        <w:rPr>
          <w:spacing w:val="-3"/>
          <w:lang w:val="sv-SE"/>
        </w:rPr>
        <w:t>Kommunikationsminister Anne Berner</w:t>
      </w:r>
    </w:p>
    <w:p w:rsidR="002A4685" w:rsidRPr="00C3138D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60B1A" w:rsidRDefault="00C60B1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Pr="005C04DF" w:rsidRDefault="00776EEE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5C04DF">
        <w:rPr>
          <w:spacing w:val="-3"/>
          <w:sz w:val="16"/>
          <w:szCs w:val="16"/>
          <w:lang w:val="sv-SE"/>
        </w:rPr>
        <w:t xml:space="preserve">JM </w:t>
      </w:r>
      <w:proofErr w:type="gramStart"/>
      <w:r w:rsidRPr="005C04DF">
        <w:rPr>
          <w:spacing w:val="-3"/>
          <w:sz w:val="16"/>
          <w:szCs w:val="16"/>
          <w:lang w:val="sv-SE"/>
        </w:rPr>
        <w:t>20</w:t>
      </w:r>
      <w:r w:rsidR="00C36EED" w:rsidRPr="005C04DF">
        <w:rPr>
          <w:spacing w:val="-3"/>
          <w:sz w:val="16"/>
          <w:szCs w:val="16"/>
          <w:lang w:val="sv-SE"/>
        </w:rPr>
        <w:t>1</w:t>
      </w:r>
      <w:r w:rsidR="00A0544B">
        <w:rPr>
          <w:spacing w:val="-3"/>
          <w:sz w:val="16"/>
          <w:szCs w:val="16"/>
          <w:lang w:val="sv-SE"/>
        </w:rPr>
        <w:t>8</w:t>
      </w:r>
      <w:r w:rsidRPr="005C04DF">
        <w:rPr>
          <w:spacing w:val="-3"/>
          <w:sz w:val="16"/>
          <w:szCs w:val="16"/>
          <w:lang w:val="sv-SE"/>
        </w:rPr>
        <w:t xml:space="preserve"> </w:t>
      </w:r>
      <w:r w:rsidR="00936303">
        <w:rPr>
          <w:spacing w:val="-3"/>
          <w:sz w:val="16"/>
          <w:szCs w:val="16"/>
          <w:lang w:val="sv-SE"/>
        </w:rPr>
        <w:t xml:space="preserve"> </w:t>
      </w:r>
      <w:r w:rsidR="002B16C4" w:rsidRPr="005C04DF">
        <w:rPr>
          <w:spacing w:val="-3"/>
          <w:sz w:val="16"/>
          <w:szCs w:val="16"/>
          <w:lang w:val="sv-SE"/>
        </w:rPr>
        <w:t>08</w:t>
      </w:r>
      <w:proofErr w:type="gramEnd"/>
      <w:r w:rsidR="00936303">
        <w:rPr>
          <w:spacing w:val="-3"/>
          <w:sz w:val="16"/>
          <w:szCs w:val="16"/>
          <w:lang w:val="sv-SE"/>
        </w:rPr>
        <w:t xml:space="preserve"> </w:t>
      </w:r>
      <w:r w:rsidR="0021587D" w:rsidRPr="005C04DF">
        <w:rPr>
          <w:spacing w:val="-3"/>
          <w:sz w:val="16"/>
          <w:szCs w:val="16"/>
          <w:lang w:val="sv-SE"/>
        </w:rPr>
        <w:t xml:space="preserve"> </w:t>
      </w:r>
      <w:r w:rsidR="00936303">
        <w:rPr>
          <w:spacing w:val="-3"/>
          <w:sz w:val="16"/>
          <w:szCs w:val="16"/>
          <w:lang w:val="sv-SE"/>
        </w:rPr>
        <w:t>1</w:t>
      </w:r>
    </w:p>
    <w:sectPr w:rsidR="00C70D0A" w:rsidRPr="005C04DF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19" w:rsidRDefault="00F45219">
      <w:r>
        <w:separator/>
      </w:r>
    </w:p>
  </w:endnote>
  <w:endnote w:type="continuationSeparator" w:id="0">
    <w:p w:rsidR="00F45219" w:rsidRDefault="00F4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19" w:rsidRDefault="00F45219">
      <w:r>
        <w:separator/>
      </w:r>
    </w:p>
  </w:footnote>
  <w:footnote w:type="continuationSeparator" w:id="0">
    <w:p w:rsidR="00F45219" w:rsidRDefault="00F45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F81"/>
    <w:rsid w:val="00003CFC"/>
    <w:rsid w:val="00003FE1"/>
    <w:rsid w:val="00011AD3"/>
    <w:rsid w:val="000138B0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A1750"/>
    <w:rsid w:val="000A18F8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100329"/>
    <w:rsid w:val="001034C8"/>
    <w:rsid w:val="00106F0C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83D82"/>
    <w:rsid w:val="00193E3B"/>
    <w:rsid w:val="001A3747"/>
    <w:rsid w:val="001C0C5E"/>
    <w:rsid w:val="001E58CF"/>
    <w:rsid w:val="001E6661"/>
    <w:rsid w:val="001F16AC"/>
    <w:rsid w:val="001F4BB5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342B"/>
    <w:rsid w:val="00294411"/>
    <w:rsid w:val="002979B9"/>
    <w:rsid w:val="002A4685"/>
    <w:rsid w:val="002A4776"/>
    <w:rsid w:val="002A4878"/>
    <w:rsid w:val="002B16C4"/>
    <w:rsid w:val="002B24AA"/>
    <w:rsid w:val="002B648E"/>
    <w:rsid w:val="002B6F92"/>
    <w:rsid w:val="002B74EE"/>
    <w:rsid w:val="002C2D2E"/>
    <w:rsid w:val="002C7648"/>
    <w:rsid w:val="002D475B"/>
    <w:rsid w:val="002D6830"/>
    <w:rsid w:val="002D756C"/>
    <w:rsid w:val="002E12F8"/>
    <w:rsid w:val="002F0EBF"/>
    <w:rsid w:val="00323411"/>
    <w:rsid w:val="003277A1"/>
    <w:rsid w:val="00332BF9"/>
    <w:rsid w:val="00335DA6"/>
    <w:rsid w:val="00355981"/>
    <w:rsid w:val="003645F5"/>
    <w:rsid w:val="00364F72"/>
    <w:rsid w:val="0036532D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3F5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7E6E"/>
    <w:rsid w:val="005059B8"/>
    <w:rsid w:val="00507A09"/>
    <w:rsid w:val="00514EA8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04DF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0F43"/>
    <w:rsid w:val="00622FA1"/>
    <w:rsid w:val="00624320"/>
    <w:rsid w:val="00637022"/>
    <w:rsid w:val="00637A55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85AA2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3929"/>
    <w:rsid w:val="00716139"/>
    <w:rsid w:val="0072520C"/>
    <w:rsid w:val="00751D53"/>
    <w:rsid w:val="00756A81"/>
    <w:rsid w:val="0076141A"/>
    <w:rsid w:val="00761EFD"/>
    <w:rsid w:val="00764067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5E75"/>
    <w:rsid w:val="007E567A"/>
    <w:rsid w:val="007E6B0B"/>
    <w:rsid w:val="007F2A3B"/>
    <w:rsid w:val="007F320D"/>
    <w:rsid w:val="007F3B68"/>
    <w:rsid w:val="007F486A"/>
    <w:rsid w:val="007F5958"/>
    <w:rsid w:val="008215EC"/>
    <w:rsid w:val="0082355C"/>
    <w:rsid w:val="00837EE4"/>
    <w:rsid w:val="0084292C"/>
    <w:rsid w:val="0085192A"/>
    <w:rsid w:val="00856867"/>
    <w:rsid w:val="00862FA7"/>
    <w:rsid w:val="00873706"/>
    <w:rsid w:val="00874F7C"/>
    <w:rsid w:val="00882B81"/>
    <w:rsid w:val="008A5599"/>
    <w:rsid w:val="008B0B1E"/>
    <w:rsid w:val="008B72A2"/>
    <w:rsid w:val="008F4AB0"/>
    <w:rsid w:val="00902321"/>
    <w:rsid w:val="0091123B"/>
    <w:rsid w:val="009205BD"/>
    <w:rsid w:val="0093141A"/>
    <w:rsid w:val="00936303"/>
    <w:rsid w:val="0094506D"/>
    <w:rsid w:val="00945714"/>
    <w:rsid w:val="0094589F"/>
    <w:rsid w:val="009625FB"/>
    <w:rsid w:val="00962FEA"/>
    <w:rsid w:val="009709DF"/>
    <w:rsid w:val="00971C1F"/>
    <w:rsid w:val="00973D48"/>
    <w:rsid w:val="00974F1B"/>
    <w:rsid w:val="0098102A"/>
    <w:rsid w:val="00984A0A"/>
    <w:rsid w:val="009911A9"/>
    <w:rsid w:val="00997391"/>
    <w:rsid w:val="009A1F83"/>
    <w:rsid w:val="009A2F09"/>
    <w:rsid w:val="009A61C9"/>
    <w:rsid w:val="009B208D"/>
    <w:rsid w:val="009B48C9"/>
    <w:rsid w:val="009B5301"/>
    <w:rsid w:val="009C322F"/>
    <w:rsid w:val="009C57DD"/>
    <w:rsid w:val="009E1AEF"/>
    <w:rsid w:val="009E7F0A"/>
    <w:rsid w:val="009F29D0"/>
    <w:rsid w:val="00A01C49"/>
    <w:rsid w:val="00A037AD"/>
    <w:rsid w:val="00A04A6D"/>
    <w:rsid w:val="00A0544B"/>
    <w:rsid w:val="00A05B59"/>
    <w:rsid w:val="00A06971"/>
    <w:rsid w:val="00A11EF2"/>
    <w:rsid w:val="00A1292D"/>
    <w:rsid w:val="00A16883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0B77"/>
    <w:rsid w:val="00B42190"/>
    <w:rsid w:val="00B4448B"/>
    <w:rsid w:val="00B532D0"/>
    <w:rsid w:val="00B53F9B"/>
    <w:rsid w:val="00B56732"/>
    <w:rsid w:val="00B56A43"/>
    <w:rsid w:val="00B6239E"/>
    <w:rsid w:val="00B63788"/>
    <w:rsid w:val="00B64B9A"/>
    <w:rsid w:val="00B743EA"/>
    <w:rsid w:val="00B813C6"/>
    <w:rsid w:val="00B834B7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205C3"/>
    <w:rsid w:val="00C25477"/>
    <w:rsid w:val="00C2564D"/>
    <w:rsid w:val="00C260F7"/>
    <w:rsid w:val="00C306CF"/>
    <w:rsid w:val="00C3138D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E759E"/>
    <w:rsid w:val="00CF6C4D"/>
    <w:rsid w:val="00D029B0"/>
    <w:rsid w:val="00D03587"/>
    <w:rsid w:val="00D03ED8"/>
    <w:rsid w:val="00D05F54"/>
    <w:rsid w:val="00D21C23"/>
    <w:rsid w:val="00D251B1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09E1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E51"/>
    <w:rsid w:val="00DF1F65"/>
    <w:rsid w:val="00DF5EBD"/>
    <w:rsid w:val="00E1101C"/>
    <w:rsid w:val="00E13FBE"/>
    <w:rsid w:val="00E20925"/>
    <w:rsid w:val="00E222FC"/>
    <w:rsid w:val="00E56964"/>
    <w:rsid w:val="00E67A57"/>
    <w:rsid w:val="00E82374"/>
    <w:rsid w:val="00E91913"/>
    <w:rsid w:val="00E93B96"/>
    <w:rsid w:val="00E94B40"/>
    <w:rsid w:val="00E94E27"/>
    <w:rsid w:val="00E97052"/>
    <w:rsid w:val="00EA0672"/>
    <w:rsid w:val="00EA31B1"/>
    <w:rsid w:val="00EA3A60"/>
    <w:rsid w:val="00EA526E"/>
    <w:rsid w:val="00EB34F4"/>
    <w:rsid w:val="00EC642F"/>
    <w:rsid w:val="00EC69D7"/>
    <w:rsid w:val="00ED2694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233F"/>
    <w:rsid w:val="00F45219"/>
    <w:rsid w:val="00F47CC9"/>
    <w:rsid w:val="00F65F7B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2C61"/>
    <w:rsid w:val="00FA594A"/>
    <w:rsid w:val="00FB0734"/>
    <w:rsid w:val="00FB67B9"/>
    <w:rsid w:val="00FC7152"/>
    <w:rsid w:val="00FE1787"/>
    <w:rsid w:val="00FE1EC6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4E10-4634-446E-993E-AB623E19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2018-01-11T08:03:00Z</cp:lastPrinted>
  <dcterms:created xsi:type="dcterms:W3CDTF">2018-01-24T08:30:00Z</dcterms:created>
  <dcterms:modified xsi:type="dcterms:W3CDTF">2018-01-24T08:30:00Z</dcterms:modified>
</cp:coreProperties>
</file>