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5" w:rsidRDefault="00B31B15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bookmarkStart w:id="0" w:name="_GoBack"/>
      <w:bookmarkEnd w:id="0"/>
      <w:r>
        <w:rPr>
          <w:lang w:val="de-DE"/>
        </w:rPr>
        <w:t>2016-2017 Lt-Rep-Pres-Nr. 13</w:t>
      </w: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EC2A1C" w:rsidRDefault="00A11EF2" w:rsidP="00EC2A1C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DE1A68" w:rsidRPr="00A17B6E">
        <w:rPr>
          <w:lang w:val="sv-SE"/>
        </w:rPr>
        <w:t>r</w:t>
      </w:r>
      <w:r w:rsidR="00DE1A68" w:rsidRPr="00A17B6E">
        <w:rPr>
          <w:rStyle w:val="llnormaalikirjasin--char1"/>
          <w:sz w:val="24"/>
          <w:lang w:val="sv-SE"/>
        </w:rPr>
        <w:t>egeringens prop</w:t>
      </w:r>
      <w:r w:rsidR="00DE1A68" w:rsidRPr="00A17B6E">
        <w:rPr>
          <w:rStyle w:val="llnormaalikirjasin--char1"/>
          <w:sz w:val="24"/>
          <w:lang w:val="sv-SE"/>
        </w:rPr>
        <w:t>o</w:t>
      </w:r>
      <w:r w:rsidR="00DE1A68" w:rsidRPr="00A17B6E">
        <w:rPr>
          <w:rStyle w:val="llnormaalikirjasin--char1"/>
          <w:sz w:val="24"/>
          <w:lang w:val="sv-SE"/>
        </w:rPr>
        <w:t xml:space="preserve">sition </w:t>
      </w:r>
      <w:r w:rsidR="000F423F" w:rsidRPr="000F423F">
        <w:rPr>
          <w:rStyle w:val="llnormaalikirjasin--char1"/>
          <w:sz w:val="24"/>
          <w:lang w:val="sv-SE"/>
        </w:rPr>
        <w:t xml:space="preserve">till riksdagen om godkännande </w:t>
      </w:r>
      <w:r w:rsidR="00EC2A1C" w:rsidRPr="00EC2A1C">
        <w:rPr>
          <w:rStyle w:val="llnormaalikirjasin--char1"/>
          <w:sz w:val="24"/>
          <w:lang w:val="sv-SE"/>
        </w:rPr>
        <w:t>av partnerskap</w:t>
      </w:r>
      <w:r w:rsidR="00EC2A1C" w:rsidRPr="00EC2A1C">
        <w:rPr>
          <w:rStyle w:val="llnormaalikirjasin--char1"/>
          <w:sz w:val="24"/>
          <w:lang w:val="sv-SE"/>
        </w:rPr>
        <w:t>s</w:t>
      </w:r>
      <w:r w:rsidR="00EC2A1C" w:rsidRPr="00EC2A1C">
        <w:rPr>
          <w:rStyle w:val="llnormaalikirjasin--char1"/>
          <w:sz w:val="24"/>
          <w:lang w:val="sv-SE"/>
        </w:rPr>
        <w:t>avtalet om förbindelser</w:t>
      </w:r>
      <w:r w:rsidR="00EC2A1C">
        <w:rPr>
          <w:rStyle w:val="llnormaalikirjasin--char1"/>
          <w:sz w:val="24"/>
          <w:lang w:val="sv-SE"/>
        </w:rPr>
        <w:t xml:space="preserve"> </w:t>
      </w:r>
      <w:r w:rsidR="00EC2A1C" w:rsidRPr="00EC2A1C">
        <w:rPr>
          <w:rStyle w:val="llnormaalikirjasin--char1"/>
          <w:sz w:val="24"/>
          <w:lang w:val="sv-SE"/>
        </w:rPr>
        <w:t>och samarbete mellan Europ</w:t>
      </w:r>
      <w:r w:rsidR="00EC2A1C" w:rsidRPr="00EC2A1C">
        <w:rPr>
          <w:rStyle w:val="llnormaalikirjasin--char1"/>
          <w:sz w:val="24"/>
          <w:lang w:val="sv-SE"/>
        </w:rPr>
        <w:t>e</w:t>
      </w:r>
      <w:r w:rsidR="00EC2A1C" w:rsidRPr="00EC2A1C">
        <w:rPr>
          <w:rStyle w:val="llnormaalikirjasin--char1"/>
          <w:sz w:val="24"/>
          <w:lang w:val="sv-SE"/>
        </w:rPr>
        <w:t>iska unionen och dess medlemsstater, å ena sidan, och</w:t>
      </w:r>
    </w:p>
    <w:p w:rsidR="00B31B15" w:rsidRPr="000F423F" w:rsidRDefault="00EC2A1C" w:rsidP="00B31B15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EC2A1C">
        <w:rPr>
          <w:rStyle w:val="llnormaalikirjasin--char1"/>
          <w:sz w:val="24"/>
          <w:lang w:val="sv-SE"/>
        </w:rPr>
        <w:t>Nya Zeeland, å andra sidan och med förslag till lag om sättande i kraft av de bestämmelser i</w:t>
      </w:r>
      <w:r>
        <w:rPr>
          <w:rStyle w:val="llnormaalikirjasin--char1"/>
          <w:sz w:val="24"/>
          <w:lang w:val="sv-SE"/>
        </w:rPr>
        <w:t xml:space="preserve"> </w:t>
      </w:r>
      <w:r w:rsidRPr="00EC2A1C">
        <w:rPr>
          <w:rStyle w:val="llnormaalikirjasin--char1"/>
          <w:sz w:val="24"/>
          <w:lang w:val="sv-SE"/>
        </w:rPr>
        <w:t>avtalet som hör till området för lagstiftningen</w:t>
      </w: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EC2A1C" w:rsidRDefault="00EC2A1C" w:rsidP="00EC2A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EC2A1C">
        <w:rPr>
          <w:spacing w:val="-3"/>
          <w:lang w:val="sv-SE"/>
        </w:rPr>
        <w:t>Avtalet med Nya Zeeland är till sin karaktär ett blandat avtal som både innehåller b</w:t>
      </w:r>
      <w:r w:rsidRPr="00EC2A1C">
        <w:rPr>
          <w:spacing w:val="-3"/>
          <w:lang w:val="sv-SE"/>
        </w:rPr>
        <w:t>e</w:t>
      </w:r>
      <w:r w:rsidRPr="00EC2A1C">
        <w:rPr>
          <w:spacing w:val="-3"/>
          <w:lang w:val="sv-SE"/>
        </w:rPr>
        <w:t>stämmelser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som hör till medlemsstaternas behörighet och bestämmelser som hör till Europeiska unionens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behörighet.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Avtalet motsvarar till sitt huvudsakliga innehåll till stora delar de partne</w:t>
      </w:r>
      <w:r w:rsidRPr="00EC2A1C">
        <w:rPr>
          <w:spacing w:val="-3"/>
          <w:lang w:val="sv-SE"/>
        </w:rPr>
        <w:t>r</w:t>
      </w:r>
      <w:r w:rsidRPr="00EC2A1C">
        <w:rPr>
          <w:spacing w:val="-3"/>
          <w:lang w:val="sv-SE"/>
        </w:rPr>
        <w:t>skapsavtal som Europeiska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unionen tidigare ingått. Avtalet effektiviserar samarbetet mellan Europeiska unionen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och Nya Zeeland och gör det möjligt att ytterligare utvidga dialogen med Nya Zeeland. Partnerskapsavtalet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utgör grunden för alla kommande sektorsavtal och skapar en stabil rättslig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grund för förbindelserna mellan Europeiska unionen och Nya Zeeland, som hittills inte funnits.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Samarbetet mellan Europeiska unionen och Nya Zeeland har grundat sig på en g</w:t>
      </w:r>
      <w:r w:rsidRPr="00EC2A1C">
        <w:rPr>
          <w:spacing w:val="-3"/>
          <w:lang w:val="sv-SE"/>
        </w:rPr>
        <w:t>e</w:t>
      </w:r>
      <w:r w:rsidRPr="00EC2A1C">
        <w:rPr>
          <w:spacing w:val="-3"/>
          <w:lang w:val="sv-SE"/>
        </w:rPr>
        <w:t>mensam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förklaring om förbindelser och samarbete från 2007 som inte är juridiskt bindande och flera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bilaterala sektorsavtal. Det blev aktuellt att ingå ett partnerskapsavtal när Europeiska unio</w:t>
      </w:r>
      <w:r w:rsidRPr="00EC2A1C">
        <w:rPr>
          <w:spacing w:val="-3"/>
          <w:lang w:val="sv-SE"/>
        </w:rPr>
        <w:t>n</w:t>
      </w:r>
      <w:r w:rsidRPr="00EC2A1C">
        <w:rPr>
          <w:spacing w:val="-3"/>
          <w:lang w:val="sv-SE"/>
        </w:rPr>
        <w:t>en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i syfte att svara på nutidens utmaningar började ingå mera omfattande partnerskaps- och sa</w:t>
      </w:r>
      <w:r w:rsidRPr="00EC2A1C">
        <w:rPr>
          <w:spacing w:val="-3"/>
          <w:lang w:val="sv-SE"/>
        </w:rPr>
        <w:t>m</w:t>
      </w:r>
      <w:r w:rsidRPr="00EC2A1C">
        <w:rPr>
          <w:spacing w:val="-3"/>
          <w:lang w:val="sv-SE"/>
        </w:rPr>
        <w:t>arbetsavtal</w:t>
      </w:r>
      <w:r>
        <w:rPr>
          <w:spacing w:val="-3"/>
          <w:lang w:val="sv-SE"/>
        </w:rPr>
        <w:t xml:space="preserve"> </w:t>
      </w:r>
      <w:r w:rsidRPr="00EC2A1C">
        <w:rPr>
          <w:spacing w:val="-3"/>
          <w:lang w:val="sv-SE"/>
        </w:rPr>
        <w:t>av den nya generationen med flera länder.</w:t>
      </w:r>
    </w:p>
    <w:p w:rsidR="00E464F9" w:rsidRDefault="00E464F9" w:rsidP="00E464F9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E464F9">
        <w:rPr>
          <w:spacing w:val="-3"/>
          <w:lang w:val="sv-SE"/>
        </w:rPr>
        <w:t>I avtalet ingår bestämmelser om vissa samarbetsområden som rör områden som enligt 18 § i</w:t>
      </w:r>
      <w:r>
        <w:rPr>
          <w:spacing w:val="-3"/>
          <w:lang w:val="sv-SE"/>
        </w:rPr>
        <w:t xml:space="preserve"> </w:t>
      </w:r>
      <w:r w:rsidR="007F381D">
        <w:rPr>
          <w:spacing w:val="-3"/>
          <w:lang w:val="sv-SE"/>
        </w:rPr>
        <w:t>självstyrelse</w:t>
      </w:r>
      <w:r w:rsidRPr="00E464F9">
        <w:rPr>
          <w:spacing w:val="-3"/>
          <w:lang w:val="sv-SE"/>
        </w:rPr>
        <w:t xml:space="preserve">lagen hör till </w:t>
      </w:r>
      <w:r w:rsidR="005161D2">
        <w:rPr>
          <w:spacing w:val="-3"/>
          <w:lang w:val="sv-SE"/>
        </w:rPr>
        <w:t xml:space="preserve">landskapet </w:t>
      </w:r>
      <w:r w:rsidRPr="00E464F9">
        <w:rPr>
          <w:spacing w:val="-3"/>
          <w:lang w:val="sv-SE"/>
        </w:rPr>
        <w:t>Ålands behörighet. Bestämmelser om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sådana områden ingår åtminstone i artikel 40 som gäller utbildning, artikel 41 som gäller samarbete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om kultur- och mediefrågor och om audiovisuella frågor, artikel 43 som gäller miljö</w:t>
      </w:r>
      <w:r>
        <w:rPr>
          <w:spacing w:val="-3"/>
          <w:lang w:val="sv-SE"/>
        </w:rPr>
        <w:t xml:space="preserve">- </w:t>
      </w:r>
      <w:r w:rsidRPr="00E464F9">
        <w:rPr>
          <w:spacing w:val="-3"/>
          <w:lang w:val="sv-SE"/>
        </w:rPr>
        <w:t>och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naturresurser, art</w:t>
      </w:r>
      <w:r w:rsidRPr="00E464F9">
        <w:rPr>
          <w:spacing w:val="-3"/>
          <w:lang w:val="sv-SE"/>
        </w:rPr>
        <w:t>i</w:t>
      </w:r>
      <w:r w:rsidRPr="00E464F9">
        <w:rPr>
          <w:spacing w:val="-3"/>
          <w:lang w:val="sv-SE"/>
        </w:rPr>
        <w:t>kel 44 som gäller hälsa, artikel 46 som gäller katastrofriskhantering och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civilskydd, artikel 48 som gäller transport, artikel 49 som gäller jordbruk, landsbygdsutveckling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och skogsbruk, artikel 50 som gäller fiske och havsfrågor och artikel 51 som gäller sysselsättning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och socialpolitik. Å</w:t>
      </w:r>
      <w:r w:rsidRPr="00E464F9">
        <w:rPr>
          <w:spacing w:val="-3"/>
          <w:lang w:val="sv-SE"/>
        </w:rPr>
        <w:t>t</w:t>
      </w:r>
      <w:r w:rsidRPr="00E464F9">
        <w:rPr>
          <w:spacing w:val="-3"/>
          <w:lang w:val="sv-SE"/>
        </w:rPr>
        <w:t>minstone i artiklarna 40, 41, 44 och 46 ingår bestämmelser som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 xml:space="preserve">hör till medlemsstaternas </w:t>
      </w:r>
      <w:r w:rsidR="005161D2">
        <w:rPr>
          <w:spacing w:val="-3"/>
          <w:lang w:val="sv-SE"/>
        </w:rPr>
        <w:t>i Eur</w:t>
      </w:r>
      <w:r w:rsidR="005161D2">
        <w:rPr>
          <w:spacing w:val="-3"/>
          <w:lang w:val="sv-SE"/>
        </w:rPr>
        <w:t>o</w:t>
      </w:r>
      <w:r w:rsidR="005161D2">
        <w:rPr>
          <w:spacing w:val="-3"/>
          <w:lang w:val="sv-SE"/>
        </w:rPr>
        <w:lastRenderedPageBreak/>
        <w:t xml:space="preserve">peiska Unionen </w:t>
      </w:r>
      <w:r w:rsidRPr="00E464F9">
        <w:rPr>
          <w:spacing w:val="-3"/>
          <w:lang w:val="sv-SE"/>
        </w:rPr>
        <w:t>behörighet. Följaktligen krävs det godkännande av Ålands lagting</w:t>
      </w:r>
      <w:r>
        <w:rPr>
          <w:spacing w:val="-3"/>
          <w:lang w:val="sv-SE"/>
        </w:rPr>
        <w:t xml:space="preserve"> </w:t>
      </w:r>
      <w:r w:rsidRPr="00E464F9">
        <w:rPr>
          <w:spacing w:val="-3"/>
          <w:lang w:val="sv-SE"/>
        </w:rPr>
        <w:t>för att avtalet ska träda i kraft på Åland.</w:t>
      </w: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EC2A1C">
        <w:rPr>
          <w:bCs/>
          <w:color w:val="000000"/>
          <w:lang w:val="sv-SE"/>
        </w:rPr>
        <w:t>5</w:t>
      </w:r>
      <w:r>
        <w:rPr>
          <w:bCs/>
          <w:color w:val="000000"/>
          <w:lang w:val="sv-SE"/>
        </w:rPr>
        <w:t>5</w:t>
      </w:r>
      <w:r w:rsidR="00AD43BB" w:rsidRPr="00A17B6E">
        <w:rPr>
          <w:bCs/>
          <w:color w:val="000000"/>
          <w:lang w:val="sv-SE"/>
        </w:rPr>
        <w:t>/20</w:t>
      </w:r>
      <w:r w:rsidR="00155582">
        <w:rPr>
          <w:bCs/>
          <w:color w:val="000000"/>
          <w:lang w:val="sv-SE"/>
        </w:rPr>
        <w:t>17 rd</w:t>
      </w:r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i landskapet Åland till de delar </w:t>
      </w:r>
      <w:r w:rsidR="00EC2A1C" w:rsidRPr="00EC2A1C">
        <w:rPr>
          <w:rStyle w:val="llnormaalikirjasin--char1"/>
          <w:sz w:val="24"/>
        </w:rPr>
        <w:t>partnerskaps</w:t>
      </w:r>
      <w:r w:rsidR="00882B81">
        <w:t>avtalet 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F3229D">
        <w:rPr>
          <w:spacing w:val="-3"/>
          <w:lang w:val="sv-SE"/>
        </w:rPr>
        <w:t>Nådendal</w:t>
      </w:r>
      <w:r w:rsidR="002B74EE" w:rsidRPr="00A17B6E">
        <w:rPr>
          <w:spacing w:val="-3"/>
          <w:lang w:val="sv-SE"/>
        </w:rPr>
        <w:t xml:space="preserve">, i statsrådet den </w:t>
      </w:r>
      <w:r w:rsidR="000F423F">
        <w:rPr>
          <w:spacing w:val="-3"/>
          <w:lang w:val="sv-SE"/>
        </w:rPr>
        <w:t>11 augusti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36EED">
        <w:rPr>
          <w:spacing w:val="-3"/>
          <w:lang w:val="sv-SE"/>
        </w:rPr>
        <w:t>17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EC2A1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EC2A1C">
        <w:rPr>
          <w:spacing w:val="-3"/>
        </w:rPr>
        <w:t>SAULI NIINISTÖ</w:t>
      </w:r>
    </w:p>
    <w:p w:rsidR="00EF104B" w:rsidRPr="00EC2A1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624320" w:rsidRPr="00EC2A1C" w:rsidRDefault="00624320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EC2A1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EC2A1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A11EF2" w:rsidRPr="00EC2A1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BF6277" w:rsidRPr="00EC2A1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Pr="00EC2A1C">
        <w:rPr>
          <w:spacing w:val="-3"/>
        </w:rPr>
        <w:tab/>
      </w:r>
      <w:r w:rsidR="0085192A" w:rsidRPr="00EC2A1C">
        <w:rPr>
          <w:spacing w:val="-3"/>
        </w:rPr>
        <w:t>Justitie</w:t>
      </w:r>
      <w:r w:rsidR="00452BB5" w:rsidRPr="00EC2A1C">
        <w:rPr>
          <w:spacing w:val="-3"/>
        </w:rPr>
        <w:t>m</w:t>
      </w:r>
      <w:r w:rsidR="00EF104B" w:rsidRPr="00EC2A1C">
        <w:rPr>
          <w:spacing w:val="-3"/>
        </w:rPr>
        <w:t xml:space="preserve">inister </w:t>
      </w:r>
      <w:r w:rsidR="0085192A" w:rsidRPr="00EC2A1C">
        <w:rPr>
          <w:spacing w:val="-3"/>
        </w:rPr>
        <w:t>Antti Häkkänen</w:t>
      </w:r>
    </w:p>
    <w:p w:rsidR="002A4685" w:rsidRPr="00EC2A1C" w:rsidRDefault="002A4685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C60B1A" w:rsidRDefault="00C60B1A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464F9" w:rsidRDefault="00E464F9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C70D0A" w:rsidRPr="00EC2A1C" w:rsidRDefault="00776EE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  <w:r w:rsidRPr="00EC2A1C">
        <w:rPr>
          <w:spacing w:val="-3"/>
          <w:sz w:val="16"/>
          <w:szCs w:val="16"/>
        </w:rPr>
        <w:t>JM 20</w:t>
      </w:r>
      <w:r w:rsidR="00C36EED" w:rsidRPr="00EC2A1C">
        <w:rPr>
          <w:spacing w:val="-3"/>
          <w:sz w:val="16"/>
          <w:szCs w:val="16"/>
        </w:rPr>
        <w:t>17</w:t>
      </w:r>
      <w:r w:rsidRPr="00EC2A1C">
        <w:rPr>
          <w:spacing w:val="-3"/>
          <w:sz w:val="16"/>
          <w:szCs w:val="16"/>
        </w:rPr>
        <w:t xml:space="preserve"> </w:t>
      </w:r>
      <w:r w:rsidR="0021587D" w:rsidRPr="00EC2A1C">
        <w:rPr>
          <w:spacing w:val="-3"/>
          <w:sz w:val="16"/>
          <w:szCs w:val="16"/>
        </w:rPr>
        <w:t xml:space="preserve"> </w:t>
      </w:r>
      <w:r w:rsidR="002B16C4" w:rsidRPr="00EC2A1C">
        <w:rPr>
          <w:spacing w:val="-3"/>
          <w:sz w:val="16"/>
          <w:szCs w:val="16"/>
        </w:rPr>
        <w:t>08</w:t>
      </w:r>
      <w:r w:rsidR="0021587D" w:rsidRPr="00EC2A1C">
        <w:rPr>
          <w:spacing w:val="-3"/>
          <w:sz w:val="16"/>
          <w:szCs w:val="16"/>
        </w:rPr>
        <w:t xml:space="preserve">  </w:t>
      </w:r>
      <w:r w:rsidR="00C60B1A" w:rsidRPr="00EC2A1C">
        <w:rPr>
          <w:spacing w:val="-3"/>
          <w:sz w:val="16"/>
          <w:szCs w:val="16"/>
        </w:rPr>
        <w:t>3</w:t>
      </w:r>
      <w:r w:rsidR="00EC2A1C" w:rsidRPr="00EC2A1C">
        <w:rPr>
          <w:spacing w:val="-3"/>
          <w:sz w:val="16"/>
          <w:szCs w:val="16"/>
        </w:rPr>
        <w:t>4</w:t>
      </w:r>
    </w:p>
    <w:sectPr w:rsidR="00C70D0A" w:rsidRPr="00EC2A1C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4" w:rsidRDefault="00AD4DE4">
      <w:r>
        <w:separator/>
      </w:r>
    </w:p>
  </w:endnote>
  <w:endnote w:type="continuationSeparator" w:id="0">
    <w:p w:rsidR="00AD4DE4" w:rsidRDefault="00A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4" w:rsidRDefault="00AD4DE4">
      <w:r>
        <w:separator/>
      </w:r>
    </w:p>
  </w:footnote>
  <w:footnote w:type="continuationSeparator" w:id="0">
    <w:p w:rsidR="00AD4DE4" w:rsidRDefault="00AD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5BF3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F0EBF"/>
    <w:rsid w:val="00323411"/>
    <w:rsid w:val="00332BF9"/>
    <w:rsid w:val="00335DA6"/>
    <w:rsid w:val="00355981"/>
    <w:rsid w:val="003645F5"/>
    <w:rsid w:val="00364F72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5059B8"/>
    <w:rsid w:val="00507A09"/>
    <w:rsid w:val="00514EA8"/>
    <w:rsid w:val="005161D2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15EC"/>
    <w:rsid w:val="0082355C"/>
    <w:rsid w:val="00837EE4"/>
    <w:rsid w:val="0084292C"/>
    <w:rsid w:val="0085192A"/>
    <w:rsid w:val="00856867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4DE4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31B15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2236-288D-4ADC-A944-0EE09F9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2017-08-23T07:07:00Z</cp:lastPrinted>
  <dcterms:created xsi:type="dcterms:W3CDTF">2017-08-23T08:00:00Z</dcterms:created>
  <dcterms:modified xsi:type="dcterms:W3CDTF">2017-08-23T08:00:00Z</dcterms:modified>
</cp:coreProperties>
</file>