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93" w:rsidRPr="00635C93" w:rsidRDefault="00635C93" w:rsidP="00635C93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635C93">
        <w:rPr>
          <w:lang w:val="de-DE"/>
        </w:rPr>
        <w:t>201</w:t>
      </w:r>
      <w:r>
        <w:rPr>
          <w:lang w:val="de-DE"/>
        </w:rPr>
        <w:t xml:space="preserve">6-2017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>. Nr. 8</w:t>
      </w:r>
    </w:p>
    <w:p w:rsidR="00624320" w:rsidRPr="00A17B6E" w:rsidRDefault="00624320" w:rsidP="001E58CF">
      <w:pPr>
        <w:pStyle w:val="Ingetavstnd"/>
        <w:rPr>
          <w:lang w:val="de-DE"/>
        </w:rPr>
      </w:pPr>
    </w:p>
    <w:p w:rsidR="00473482" w:rsidRPr="00A17B6E" w:rsidRDefault="0047348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</w:p>
    <w:p w:rsidR="00635C93" w:rsidRDefault="00635C93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DE1A68" w:rsidRPr="00A17B6E" w:rsidRDefault="00A11EF2" w:rsidP="00DE1A68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17B6E">
        <w:rPr>
          <w:lang w:val="sv-SE"/>
        </w:rPr>
        <w:t xml:space="preserve">framställning till Ålands lagting om </w:t>
      </w:r>
      <w:r w:rsidR="00DE1A68" w:rsidRPr="00A17B6E">
        <w:rPr>
          <w:lang w:val="sv-SE"/>
        </w:rPr>
        <w:t>r</w:t>
      </w:r>
      <w:r w:rsidR="00DE1A68" w:rsidRPr="00A17B6E">
        <w:rPr>
          <w:rStyle w:val="llnormaalikirjasin--char1"/>
          <w:sz w:val="24"/>
          <w:lang w:val="sv-SE"/>
        </w:rPr>
        <w:t>egeringens prop</w:t>
      </w:r>
      <w:r w:rsidR="00DE1A68" w:rsidRPr="00A17B6E">
        <w:rPr>
          <w:rStyle w:val="llnormaalikirjasin--char1"/>
          <w:sz w:val="24"/>
          <w:lang w:val="sv-SE"/>
        </w:rPr>
        <w:t>o</w:t>
      </w:r>
      <w:r w:rsidR="00DE1A68" w:rsidRPr="00A17B6E">
        <w:rPr>
          <w:rStyle w:val="llnormaalikirjasin--char1"/>
          <w:sz w:val="24"/>
          <w:lang w:val="sv-SE"/>
        </w:rPr>
        <w:t>sition till riksdagen om</w:t>
      </w:r>
      <w:r w:rsidR="00776EEE" w:rsidRPr="00A17B6E">
        <w:rPr>
          <w:rStyle w:val="llnormaalikirjasin--char1"/>
          <w:sz w:val="24"/>
          <w:lang w:val="sv-SE"/>
        </w:rPr>
        <w:t xml:space="preserve"> </w:t>
      </w:r>
      <w:r w:rsidR="00155582" w:rsidRPr="00155582">
        <w:rPr>
          <w:rStyle w:val="llnormaalikirjasin--char1"/>
          <w:sz w:val="24"/>
          <w:lang w:val="sv-SE"/>
        </w:rPr>
        <w:t>godkännande av ändringarna i bilagorna till 1978 års protokoll till 1973 års interna</w:t>
      </w:r>
      <w:r w:rsidR="00155582" w:rsidRPr="00155582">
        <w:rPr>
          <w:rStyle w:val="llnormaalikirjasin--char1"/>
          <w:sz w:val="24"/>
          <w:lang w:val="sv-SE"/>
        </w:rPr>
        <w:t>t</w:t>
      </w:r>
      <w:r w:rsidR="00155582" w:rsidRPr="00155582">
        <w:rPr>
          <w:rStyle w:val="llnormaalikirjasin--char1"/>
          <w:sz w:val="24"/>
          <w:lang w:val="sv-SE"/>
        </w:rPr>
        <w:t>ionella konvention till förhindrande av förorening från fartyg samt med förslag till lagar om sättande i kraft av de bestämmelser i ändringarna som hör till området för lagstiftningen och med förslag till ändring miljöskydd</w:t>
      </w:r>
      <w:r w:rsidR="00155582" w:rsidRPr="00155582">
        <w:rPr>
          <w:rStyle w:val="llnormaalikirjasin--char1"/>
          <w:sz w:val="24"/>
          <w:lang w:val="sv-SE"/>
        </w:rPr>
        <w:t>s</w:t>
      </w:r>
      <w:r w:rsidR="00155582" w:rsidRPr="00155582">
        <w:rPr>
          <w:rStyle w:val="llnormaalikirjasin--char1"/>
          <w:sz w:val="24"/>
          <w:lang w:val="sv-SE"/>
        </w:rPr>
        <w:t>lagen för sj</w:t>
      </w:r>
      <w:r w:rsidR="00155582" w:rsidRPr="00155582">
        <w:rPr>
          <w:rStyle w:val="llnormaalikirjasin--char1"/>
          <w:sz w:val="24"/>
          <w:lang w:val="sv-SE"/>
        </w:rPr>
        <w:t>ö</w:t>
      </w:r>
      <w:r w:rsidR="00155582" w:rsidRPr="00155582">
        <w:rPr>
          <w:rStyle w:val="llnormaalikirjasin--char1"/>
          <w:sz w:val="24"/>
          <w:lang w:val="sv-SE"/>
        </w:rPr>
        <w:t>farten</w:t>
      </w:r>
      <w:r w:rsidR="00A17B6E">
        <w:rPr>
          <w:rStyle w:val="llnormaalikirjasin--char1"/>
          <w:sz w:val="24"/>
          <w:lang w:val="sv-SE"/>
        </w:rPr>
        <w:t xml:space="preserve"> </w:t>
      </w:r>
    </w:p>
    <w:p w:rsidR="00624320" w:rsidRPr="00A17B6E" w:rsidRDefault="00624320" w:rsidP="0011564E">
      <w:pPr>
        <w:spacing w:line="360" w:lineRule="auto"/>
        <w:jc w:val="both"/>
        <w:outlineLvl w:val="0"/>
        <w:rPr>
          <w:lang w:val="sv-SE"/>
        </w:rPr>
      </w:pPr>
    </w:p>
    <w:p w:rsidR="00DE1A68" w:rsidRPr="00A17B6E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</w:t>
      </w:r>
      <w:r w:rsidR="00A11EF2" w:rsidRPr="00A17B6E">
        <w:rPr>
          <w:spacing w:val="-3"/>
          <w:lang w:val="sv-SE"/>
        </w:rPr>
        <w:t>m</w:t>
      </w:r>
      <w:r w:rsidR="00A11EF2" w:rsidRPr="00A17B6E">
        <w:rPr>
          <w:spacing w:val="-3"/>
          <w:lang w:val="sv-SE"/>
        </w:rPr>
        <w:t>melsen i kraft i landskapet endast om lagtinget ger sitt bifall till den författning genom vilken bestämme</w:t>
      </w:r>
      <w:r w:rsidR="00A11EF2" w:rsidRPr="00A17B6E">
        <w:rPr>
          <w:spacing w:val="-3"/>
          <w:lang w:val="sv-SE"/>
        </w:rPr>
        <w:t>l</w:t>
      </w:r>
      <w:r w:rsidR="00A11EF2" w:rsidRPr="00A17B6E">
        <w:rPr>
          <w:spacing w:val="-3"/>
          <w:lang w:val="sv-SE"/>
        </w:rPr>
        <w:t>sen sätts i kraft.</w:t>
      </w:r>
    </w:p>
    <w:p w:rsidR="00155582" w:rsidRPr="00155582" w:rsidRDefault="00473482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155582" w:rsidRPr="00155582">
        <w:rPr>
          <w:spacing w:val="-3"/>
          <w:lang w:val="sv-SE"/>
        </w:rPr>
        <w:t>Genom ändringarna i bilagorna I, II, IV, V ja VI till den s.k. MARPOL</w:t>
      </w:r>
    </w:p>
    <w:p w:rsidR="00155582" w:rsidRDefault="00155582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55582">
        <w:rPr>
          <w:spacing w:val="-3"/>
          <w:lang w:val="sv-SE"/>
        </w:rPr>
        <w:t>73/78-konventionen föreskrivs bl.a. om överföring av last mellan oljetankfartyg, anges Ö</w:t>
      </w:r>
      <w:r w:rsidRPr="00155582">
        <w:rPr>
          <w:spacing w:val="-3"/>
          <w:lang w:val="sv-SE"/>
        </w:rPr>
        <w:t>s</w:t>
      </w:r>
      <w:r w:rsidRPr="00155582">
        <w:rPr>
          <w:spacing w:val="-3"/>
          <w:lang w:val="sv-SE"/>
        </w:rPr>
        <w:t>tersjön som ett specialområde när det gäller utsläpp av toalettavfall, reformeras bestä</w:t>
      </w:r>
      <w:r w:rsidRPr="00155582">
        <w:rPr>
          <w:spacing w:val="-3"/>
          <w:lang w:val="sv-SE"/>
        </w:rPr>
        <w:t>m</w:t>
      </w:r>
      <w:r w:rsidRPr="00155582">
        <w:rPr>
          <w:spacing w:val="-3"/>
          <w:lang w:val="sv-SE"/>
        </w:rPr>
        <w:t>melserna om fast avfall och preciseras bestämmelserna om fartygens utsläpp i luft. Syftet med ändringarna är att bättre än förut förhindra förorening av havet som orsakas av fartyg.</w:t>
      </w:r>
    </w:p>
    <w:p w:rsidR="00155582" w:rsidRPr="00155582" w:rsidRDefault="00155582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155582">
        <w:rPr>
          <w:spacing w:val="-3"/>
          <w:lang w:val="sv-SE"/>
        </w:rPr>
        <w:t>Enligt 27 § 13 punkten i självstyrelselagen</w:t>
      </w:r>
      <w:r w:rsidR="0076141A">
        <w:rPr>
          <w:spacing w:val="-3"/>
          <w:lang w:val="sv-SE"/>
        </w:rPr>
        <w:t xml:space="preserve"> </w:t>
      </w:r>
      <w:r w:rsidRPr="00155582">
        <w:rPr>
          <w:spacing w:val="-3"/>
          <w:lang w:val="sv-SE"/>
        </w:rPr>
        <w:t>hör ärenden som gäller handelssjöfart och fa</w:t>
      </w:r>
      <w:r w:rsidRPr="00155582">
        <w:rPr>
          <w:spacing w:val="-3"/>
          <w:lang w:val="sv-SE"/>
        </w:rPr>
        <w:t>r</w:t>
      </w:r>
      <w:r w:rsidRPr="00155582">
        <w:rPr>
          <w:spacing w:val="-3"/>
          <w:lang w:val="sv-SE"/>
        </w:rPr>
        <w:t>leder för handelssjöfarten till rikets behörighet. Största delen av de föreslagna ändringarna i bil</w:t>
      </w:r>
      <w:r w:rsidRPr="00155582">
        <w:rPr>
          <w:spacing w:val="-3"/>
          <w:lang w:val="sv-SE"/>
        </w:rPr>
        <w:t>a</w:t>
      </w:r>
      <w:r w:rsidRPr="00155582">
        <w:rPr>
          <w:spacing w:val="-3"/>
          <w:lang w:val="sv-SE"/>
        </w:rPr>
        <w:t>gorna till MARPOL 73/78 gäller fartygens konstruktion och användningen av fartygen med tanke på miljövården</w:t>
      </w:r>
      <w:r w:rsidR="0076141A">
        <w:rPr>
          <w:spacing w:val="-3"/>
          <w:lang w:val="sv-SE"/>
        </w:rPr>
        <w:t xml:space="preserve">, vilka </w:t>
      </w:r>
      <w:r w:rsidRPr="00155582">
        <w:rPr>
          <w:spacing w:val="-3"/>
          <w:lang w:val="sv-SE"/>
        </w:rPr>
        <w:t>hör till rikets behörighet. Enligt 18 § 21 pun</w:t>
      </w:r>
      <w:r w:rsidRPr="00155582">
        <w:rPr>
          <w:spacing w:val="-3"/>
          <w:lang w:val="sv-SE"/>
        </w:rPr>
        <w:t>k</w:t>
      </w:r>
      <w:r w:rsidRPr="00155582">
        <w:rPr>
          <w:spacing w:val="-3"/>
          <w:lang w:val="sv-SE"/>
        </w:rPr>
        <w:t>ten i självstyrelselagen hör bl.a. båttrafik och farleder för den lokala sjötrafiken till lan</w:t>
      </w:r>
      <w:r w:rsidRPr="00155582">
        <w:rPr>
          <w:spacing w:val="-3"/>
          <w:lang w:val="sv-SE"/>
        </w:rPr>
        <w:t>d</w:t>
      </w:r>
      <w:r w:rsidRPr="00155582">
        <w:rPr>
          <w:spacing w:val="-3"/>
          <w:lang w:val="sv-SE"/>
        </w:rPr>
        <w:t>skapets behörighet. Med stöd av detta hör regleringen som gäller fritidsbåtar till landska</w:t>
      </w:r>
      <w:r w:rsidRPr="00155582">
        <w:rPr>
          <w:spacing w:val="-3"/>
          <w:lang w:val="sv-SE"/>
        </w:rPr>
        <w:t>p</w:t>
      </w:r>
      <w:r w:rsidRPr="00155582">
        <w:rPr>
          <w:spacing w:val="-3"/>
          <w:lang w:val="sv-SE"/>
        </w:rPr>
        <w:t>ets behörighet.</w:t>
      </w:r>
    </w:p>
    <w:p w:rsidR="00155582" w:rsidRPr="00155582" w:rsidRDefault="00C36EED" w:rsidP="00BD2400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155582" w:rsidRPr="00155582">
        <w:rPr>
          <w:spacing w:val="-3"/>
          <w:lang w:val="sv-SE"/>
        </w:rPr>
        <w:t>Till den del bestämmelserna gäller arrangemang för mottagning av fartygsavfall och mottagningsanordningar för fartygsavfall i land hör lagstiftningsbehörigheten till landskapet i e</w:t>
      </w:r>
      <w:r w:rsidR="00155582" w:rsidRPr="00155582">
        <w:rPr>
          <w:spacing w:val="-3"/>
          <w:lang w:val="sv-SE"/>
        </w:rPr>
        <w:t>n</w:t>
      </w:r>
      <w:r w:rsidR="00155582" w:rsidRPr="00155582">
        <w:rPr>
          <w:spacing w:val="-3"/>
          <w:lang w:val="sv-SE"/>
        </w:rPr>
        <w:t>lighet med 18 § 10 punkten i självstyrelselagen. Enligt den punkten har landskapet lagstiftning</w:t>
      </w:r>
      <w:r w:rsidR="00155582" w:rsidRPr="00155582">
        <w:rPr>
          <w:spacing w:val="-3"/>
          <w:lang w:val="sv-SE"/>
        </w:rPr>
        <w:t>s</w:t>
      </w:r>
      <w:r w:rsidR="00155582" w:rsidRPr="00155582">
        <w:rPr>
          <w:spacing w:val="-3"/>
          <w:lang w:val="sv-SE"/>
        </w:rPr>
        <w:t xml:space="preserve">behörighet i fråga om natur- och miljövård, friluftsliv och vattenrätt. På Åland gäller en </w:t>
      </w:r>
      <w:r w:rsidR="000425E8">
        <w:rPr>
          <w:spacing w:val="-3"/>
          <w:lang w:val="sv-SE"/>
        </w:rPr>
        <w:br w:type="page"/>
      </w:r>
      <w:r w:rsidR="00155582" w:rsidRPr="00155582">
        <w:rPr>
          <w:spacing w:val="-3"/>
          <w:lang w:val="sv-SE"/>
        </w:rPr>
        <w:lastRenderedPageBreak/>
        <w:t>egen landskapslag om bekämpande av oljeskador (1977:16). Regel 8 i bilaga V till MARPOL 73/78 innehåller bestämmelser om mottagningsanordningar för fa</w:t>
      </w:r>
      <w:r w:rsidR="00155582" w:rsidRPr="00155582">
        <w:rPr>
          <w:spacing w:val="-3"/>
          <w:lang w:val="sv-SE"/>
        </w:rPr>
        <w:t>r</w:t>
      </w:r>
      <w:r w:rsidR="00155582" w:rsidRPr="00155582">
        <w:rPr>
          <w:spacing w:val="-3"/>
          <w:lang w:val="sv-SE"/>
        </w:rPr>
        <w:t>tygsavfall i hamnar, och dessa bestämmelser ska anses gälla frågor med anknytning till natur- och miljövård. Av denna anle</w:t>
      </w:r>
      <w:r w:rsidR="00155582" w:rsidRPr="00155582">
        <w:rPr>
          <w:spacing w:val="-3"/>
          <w:lang w:val="sv-SE"/>
        </w:rPr>
        <w:t>d</w:t>
      </w:r>
      <w:r w:rsidR="00155582" w:rsidRPr="00155582">
        <w:rPr>
          <w:spacing w:val="-3"/>
          <w:lang w:val="sv-SE"/>
        </w:rPr>
        <w:t>ning hör de till landskapets lagstiftningsbehörighet.</w:t>
      </w:r>
    </w:p>
    <w:p w:rsidR="00155582" w:rsidRDefault="00C36EED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155582" w:rsidRPr="00155582">
        <w:rPr>
          <w:spacing w:val="-3"/>
          <w:lang w:val="sv-SE"/>
        </w:rPr>
        <w:t>Eftersom de ändringar som gjorts i bilagorna till MARPOL 73/78 innehåller bestämme</w:t>
      </w:r>
      <w:r w:rsidR="00155582" w:rsidRPr="00155582">
        <w:rPr>
          <w:spacing w:val="-3"/>
          <w:lang w:val="sv-SE"/>
        </w:rPr>
        <w:t>l</w:t>
      </w:r>
      <w:r w:rsidR="00155582" w:rsidRPr="00155582">
        <w:rPr>
          <w:spacing w:val="-3"/>
          <w:lang w:val="sv-SE"/>
        </w:rPr>
        <w:t>ser som</w:t>
      </w:r>
      <w:r w:rsidR="0076141A">
        <w:rPr>
          <w:spacing w:val="-3"/>
          <w:lang w:val="sv-SE"/>
        </w:rPr>
        <w:t xml:space="preserve"> delvis </w:t>
      </w:r>
      <w:r w:rsidR="00155582" w:rsidRPr="00155582">
        <w:rPr>
          <w:spacing w:val="-3"/>
          <w:lang w:val="sv-SE"/>
        </w:rPr>
        <w:t>hör till landskapets lagstiftningsbehörighet, måste Ålands lagting ge sitt bifall till lagen genom vilken bestämmelse</w:t>
      </w:r>
      <w:r w:rsidR="0076141A">
        <w:rPr>
          <w:spacing w:val="-3"/>
          <w:lang w:val="sv-SE"/>
        </w:rPr>
        <w:t>rna</w:t>
      </w:r>
      <w:r w:rsidR="00155582" w:rsidRPr="00155582">
        <w:rPr>
          <w:spacing w:val="-3"/>
          <w:lang w:val="sv-SE"/>
        </w:rPr>
        <w:t xml:space="preserve"> sätts i kraft</w:t>
      </w:r>
      <w:r w:rsidR="0076141A">
        <w:rPr>
          <w:spacing w:val="-3"/>
          <w:lang w:val="sv-SE"/>
        </w:rPr>
        <w:t>, för att dessa ska bli gä</w:t>
      </w:r>
      <w:r w:rsidR="0076141A">
        <w:rPr>
          <w:spacing w:val="-3"/>
          <w:lang w:val="sv-SE"/>
        </w:rPr>
        <w:t>l</w:t>
      </w:r>
      <w:r w:rsidR="0076141A">
        <w:rPr>
          <w:spacing w:val="-3"/>
          <w:lang w:val="sv-SE"/>
        </w:rPr>
        <w:t>lande också i landskapet.</w:t>
      </w:r>
    </w:p>
    <w:p w:rsidR="00A11EF2" w:rsidRPr="00A17B6E" w:rsidRDefault="00473482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spacing w:val="-3"/>
          <w:lang w:val="sv-FI"/>
        </w:rPr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155582">
        <w:rPr>
          <w:bCs/>
          <w:color w:val="000000"/>
          <w:lang w:val="sv-SE"/>
        </w:rPr>
        <w:t>3</w:t>
      </w:r>
      <w:r w:rsidR="00AD43BB" w:rsidRPr="00A17B6E">
        <w:rPr>
          <w:bCs/>
          <w:color w:val="000000"/>
          <w:lang w:val="sv-SE"/>
        </w:rPr>
        <w:t>/20</w:t>
      </w:r>
      <w:r w:rsidR="00155582">
        <w:rPr>
          <w:bCs/>
          <w:color w:val="000000"/>
          <w:lang w:val="sv-SE"/>
        </w:rPr>
        <w:t xml:space="preserve">17 </w:t>
      </w:r>
      <w:proofErr w:type="spellStart"/>
      <w:r w:rsidR="00155582">
        <w:rPr>
          <w:bCs/>
          <w:color w:val="000000"/>
          <w:lang w:val="sv-SE"/>
        </w:rPr>
        <w:t>rd</w:t>
      </w:r>
      <w:proofErr w:type="spellEnd"/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Pr="00A17B6E" w:rsidRDefault="00A11EF2" w:rsidP="00C51B9C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lagar</w:t>
      </w:r>
      <w:r w:rsidR="000425E8" w:rsidRPr="0076141A">
        <w:t xml:space="preserve"> </w:t>
      </w:r>
      <w:r w:rsidR="0076141A" w:rsidRPr="0076141A">
        <w:rPr>
          <w:rStyle w:val="llnormaalikirjasin--char1"/>
          <w:sz w:val="24"/>
        </w:rPr>
        <w:t>om sättande i kraft av de b</w:t>
      </w:r>
      <w:r w:rsidR="0076141A" w:rsidRPr="0076141A">
        <w:rPr>
          <w:rStyle w:val="llnormaalikirjasin--char1"/>
          <w:sz w:val="24"/>
        </w:rPr>
        <w:t>e</w:t>
      </w:r>
      <w:r w:rsidR="0076141A" w:rsidRPr="0076141A">
        <w:rPr>
          <w:rStyle w:val="llnormaalikirjasin--char1"/>
          <w:sz w:val="24"/>
        </w:rPr>
        <w:t>stämmelser i ändringarna som hör till området för lagstif</w:t>
      </w:r>
      <w:r w:rsidR="0076141A" w:rsidRPr="0076141A">
        <w:rPr>
          <w:rStyle w:val="llnormaalikirjasin--char1"/>
          <w:sz w:val="24"/>
        </w:rPr>
        <w:t>t</w:t>
      </w:r>
      <w:r w:rsidR="0076141A" w:rsidRPr="0076141A">
        <w:rPr>
          <w:rStyle w:val="llnormaalikirjasin--char1"/>
          <w:sz w:val="24"/>
        </w:rPr>
        <w:t>ningen</w:t>
      </w:r>
      <w:r w:rsidR="0076141A">
        <w:t xml:space="preserve"> </w:t>
      </w:r>
      <w:r w:rsidRPr="00A17B6E">
        <w:t>träder i kraft i land</w:t>
      </w:r>
      <w:r w:rsidR="00C36EED">
        <w:t xml:space="preserve">skapet Åland till de delar </w:t>
      </w:r>
      <w:r w:rsidR="00C36EED" w:rsidRPr="00C36EED">
        <w:t>ändringarna i bilagorna till 1978 års protokoll till 1973 års internat</w:t>
      </w:r>
      <w:r w:rsidR="00C36EED">
        <w:t>ionella konvention till förhind</w:t>
      </w:r>
      <w:r w:rsidR="00C36EED" w:rsidRPr="00C36EED">
        <w:t>rande av förorening från fartyg</w:t>
      </w:r>
      <w:r w:rsidR="00473482" w:rsidRPr="00A17B6E">
        <w:t xml:space="preserve"> </w:t>
      </w:r>
      <w:r w:rsidRPr="00A17B6E">
        <w:t>faller inom landskapets behörighet.</w:t>
      </w:r>
    </w:p>
    <w:p w:rsidR="009F29D0" w:rsidRPr="00A17B6E" w:rsidRDefault="009F29D0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  <w:t>Helsin</w:t>
      </w:r>
      <w:r w:rsidR="002B74EE" w:rsidRPr="00A17B6E">
        <w:rPr>
          <w:spacing w:val="-3"/>
          <w:lang w:val="sv-SE"/>
        </w:rPr>
        <w:t xml:space="preserve">gfors, i statsrådet den </w:t>
      </w:r>
      <w:r w:rsidR="00C36EED">
        <w:rPr>
          <w:spacing w:val="-3"/>
          <w:lang w:val="sv-SE"/>
        </w:rPr>
        <w:t>23 mars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C36EED">
        <w:rPr>
          <w:spacing w:val="-3"/>
          <w:lang w:val="sv-SE"/>
        </w:rPr>
        <w:t>17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A17B6E" w:rsidRDefault="00EF104B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sv-FI"/>
        </w:rPr>
        <w:t>SAULI NIINISTÖ</w:t>
      </w:r>
    </w:p>
    <w:p w:rsidR="00EF104B" w:rsidRPr="00A17B6E" w:rsidRDefault="00EF104B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624320" w:rsidRPr="00A17B6E" w:rsidRDefault="00624320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</w:p>
    <w:p w:rsidR="00BF6277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sv-FI"/>
        </w:rPr>
      </w:pP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Pr="00A17B6E">
        <w:rPr>
          <w:spacing w:val="-3"/>
          <w:lang w:val="sv-FI"/>
        </w:rPr>
        <w:tab/>
      </w:r>
      <w:r w:rsidR="00452BB5" w:rsidRPr="00A17B6E">
        <w:rPr>
          <w:spacing w:val="-3"/>
          <w:lang w:val="sv-FI"/>
        </w:rPr>
        <w:t>Kommunikationsm</w:t>
      </w:r>
      <w:r w:rsidR="00EF104B" w:rsidRPr="00A17B6E">
        <w:rPr>
          <w:spacing w:val="-3"/>
          <w:lang w:val="sv-FI"/>
        </w:rPr>
        <w:t>inister Anne Be</w:t>
      </w:r>
      <w:r w:rsidR="00EF104B" w:rsidRPr="00A17B6E">
        <w:rPr>
          <w:spacing w:val="-3"/>
          <w:lang w:val="sv-FI"/>
        </w:rPr>
        <w:t>r</w:t>
      </w:r>
      <w:r w:rsidR="00EF104B" w:rsidRPr="00A17B6E">
        <w:rPr>
          <w:spacing w:val="-3"/>
          <w:lang w:val="sv-FI"/>
        </w:rPr>
        <w:t>ner</w:t>
      </w:r>
    </w:p>
    <w:p w:rsidR="002A4685" w:rsidRPr="00A17B6E" w:rsidRDefault="002A4685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0425E8" w:rsidRDefault="000425E8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0425E8" w:rsidRDefault="000425E8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3D1BD5" w:rsidRDefault="00776EE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C36EED">
        <w:rPr>
          <w:spacing w:val="-3"/>
          <w:sz w:val="16"/>
          <w:szCs w:val="16"/>
          <w:lang w:val="sv-SE"/>
        </w:rPr>
        <w:t xml:space="preserve">JM </w:t>
      </w:r>
      <w:proofErr w:type="gramStart"/>
      <w:r w:rsidRPr="00C36EED">
        <w:rPr>
          <w:spacing w:val="-3"/>
          <w:sz w:val="16"/>
          <w:szCs w:val="16"/>
          <w:lang w:val="sv-SE"/>
        </w:rPr>
        <w:t>20</w:t>
      </w:r>
      <w:r w:rsidR="00C36EED" w:rsidRPr="00C36EED">
        <w:rPr>
          <w:spacing w:val="-3"/>
          <w:sz w:val="16"/>
          <w:szCs w:val="16"/>
          <w:lang w:val="sv-SE"/>
        </w:rPr>
        <w:t>17</w:t>
      </w:r>
      <w:r w:rsidRPr="00C36EED">
        <w:rPr>
          <w:spacing w:val="-3"/>
          <w:sz w:val="16"/>
          <w:szCs w:val="16"/>
          <w:lang w:val="sv-SE"/>
        </w:rPr>
        <w:t xml:space="preserve"> </w:t>
      </w:r>
      <w:r w:rsidR="0021587D" w:rsidRPr="00C36EED">
        <w:rPr>
          <w:spacing w:val="-3"/>
          <w:sz w:val="16"/>
          <w:szCs w:val="16"/>
          <w:lang w:val="sv-SE"/>
        </w:rPr>
        <w:t xml:space="preserve"> </w:t>
      </w:r>
      <w:r w:rsidR="002B16C4" w:rsidRPr="00C36EED">
        <w:rPr>
          <w:spacing w:val="-3"/>
          <w:sz w:val="16"/>
          <w:szCs w:val="16"/>
          <w:lang w:val="sv-SE"/>
        </w:rPr>
        <w:t>08</w:t>
      </w:r>
      <w:proofErr w:type="gramEnd"/>
      <w:r w:rsidR="0021587D" w:rsidRPr="00C36EED">
        <w:rPr>
          <w:spacing w:val="-3"/>
          <w:sz w:val="16"/>
          <w:szCs w:val="16"/>
          <w:lang w:val="sv-SE"/>
        </w:rPr>
        <w:t xml:space="preserve">  </w:t>
      </w:r>
      <w:r w:rsidR="00C36EED" w:rsidRPr="00C36EED">
        <w:rPr>
          <w:spacing w:val="-3"/>
          <w:sz w:val="16"/>
          <w:szCs w:val="16"/>
          <w:lang w:val="sv-SE"/>
        </w:rPr>
        <w:t>6</w:t>
      </w:r>
    </w:p>
    <w:p w:rsidR="0005483E" w:rsidRPr="00A17B6E" w:rsidRDefault="0005483E" w:rsidP="00635C93">
      <w:pPr>
        <w:tabs>
          <w:tab w:val="left" w:pos="567"/>
        </w:tabs>
        <w:spacing w:line="360" w:lineRule="auto"/>
        <w:rPr>
          <w:lang w:val="de-DE"/>
        </w:rPr>
      </w:pPr>
      <w:bookmarkStart w:id="0" w:name="_GoBack"/>
      <w:bookmarkEnd w:id="0"/>
    </w:p>
    <w:sectPr w:rsidR="0005483E" w:rsidRPr="00A17B6E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C0" w:rsidRDefault="007F66C0">
      <w:r>
        <w:separator/>
      </w:r>
    </w:p>
  </w:endnote>
  <w:endnote w:type="continuationSeparator" w:id="0">
    <w:p w:rsidR="007F66C0" w:rsidRDefault="007F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C0" w:rsidRDefault="007F66C0">
      <w:r>
        <w:separator/>
      </w:r>
    </w:p>
  </w:footnote>
  <w:footnote w:type="continuationSeparator" w:id="0">
    <w:p w:rsidR="007F66C0" w:rsidRDefault="007F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422AD"/>
    <w:rsid w:val="000425E8"/>
    <w:rsid w:val="000426F4"/>
    <w:rsid w:val="00051E74"/>
    <w:rsid w:val="00052AD1"/>
    <w:rsid w:val="0005483E"/>
    <w:rsid w:val="000601D6"/>
    <w:rsid w:val="000A1750"/>
    <w:rsid w:val="000A18F8"/>
    <w:rsid w:val="000A7921"/>
    <w:rsid w:val="000C0B63"/>
    <w:rsid w:val="000C7BCD"/>
    <w:rsid w:val="000D4AB9"/>
    <w:rsid w:val="000D4E60"/>
    <w:rsid w:val="000F1DC7"/>
    <w:rsid w:val="000F2CFF"/>
    <w:rsid w:val="000F4EEF"/>
    <w:rsid w:val="00100329"/>
    <w:rsid w:val="001034C8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E58CF"/>
    <w:rsid w:val="001E6661"/>
    <w:rsid w:val="001F16AC"/>
    <w:rsid w:val="001F6910"/>
    <w:rsid w:val="00200F7C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342B"/>
    <w:rsid w:val="002979B9"/>
    <w:rsid w:val="002A4685"/>
    <w:rsid w:val="002A4776"/>
    <w:rsid w:val="002A4878"/>
    <w:rsid w:val="002B16C4"/>
    <w:rsid w:val="002B24AA"/>
    <w:rsid w:val="002B5B0A"/>
    <w:rsid w:val="002B648E"/>
    <w:rsid w:val="002B74EE"/>
    <w:rsid w:val="002C2D2E"/>
    <w:rsid w:val="002C7648"/>
    <w:rsid w:val="002D475B"/>
    <w:rsid w:val="002D6830"/>
    <w:rsid w:val="002F0EBF"/>
    <w:rsid w:val="00314343"/>
    <w:rsid w:val="00323411"/>
    <w:rsid w:val="00332BF9"/>
    <w:rsid w:val="00335DA6"/>
    <w:rsid w:val="00355981"/>
    <w:rsid w:val="003645F5"/>
    <w:rsid w:val="00364F72"/>
    <w:rsid w:val="0037759B"/>
    <w:rsid w:val="00377747"/>
    <w:rsid w:val="00377ABF"/>
    <w:rsid w:val="00377F17"/>
    <w:rsid w:val="00381021"/>
    <w:rsid w:val="00381856"/>
    <w:rsid w:val="00383562"/>
    <w:rsid w:val="00392320"/>
    <w:rsid w:val="003A0698"/>
    <w:rsid w:val="003A6560"/>
    <w:rsid w:val="003A6EB5"/>
    <w:rsid w:val="003A72F7"/>
    <w:rsid w:val="003B5633"/>
    <w:rsid w:val="003C2F81"/>
    <w:rsid w:val="003C60A4"/>
    <w:rsid w:val="003D1BD5"/>
    <w:rsid w:val="003D6888"/>
    <w:rsid w:val="003E1F46"/>
    <w:rsid w:val="003E6A86"/>
    <w:rsid w:val="003F3177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5059B8"/>
    <w:rsid w:val="00507A09"/>
    <w:rsid w:val="00514EA8"/>
    <w:rsid w:val="005161E4"/>
    <w:rsid w:val="005307A2"/>
    <w:rsid w:val="005520A3"/>
    <w:rsid w:val="00561F9A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5C93"/>
    <w:rsid w:val="00637022"/>
    <w:rsid w:val="00637A55"/>
    <w:rsid w:val="0064275A"/>
    <w:rsid w:val="0064563E"/>
    <w:rsid w:val="006478D7"/>
    <w:rsid w:val="00650D81"/>
    <w:rsid w:val="00652E05"/>
    <w:rsid w:val="00653C32"/>
    <w:rsid w:val="0065455E"/>
    <w:rsid w:val="00662A53"/>
    <w:rsid w:val="00671FF6"/>
    <w:rsid w:val="006721A7"/>
    <w:rsid w:val="006740B4"/>
    <w:rsid w:val="00677B7C"/>
    <w:rsid w:val="00683F34"/>
    <w:rsid w:val="00691F5E"/>
    <w:rsid w:val="0069383A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E567A"/>
    <w:rsid w:val="007E6B0B"/>
    <w:rsid w:val="007F2A3B"/>
    <w:rsid w:val="007F320D"/>
    <w:rsid w:val="007F3B68"/>
    <w:rsid w:val="007F486A"/>
    <w:rsid w:val="007F5958"/>
    <w:rsid w:val="007F66C0"/>
    <w:rsid w:val="008215EC"/>
    <w:rsid w:val="0082355C"/>
    <w:rsid w:val="00837EE4"/>
    <w:rsid w:val="0084292C"/>
    <w:rsid w:val="00862FA7"/>
    <w:rsid w:val="00873706"/>
    <w:rsid w:val="00874F7C"/>
    <w:rsid w:val="008A5599"/>
    <w:rsid w:val="008B0B1E"/>
    <w:rsid w:val="008B72A2"/>
    <w:rsid w:val="008F4AB0"/>
    <w:rsid w:val="00902321"/>
    <w:rsid w:val="00905A3F"/>
    <w:rsid w:val="0091123B"/>
    <w:rsid w:val="009205BD"/>
    <w:rsid w:val="0093141A"/>
    <w:rsid w:val="0094506D"/>
    <w:rsid w:val="00945714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37A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1970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30520"/>
    <w:rsid w:val="00B42190"/>
    <w:rsid w:val="00B4448B"/>
    <w:rsid w:val="00B532D0"/>
    <w:rsid w:val="00B56732"/>
    <w:rsid w:val="00B56A43"/>
    <w:rsid w:val="00B6239E"/>
    <w:rsid w:val="00B63788"/>
    <w:rsid w:val="00B64B9A"/>
    <w:rsid w:val="00B743EA"/>
    <w:rsid w:val="00B813C6"/>
    <w:rsid w:val="00B83B57"/>
    <w:rsid w:val="00B87C26"/>
    <w:rsid w:val="00B87ECA"/>
    <w:rsid w:val="00B91D51"/>
    <w:rsid w:val="00BA00E6"/>
    <w:rsid w:val="00BA2531"/>
    <w:rsid w:val="00BB268A"/>
    <w:rsid w:val="00BB3C36"/>
    <w:rsid w:val="00BC0A75"/>
    <w:rsid w:val="00BC22ED"/>
    <w:rsid w:val="00BC3110"/>
    <w:rsid w:val="00BC528D"/>
    <w:rsid w:val="00BC7688"/>
    <w:rsid w:val="00BD2400"/>
    <w:rsid w:val="00BD3081"/>
    <w:rsid w:val="00BD496B"/>
    <w:rsid w:val="00BE1302"/>
    <w:rsid w:val="00BF1856"/>
    <w:rsid w:val="00BF6277"/>
    <w:rsid w:val="00C00941"/>
    <w:rsid w:val="00C0316E"/>
    <w:rsid w:val="00C101D8"/>
    <w:rsid w:val="00C1157B"/>
    <w:rsid w:val="00C169BC"/>
    <w:rsid w:val="00C306CF"/>
    <w:rsid w:val="00C36774"/>
    <w:rsid w:val="00C36EED"/>
    <w:rsid w:val="00C44CD1"/>
    <w:rsid w:val="00C51B9C"/>
    <w:rsid w:val="00C5259D"/>
    <w:rsid w:val="00C54B37"/>
    <w:rsid w:val="00C5522B"/>
    <w:rsid w:val="00C56C90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759E"/>
    <w:rsid w:val="00CF6C4D"/>
    <w:rsid w:val="00D029B0"/>
    <w:rsid w:val="00D05F54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90488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F65"/>
    <w:rsid w:val="00E1101C"/>
    <w:rsid w:val="00E13FBE"/>
    <w:rsid w:val="00E222FC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63BB"/>
    <w:rsid w:val="00F26809"/>
    <w:rsid w:val="00F32D0B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594A"/>
    <w:rsid w:val="00FB0734"/>
    <w:rsid w:val="00FB67B9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4DD2-6ADE-48ED-8E88-09ADB061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3</cp:revision>
  <cp:lastPrinted>2017-04-03T11:47:00Z</cp:lastPrinted>
  <dcterms:created xsi:type="dcterms:W3CDTF">2017-04-03T11:46:00Z</dcterms:created>
  <dcterms:modified xsi:type="dcterms:W3CDTF">2017-04-03T11:55:00Z</dcterms:modified>
</cp:coreProperties>
</file>